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2" w:before="0" w:after="80"/>
        <w:jc w:val="center"/>
        <w:rPr/>
      </w:pPr>
      <w:r>
        <w:rPr/>
        <w:drawing>
          <wp:inline distT="0" distB="0" distL="0" distR="0">
            <wp:extent cx="1259840" cy="1130935"/>
            <wp:effectExtent l="0" t="0" r="0" b="0"/>
            <wp:docPr id="1"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 title=""/>
                    <pic:cNvPicPr>
                      <a:picLocks noChangeAspect="1" noChangeArrowheads="1"/>
                    </pic:cNvPicPr>
                  </pic:nvPicPr>
                  <pic:blipFill>
                    <a:blip r:embed="rId2"/>
                    <a:stretch>
                      <a:fillRect/>
                    </a:stretch>
                  </pic:blipFill>
                  <pic:spPr bwMode="auto">
                    <a:xfrm>
                      <a:off x="0" y="0"/>
                      <a:ext cx="1259840" cy="1130935"/>
                    </a:xfrm>
                    <a:prstGeom prst="rect">
                      <a:avLst/>
                    </a:prstGeom>
                    <a:noFill/>
                  </pic:spPr>
                </pic:pic>
              </a:graphicData>
            </a:graphic>
          </wp:inline>
        </w:drawing>
      </w:r>
    </w:p>
    <w:p>
      <w:pPr>
        <w:pStyle w:val="Normal"/>
        <w:spacing w:lineRule="auto" w:line="252" w:before="0" w:after="20"/>
        <w:jc w:val="center"/>
        <w:rPr/>
      </w:pPr>
      <w:r>
        <w:rPr>
          <w:rFonts w:eastAsia="Arial" w:ascii="Arial" w:hAnsi="Arial"/>
          <w:b/>
          <w:i w:val="false"/>
          <w:color w:val="0B3D91"/>
          <w:sz w:val="44"/>
        </w:rPr>
        <w:t>GROUPE SCOLAIRE</w:t>
      </w:r>
    </w:p>
    <w:p>
      <w:pPr>
        <w:pStyle w:val="Normal"/>
        <w:spacing w:lineRule="auto" w:line="252" w:before="0" w:after="200"/>
        <w:jc w:val="center"/>
        <w:rPr/>
      </w:pPr>
      <w:r>
        <w:rPr>
          <w:rFonts w:eastAsia="Arial" w:ascii="Arial" w:hAnsi="Arial"/>
          <w:b/>
          <w:i w:val="false"/>
          <w:color w:val="0B3D91"/>
          <w:sz w:val="48"/>
        </w:rPr>
        <w:t>LES ÉMINENTS</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8AE24"/>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Normal"/>
        <w:spacing w:before="0" w:after="40"/>
        <w:rPr/>
      </w:pPr>
      <w:r>
        <w:rPr/>
      </w:r>
    </w:p>
    <w:p>
      <w:pPr>
        <w:pStyle w:val="Normal"/>
        <w:spacing w:lineRule="auto" w:line="252" w:before="0" w:after="80"/>
        <w:jc w:val="center"/>
        <w:rPr/>
      </w:pPr>
      <w:r>
        <w:rPr>
          <w:rFonts w:eastAsia="Arial" w:ascii="Arial" w:hAnsi="Arial"/>
          <w:b/>
          <w:i w:val="false"/>
          <w:color w:val="0B3D91"/>
          <w:sz w:val="36"/>
        </w:rPr>
        <w:t>BASE MAÎTRESSE CENTRALISÉE</w:t>
      </w:r>
    </w:p>
    <w:p>
      <w:pPr>
        <w:pStyle w:val="Normal"/>
        <w:spacing w:lineRule="auto" w:line="252" w:before="0" w:after="40"/>
        <w:jc w:val="center"/>
        <w:rPr/>
      </w:pPr>
      <w:r>
        <w:rPr>
          <w:rFonts w:eastAsia="Arial" w:ascii="Arial" w:hAnsi="Arial"/>
          <w:b/>
          <w:i w:val="false"/>
          <w:color w:val="0B3D91"/>
          <w:sz w:val="36"/>
        </w:rPr>
        <w:t>DES QUESTIONS-RÉPONSES DU SITE</w:t>
      </w:r>
    </w:p>
    <w:p>
      <w:pPr>
        <w:pStyle w:val="Normal"/>
        <w:spacing w:lineRule="auto" w:line="252" w:before="0" w:after="160"/>
        <w:jc w:val="center"/>
        <w:rPr/>
      </w:pPr>
      <w:r>
        <w:rPr>
          <w:rFonts w:eastAsia="Arial" w:ascii="Arial" w:hAnsi="Arial"/>
          <w:b/>
          <w:i w:val="false"/>
          <w:color w:val="D8AE24"/>
          <w:sz w:val="30"/>
        </w:rPr>
        <w:t>POUR ÉMINA — ASSISTANTE INSTITUTIONNELLE</w:t>
      </w:r>
    </w:p>
    <w:p>
      <w:pPr>
        <w:pStyle w:val="Normal"/>
        <w:spacing w:lineRule="auto" w:line="252" w:before="0" w:after="160"/>
        <w:jc w:val="center"/>
        <w:rPr/>
      </w:pPr>
      <w:r>
        <w:rPr>
          <w:rFonts w:eastAsia="Arial" w:ascii="Arial" w:hAnsi="Arial"/>
          <w:b w:val="false"/>
          <w:i/>
          <w:color w:val="666666"/>
          <w:sz w:val="21"/>
        </w:rPr>
        <w:t>Page d’accueil • À propos • Programmes • Vie scolaire • Admissions • Qualité • Veille • Actualités • Contact • Espace Parents</w:t>
      </w:r>
    </w:p>
    <w:tbl>
      <w:tblPr>
        <w:tblW w:w="10312" w:type="dxa"/>
        <w:jc w:val="center"/>
        <w:tblInd w:w="0" w:type="dxa"/>
        <w:tblLayout w:type="fixed"/>
        <w:tblCellMar>
          <w:top w:w="80" w:type="dxa"/>
          <w:start w:w="100" w:type="dxa"/>
          <w:bottom w:w="80" w:type="dxa"/>
          <w:end w:w="100" w:type="dxa"/>
        </w:tblCellMar>
        <w:tblLook w:val="04a0" w:noHBand="0" w:noVBand="1" w:firstColumn="1" w:lastRow="0" w:lastColumn="0" w:firstRow="1"/>
      </w:tblPr>
      <w:tblGrid>
        <w:gridCol w:w="5156"/>
        <w:gridCol w:w="5155"/>
      </w:tblGrid>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Code documentaire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GSE-EMINA-KB-SITE-001</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Version</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1.0.0</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Date de compilation</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2 juillet 2026</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Propriétaire institutionnel</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GROUPE SCOLAIRE LES ÉMINENTS</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Statut</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EN RÉVISION — PRÊT POUR VALIDATION ET INTÉGRATION</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Classification</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Institutionnel — diffusion contrôlée</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Langue source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Français — traductions approuvées à indexer séparément par langue</w:t>
            </w:r>
          </w:p>
        </w:tc>
      </w:tr>
    </w:tbl>
    <w:p>
      <w:pPr>
        <w:pStyle w:val="Normal"/>
        <w:spacing w:before="0" w:after="20"/>
        <w:rPr/>
      </w:pPr>
      <w:r>
        <w:rPr/>
      </w:r>
    </w:p>
    <w:p>
      <w:pPr>
        <w:pStyle w:val="Normal"/>
        <w:spacing w:lineRule="auto" w:line="252" w:before="0" w:after="40"/>
        <w:jc w:val="center"/>
        <w:rPr/>
      </w:pPr>
      <w:r>
        <w:rPr>
          <w:rFonts w:eastAsia="Arial" w:ascii="Arial" w:hAnsi="Arial"/>
          <w:b/>
          <w:i w:val="false"/>
          <w:color w:val="D8AE24"/>
          <w:sz w:val="23"/>
        </w:rPr>
        <w:t>FOI • EXCELLENCE • INTÉGRITÉ • LEADERSHIP</w:t>
      </w:r>
    </w:p>
    <w:p>
      <w:pPr>
        <w:pStyle w:val="Normal"/>
        <w:spacing w:lineRule="auto" w:line="252" w:before="0" w:after="0"/>
        <w:jc w:val="center"/>
        <w:rPr/>
      </w:pPr>
      <w:r>
        <w:rPr>
          <w:rFonts w:eastAsia="Arial" w:ascii="Arial" w:hAnsi="Arial"/>
          <w:b w:val="false"/>
          <w:i/>
          <w:color w:val="0B3D91"/>
          <w:sz w:val="21"/>
        </w:rPr>
        <w:t>« L’EXCELLENCE POUR L’ÉLITE DE DEMAIN »</w:t>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1. Fiche d’identification, contrôle et gouvernance</w:t>
      </w:r>
    </w:p>
    <w:tbl>
      <w:tblPr>
        <w:tblW w:w="10312" w:type="dxa"/>
        <w:jc w:val="center"/>
        <w:tblInd w:w="0" w:type="dxa"/>
        <w:tblLayout w:type="fixed"/>
        <w:tblCellMar>
          <w:top w:w="80" w:type="dxa"/>
          <w:start w:w="100" w:type="dxa"/>
          <w:bottom w:w="80" w:type="dxa"/>
          <w:end w:w="100" w:type="dxa"/>
        </w:tblCellMar>
        <w:tblLook w:val="04a0" w:noHBand="0" w:noVBand="1" w:firstColumn="1" w:lastRow="0" w:lastColumn="0" w:firstRow="1"/>
      </w:tblPr>
      <w:tblGrid>
        <w:gridCol w:w="5156"/>
        <w:gridCol w:w="5155"/>
      </w:tblGrid>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Titre officiel</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Base maîtresse centralisée des questions-réponses du site pour ÉMINA</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Code documentaire</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GSE-EMINA-KB-SITE-001</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Type de ressource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Base maîtresse documentaire / corpus de connaissances / banque de questions-réponses</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Objectif</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Centraliser les banques de questions et les relevés du site afin de permettre une ingestion traçable, versionnée et contrôlée dans la base de connaissances d’ÉMINA.</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Propriétaire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GROUPE SCOLAIRE LES ÉMINENTS</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Responsable fonctionnel proposé</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Direction, avec contrôle documentaire du DAQAC</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Responsable technique proposé</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Département des systèmes d’information (DSI)</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Service utilisateur</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ÉMINA — Assistante institutionnelle</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Version / date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1.0.0 / 2 juillet 2026</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Date d’effet</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À renseigner lors de la validation institutionnelle</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Prochaine révision</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Après toute modification d’une source publiée ; revue générale au plus tard en juin 2027</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Confidentialité</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Institutionnel — diffusion contrôlée. Les réponses publiques ne doivent utiliser que des informations publiées et autorisées.</w:t>
            </w:r>
          </w:p>
        </w:tc>
      </w:tr>
    </w:tbl>
    <w:p>
      <w:pPr>
        <w:pStyle w:val="Normal"/>
        <w:spacing w:before="0" w:after="20"/>
        <w:rPr/>
      </w:pPr>
      <w:r>
        <w:rPr/>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26"/>
        </w:rPr>
        <w:t>1.1. Gouvernance complémentaire</w:t>
      </w:r>
    </w:p>
    <w:tbl>
      <w:tblPr>
        <w:tblW w:w="10312" w:type="dxa"/>
        <w:jc w:val="center"/>
        <w:tblInd w:w="0" w:type="dxa"/>
        <w:tblLayout w:type="fixed"/>
        <w:tblCellMar>
          <w:top w:w="80" w:type="dxa"/>
          <w:start w:w="100" w:type="dxa"/>
          <w:bottom w:w="80" w:type="dxa"/>
          <w:end w:w="100" w:type="dxa"/>
        </w:tblCellMar>
        <w:tblLook w:val="04a0" w:noHBand="0" w:noVBand="1" w:firstColumn="1" w:lastRow="0" w:lastColumn="0" w:firstRow="1"/>
      </w:tblPr>
      <w:tblGrid>
        <w:gridCol w:w="5156"/>
        <w:gridCol w:w="5155"/>
      </w:tblGrid>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Rôles autorisés</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Direction, DAQAC, DSI, administrateurs habilités ; ÉMINA publique pour les fragments publics ; ÉMINA interne selon RBAC/ABAC après authentification.</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Statut de publication</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En révision — prêt pour validation institutionnelle et intégration technique</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7"/>
              </w:rPr>
              <w:t>Document remplacé</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7"/>
              </w:rPr>
              <w:t>Aucun — première compilation centralisée</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7"/>
              </w:rPr>
              <w:t>Successeur</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7"/>
              </w:rPr>
              <w:t>À définir lors d’une prochaine version</w:t>
            </w:r>
          </w:p>
        </w:tc>
      </w:tr>
    </w:tbl>
    <w:p>
      <w:pPr>
        <w:pStyle w:val="Normal"/>
        <w:spacing w:before="0" w:after="20"/>
        <w:rPr/>
      </w:pPr>
      <w:r>
        <w:rPr/>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D8AE24"/>
              <w:start w:val="single" w:sz="10" w:space="0" w:color="D8AE24"/>
              <w:bottom w:val="single" w:sz="10" w:space="0" w:color="D8AE24"/>
              <w:end w:val="single" w:sz="10" w:space="0" w:color="D8AE24"/>
            </w:tcBorders>
            <w:shd w:fill="FFF6D9"/>
          </w:tcPr>
          <w:p>
            <w:pPr>
              <w:pStyle w:val="Normal"/>
              <w:spacing w:lineRule="auto" w:line="252" w:before="0" w:after="40"/>
              <w:rPr/>
            </w:pPr>
            <w:r>
              <w:rPr>
                <w:rFonts w:eastAsia="Arial" w:ascii="Arial" w:hAnsi="Arial"/>
                <w:b/>
                <w:i w:val="false"/>
                <w:color w:val="0B3D91"/>
                <w:sz w:val="20"/>
              </w:rPr>
              <w:t>Principe de propriété institutionnelle</w:t>
            </w:r>
          </w:p>
          <w:p>
            <w:pPr>
              <w:pStyle w:val="Normal"/>
              <w:spacing w:lineRule="auto" w:line="259" w:before="0" w:after="0"/>
              <w:rPr/>
            </w:pPr>
            <w:r>
              <w:rPr>
                <w:rFonts w:eastAsia="Arial" w:ascii="Arial" w:hAnsi="Arial"/>
                <w:b w:val="false"/>
                <w:i w:val="false"/>
                <w:color w:val="000000"/>
                <w:sz w:val="19"/>
              </w:rPr>
              <w:t>Le propriétaire à afficher dans les métadonnées, les sources, les interfaces et les références est : « GROUPE SCOLAIRE LES ÉMINENTS ». ÉMINA est désignée uniquement comme « Assistante institutionnelle ».</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1.2. Références institutionnelles prioritaires</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Référence</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Valeur active / règle d’usage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Nom officiel</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GROUPE SCOLAIRE LES ÉMINENTS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Agrément</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Agréé par l’Arrêté ministériel n° MINEDU-NC/CABMINETAT/0008/2026</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Valeurs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FOI • EXCELLENCE • INTÉGRITÉ • LEADERSHIP</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Slogan</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L’EXCELLENCE POUR L’ÉLITE DE DEMAIN</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Téléphone principal</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+243 997 712 645</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Deuxième téléphone à afficher</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+243 817 792 448</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Autre téléphone institutionnel</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+243 992 818 280</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E-mail officiel</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promotion@gsleseminents.com</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Site officiel</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https://gsleseminents.com</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Localisation publique validée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Bukavu, quartier Labotte ; formulation détaillée de l’adresse à valider avant publication</w:t>
            </w:r>
          </w:p>
        </w:tc>
      </w:tr>
    </w:tbl>
    <w:p>
      <w:pPr>
        <w:pStyle w:val="Normal"/>
        <w:spacing w:before="0" w:after="20"/>
        <w:rPr/>
      </w:pPr>
      <w:r>
        <w:rPr/>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2. Objet, périmètre et synthèse exécutive</w:t>
      </w:r>
    </w:p>
    <w:p>
      <w:pPr>
        <w:pStyle w:val="Normal"/>
        <w:spacing w:lineRule="auto" w:line="259" w:before="0" w:after="60"/>
        <w:rPr/>
      </w:pPr>
      <w:r>
        <w:rPr>
          <w:rFonts w:eastAsia="Arial" w:ascii="Arial" w:hAnsi="Arial"/>
          <w:b w:val="false"/>
          <w:i w:val="false"/>
          <w:color w:val="000000"/>
          <w:sz w:val="20"/>
        </w:rPr>
        <w:t>Le présent document regroupe intégralement les contenus de douze banques de questions-réponses et d’un relevé source consacrés aux pages et menus du site du GROUPE SCOLAIRE LES ÉMINENTS. Il constitue le conteneur documentaire central destiné à l’indexation dans ÉMINA, sans supprimer la traçabilité vers les fichiers sources.</w:t>
      </w:r>
    </w:p>
    <w:p>
      <w:pPr>
        <w:pStyle w:val="Normal"/>
        <w:spacing w:lineRule="auto" w:line="259" w:before="0" w:after="60"/>
        <w:rPr/>
      </w:pPr>
      <w:r>
        <w:rPr>
          <w:rFonts w:eastAsia="Arial" w:ascii="Arial" w:hAnsi="Arial"/>
          <w:b w:val="false"/>
          <w:i w:val="false"/>
          <w:color w:val="000000"/>
          <w:sz w:val="20"/>
        </w:rPr>
        <w:t>Le corpus couvre les titres, sections, textes de référence, questions-réponses, définitions, raisons des intitulés, importance institutionnelle, liens entre rubriques, observations éditoriales et recommandations déjà produits dans les documents sources.</w:t>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0B3D91"/>
              <w:start w:val="single" w:sz="10" w:space="0" w:color="0B3D91"/>
              <w:bottom w:val="single" w:sz="10" w:space="0" w:color="0B3D91"/>
              <w:end w:val="single" w:sz="10" w:space="0" w:color="0B3D91"/>
            </w:tcBorders>
            <w:shd w:fill="EAF2FB"/>
          </w:tcPr>
          <w:p>
            <w:pPr>
              <w:pStyle w:val="Normal"/>
              <w:spacing w:lineRule="auto" w:line="252" w:before="0" w:after="40"/>
              <w:rPr/>
            </w:pPr>
            <w:r>
              <w:rPr>
                <w:rFonts w:eastAsia="Arial" w:ascii="Arial" w:hAnsi="Arial"/>
                <w:b/>
                <w:i w:val="false"/>
                <w:color w:val="0B3D91"/>
                <w:sz w:val="20"/>
              </w:rPr>
              <w:t>Règle de fidélité fondamentale</w:t>
            </w:r>
          </w:p>
          <w:p>
            <w:pPr>
              <w:pStyle w:val="Normal"/>
              <w:spacing w:lineRule="auto" w:line="259" w:before="0" w:after="0"/>
              <w:rPr/>
            </w:pPr>
            <w:r>
              <w:rPr>
                <w:rFonts w:eastAsia="Arial" w:ascii="Arial" w:hAnsi="Arial"/>
                <w:b w:val="false"/>
                <w:i w:val="false"/>
                <w:color w:val="000000"/>
                <w:sz w:val="19"/>
              </w:rPr>
              <w:t>ÉMINA doit distinguer le texte publié, la paraphrase fidèle, l’analyse institutionnelle, l’observation éditoriale et la recommandation. Une analyse ou une anomalie signalée ne doit jamais être présentée comme une règle officielle publiée.</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2.1. Statistiques consolidées</w:t>
      </w:r>
    </w:p>
    <w:tbl>
      <w:tblPr>
        <w:tblW w:w="10312" w:type="dxa"/>
        <w:jc w:val="center"/>
        <w:tblInd w:w="0" w:type="dxa"/>
        <w:tblLayout w:type="fixed"/>
        <w:tblCellMar>
          <w:top w:w="80" w:type="dxa"/>
          <w:start w:w="100" w:type="dxa"/>
          <w:bottom w:w="80" w:type="dxa"/>
          <w:end w:w="100" w:type="dxa"/>
        </w:tblCellMar>
        <w:tblLook w:val="04a0" w:noHBand="0" w:noVBand="1" w:firstColumn="1" w:lastRow="0" w:lastColumn="0" w:firstRow="1"/>
      </w:tblPr>
      <w:tblGrid>
        <w:gridCol w:w="5156"/>
        <w:gridCol w:w="5155"/>
      </w:tblGrid>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Documents sources intégrés</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13</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Banques de questions-réponses</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12</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Relevés sources complémentaires</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1</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Pages sources rendues</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569</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Fiches thématiques</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460</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Questions-réponses de référence</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4 664</w:t>
            </w:r>
          </w:p>
        </w:tc>
      </w:tr>
      <w:tr>
        <w:trPr/>
        <w:tc>
          <w:tcPr>
            <w:tcW w:w="5156" w:type="dxa"/>
            <w:tcBorders>
              <w:top w:val="single" w:sz="4" w:space="0" w:color="B8C9DC"/>
              <w:start w:val="single" w:sz="4" w:space="0" w:color="B8C9DC"/>
              <w:bottom w:val="single" w:sz="4" w:space="0" w:color="B8C9DC"/>
              <w:end w:val="single" w:sz="4" w:space="0" w:color="B8C9DC"/>
            </w:tcBorders>
            <w:shd w:fill="EAF2FB"/>
            <w:vAlign w:val="center"/>
          </w:tcPr>
          <w:p>
            <w:pPr>
              <w:pStyle w:val="Normal"/>
              <w:spacing w:lineRule="auto" w:line="240" w:before="0" w:after="0"/>
              <w:rPr/>
            </w:pPr>
            <w:r>
              <w:rPr>
                <w:rFonts w:eastAsia="Arial" w:ascii="Arial" w:hAnsi="Arial"/>
                <w:b/>
                <w:i w:val="false"/>
                <w:color w:val="0B3D91"/>
                <w:sz w:val="18"/>
              </w:rPr>
              <w:t>Définitions et entrées de glossaire</w:t>
            </w:r>
          </w:p>
        </w:tc>
        <w:tc>
          <w:tcPr>
            <w:tcW w:w="5155" w:type="dxa"/>
            <w:tcBorders>
              <w:top w:val="single" w:sz="4" w:space="0" w:color="B8C9DC"/>
              <w:start w:val="single" w:sz="4" w:space="0" w:color="B8C9DC"/>
              <w:bottom w:val="single" w:sz="4" w:space="0" w:color="B8C9DC"/>
              <w:end w:val="single" w:sz="4" w:space="0" w:color="B8C9DC"/>
            </w:tcBorders>
            <w:shd w:fill="FFFFFF"/>
            <w:vAlign w:val="center"/>
          </w:tcPr>
          <w:p>
            <w:pPr>
              <w:pStyle w:val="Normal"/>
              <w:spacing w:lineRule="auto" w:line="240" w:before="0" w:after="0"/>
              <w:rPr/>
            </w:pPr>
            <w:r>
              <w:rPr>
                <w:rFonts w:eastAsia="Arial" w:ascii="Arial" w:hAnsi="Arial"/>
                <w:b w:val="false"/>
                <w:i w:val="false"/>
                <w:color w:val="000000"/>
                <w:sz w:val="18"/>
              </w:rPr>
              <w:t>1 169</w:t>
            </w:r>
          </w:p>
        </w:tc>
      </w:tr>
      <w:tr>
        <w:trPr/>
        <w:tc>
          <w:tcPr>
            <w:tcW w:w="5156" w:type="dxa"/>
            <w:tcBorders>
              <w:top w:val="single" w:sz="4" w:space="0" w:color="B8C9DC"/>
              <w:start w:val="single" w:sz="4" w:space="0" w:color="B8C9DC"/>
              <w:bottom w:val="single" w:sz="4" w:space="0" w:color="B8C9DC"/>
              <w:end w:val="single" w:sz="4" w:space="0" w:color="B8C9DC"/>
            </w:tcBorders>
            <w:shd w:fill="DDEAF8"/>
            <w:vAlign w:val="center"/>
          </w:tcPr>
          <w:p>
            <w:pPr>
              <w:pStyle w:val="Normal"/>
              <w:spacing w:lineRule="auto" w:line="240" w:before="0" w:after="0"/>
              <w:rPr/>
            </w:pPr>
            <w:r>
              <w:rPr>
                <w:rFonts w:eastAsia="Arial" w:ascii="Arial" w:hAnsi="Arial"/>
                <w:b/>
                <w:i w:val="false"/>
                <w:color w:val="0B3D91"/>
                <w:sz w:val="18"/>
              </w:rPr>
              <w:t>Période de contrôle</w:t>
            </w:r>
          </w:p>
        </w:tc>
        <w:tc>
          <w:tcPr>
            <w:tcW w:w="5155" w:type="dxa"/>
            <w:tcBorders>
              <w:top w:val="single" w:sz="4" w:space="0" w:color="B8C9DC"/>
              <w:start w:val="single" w:sz="4" w:space="0" w:color="B8C9DC"/>
              <w:bottom w:val="single" w:sz="4" w:space="0" w:color="B8C9DC"/>
              <w:end w:val="single" w:sz="4" w:space="0" w:color="B8C9DC"/>
            </w:tcBorders>
            <w:shd w:fill="FAFBFC"/>
            <w:vAlign w:val="center"/>
          </w:tcPr>
          <w:p>
            <w:pPr>
              <w:pStyle w:val="Normal"/>
              <w:spacing w:lineRule="auto" w:line="240" w:before="0" w:after="0"/>
              <w:rPr/>
            </w:pPr>
            <w:r>
              <w:rPr>
                <w:rFonts w:eastAsia="Arial" w:ascii="Arial" w:hAnsi="Arial"/>
                <w:b w:val="false"/>
                <w:i w:val="false"/>
                <w:color w:val="000000"/>
                <w:sz w:val="18"/>
              </w:rPr>
              <w:t>1er et 2 juillet 2026</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2.2. Périmètre fonctionnel</w:t>
      </w:r>
    </w:p>
    <w:p>
      <w:pPr>
        <w:pStyle w:val="ListBullet"/>
        <w:numPr>
          <w:ilvl w:val="0"/>
          <w:numId w:val="1"/>
        </w:numPr>
        <w:spacing w:lineRule="auto" w:line="259" w:before="0" w:after="60"/>
        <w:contextualSpacing/>
        <w:rPr/>
      </w:pPr>
      <w:r>
        <w:rPr>
          <w:rFonts w:eastAsia="Arial" w:ascii="Arial" w:hAnsi="Arial"/>
          <w:b w:val="false"/>
          <w:i w:val="false"/>
          <w:color w:val="000000"/>
          <w:sz w:val="20"/>
        </w:rPr>
        <w:t>Page d’accueil et architecture générale du site.</w:t>
      </w:r>
    </w:p>
    <w:p>
      <w:pPr>
        <w:pStyle w:val="ListBullet"/>
        <w:numPr>
          <w:ilvl w:val="0"/>
          <w:numId w:val="1"/>
        </w:numPr>
        <w:spacing w:lineRule="auto" w:line="259" w:before="0" w:after="60"/>
        <w:contextualSpacing/>
        <w:rPr/>
      </w:pPr>
      <w:r>
        <w:rPr>
          <w:rFonts w:eastAsia="Arial" w:ascii="Arial" w:hAnsi="Arial"/>
          <w:b w:val="false"/>
          <w:i w:val="false"/>
          <w:color w:val="000000"/>
          <w:sz w:val="20"/>
        </w:rPr>
        <w:t>Présentation institutionnelle et menu « À propos ».</w:t>
      </w:r>
    </w:p>
    <w:p>
      <w:pPr>
        <w:pStyle w:val="ListBullet"/>
        <w:numPr>
          <w:ilvl w:val="0"/>
          <w:numId w:val="1"/>
        </w:numPr>
        <w:spacing w:lineRule="auto" w:line="259" w:before="0" w:after="60"/>
        <w:contextualSpacing/>
        <w:rPr/>
      </w:pPr>
      <w:r>
        <w:rPr>
          <w:rFonts w:eastAsia="Arial" w:ascii="Arial" w:hAnsi="Arial"/>
          <w:b w:val="false"/>
          <w:i w:val="false"/>
          <w:color w:val="000000"/>
          <w:sz w:val="20"/>
        </w:rPr>
        <w:t>Programmes scolaires et niveaux d’enseignement.</w:t>
      </w:r>
    </w:p>
    <w:p>
      <w:pPr>
        <w:pStyle w:val="ListBullet"/>
        <w:numPr>
          <w:ilvl w:val="0"/>
          <w:numId w:val="1"/>
        </w:numPr>
        <w:spacing w:lineRule="auto" w:line="259" w:before="0" w:after="60"/>
        <w:contextualSpacing/>
        <w:rPr/>
      </w:pPr>
      <w:r>
        <w:rPr>
          <w:rFonts w:eastAsia="Arial" w:ascii="Arial" w:hAnsi="Arial"/>
          <w:b w:val="false"/>
          <w:i w:val="false"/>
          <w:color w:val="000000"/>
          <w:sz w:val="20"/>
        </w:rPr>
        <w:t>Vie scolaire, activités, sécurité, santé et protection.</w:t>
      </w:r>
    </w:p>
    <w:p>
      <w:pPr>
        <w:pStyle w:val="ListBullet"/>
        <w:numPr>
          <w:ilvl w:val="0"/>
          <w:numId w:val="1"/>
        </w:numPr>
        <w:spacing w:lineRule="auto" w:line="259" w:before="0" w:after="60"/>
        <w:contextualSpacing/>
        <w:rPr/>
      </w:pPr>
      <w:r>
        <w:rPr>
          <w:rFonts w:eastAsia="Arial" w:ascii="Arial" w:hAnsi="Arial"/>
          <w:b w:val="false"/>
          <w:i w:val="false"/>
          <w:color w:val="000000"/>
          <w:sz w:val="20"/>
        </w:rPr>
        <w:t>Admissions, préinscription, inscription définitive, pièces et frais.</w:t>
      </w:r>
    </w:p>
    <w:p>
      <w:pPr>
        <w:pStyle w:val="ListBullet"/>
        <w:numPr>
          <w:ilvl w:val="0"/>
          <w:numId w:val="1"/>
        </w:numPr>
        <w:spacing w:lineRule="auto" w:line="259" w:before="0" w:after="60"/>
        <w:contextualSpacing/>
        <w:rPr/>
      </w:pPr>
      <w:r>
        <w:rPr>
          <w:rFonts w:eastAsia="Arial" w:ascii="Arial" w:hAnsi="Arial"/>
          <w:b w:val="false"/>
          <w:i w:val="false"/>
          <w:color w:val="000000"/>
          <w:sz w:val="20"/>
        </w:rPr>
        <w:t>Espace Parents, communication, finances, santé et sortie sécurisée.</w:t>
      </w:r>
    </w:p>
    <w:p>
      <w:pPr>
        <w:pStyle w:val="ListBullet"/>
        <w:numPr>
          <w:ilvl w:val="0"/>
          <w:numId w:val="1"/>
        </w:numPr>
        <w:spacing w:lineRule="auto" w:line="259" w:before="0" w:after="60"/>
        <w:contextualSpacing/>
        <w:rPr/>
      </w:pPr>
      <w:r>
        <w:rPr>
          <w:rFonts w:eastAsia="Arial" w:ascii="Arial" w:hAnsi="Arial"/>
          <w:b w:val="false"/>
          <w:i w:val="false"/>
          <w:color w:val="000000"/>
          <w:sz w:val="20"/>
        </w:rPr>
        <w:t>Qualité, engagements, documentation, départements et ÉMINA.</w:t>
      </w:r>
    </w:p>
    <w:p>
      <w:pPr>
        <w:pStyle w:val="ListBullet"/>
        <w:numPr>
          <w:ilvl w:val="0"/>
          <w:numId w:val="1"/>
        </w:numPr>
        <w:spacing w:lineRule="auto" w:line="259" w:before="0" w:after="60"/>
        <w:contextualSpacing/>
        <w:rPr/>
      </w:pPr>
      <w:r>
        <w:rPr>
          <w:rFonts w:eastAsia="Arial" w:ascii="Arial" w:hAnsi="Arial"/>
          <w:b w:val="false"/>
          <w:i w:val="false"/>
          <w:color w:val="000000"/>
          <w:sz w:val="20"/>
        </w:rPr>
        <w:t>Veille officielle et système d’alerte gradué.</w:t>
      </w:r>
    </w:p>
    <w:p>
      <w:pPr>
        <w:pStyle w:val="ListBullet"/>
        <w:numPr>
          <w:ilvl w:val="0"/>
          <w:numId w:val="1"/>
        </w:numPr>
        <w:spacing w:lineRule="auto" w:line="259" w:before="0" w:after="60"/>
        <w:contextualSpacing/>
        <w:rPr/>
      </w:pPr>
      <w:r>
        <w:rPr>
          <w:rFonts w:eastAsia="Arial" w:ascii="Arial" w:hAnsi="Arial"/>
          <w:b w:val="false"/>
          <w:i w:val="false"/>
          <w:color w:val="000000"/>
          <w:sz w:val="20"/>
        </w:rPr>
        <w:t>Actualités, galerie et contenus éditoriaux.</w:t>
      </w:r>
    </w:p>
    <w:p>
      <w:pPr>
        <w:pStyle w:val="ListBullet"/>
        <w:numPr>
          <w:ilvl w:val="0"/>
          <w:numId w:val="1"/>
        </w:numPr>
        <w:spacing w:lineRule="auto" w:line="259" w:before="0" w:after="60"/>
        <w:contextualSpacing/>
        <w:rPr/>
      </w:pPr>
      <w:r>
        <w:rPr>
          <w:rFonts w:eastAsia="Arial" w:ascii="Arial" w:hAnsi="Arial"/>
          <w:b w:val="false"/>
          <w:i w:val="false"/>
          <w:color w:val="000000"/>
          <w:sz w:val="20"/>
        </w:rPr>
        <w:t>Contact, visite de l’école, canaux officiels et confidentialité.</w:t>
      </w:r>
    </w:p>
    <w:p>
      <w:pPr>
        <w:pStyle w:val="Normal"/>
        <w:keepNext w:val="true"/>
        <w:spacing w:lineRule="auto" w:line="240" w:before="200" w:after="120"/>
        <w:rPr/>
      </w:pPr>
      <w:r>
        <w:rPr>
          <w:rFonts w:eastAsia="Arial" w:ascii="Arial" w:hAnsi="Arial"/>
          <w:b/>
          <w:i w:val="false"/>
          <w:color w:val="0B3D91"/>
          <w:sz w:val="26"/>
        </w:rPr>
        <w:t>2.3. Usages autorisés</w:t>
      </w:r>
    </w:p>
    <w:p>
      <w:pPr>
        <w:pStyle w:val="ListBullet"/>
        <w:numPr>
          <w:ilvl w:val="0"/>
          <w:numId w:val="1"/>
        </w:numPr>
        <w:spacing w:lineRule="auto" w:line="259" w:before="0" w:after="60"/>
        <w:contextualSpacing/>
        <w:rPr/>
      </w:pPr>
      <w:r>
        <w:rPr>
          <w:rFonts w:eastAsia="Arial" w:ascii="Arial" w:hAnsi="Arial"/>
          <w:b w:val="false"/>
          <w:i w:val="false"/>
          <w:color w:val="000000"/>
          <w:sz w:val="20"/>
        </w:rPr>
        <w:t>Répondre aux questions générales sur le GSE à partir de sources publiées et autorisées.</w:t>
      </w:r>
    </w:p>
    <w:p>
      <w:pPr>
        <w:pStyle w:val="ListBullet"/>
        <w:numPr>
          <w:ilvl w:val="0"/>
          <w:numId w:val="1"/>
        </w:numPr>
        <w:spacing w:lineRule="auto" w:line="259" w:before="0" w:after="60"/>
        <w:contextualSpacing/>
        <w:rPr/>
      </w:pPr>
      <w:r>
        <w:rPr>
          <w:rFonts w:eastAsia="Arial" w:ascii="Arial" w:hAnsi="Arial"/>
          <w:b w:val="false"/>
          <w:i w:val="false"/>
          <w:color w:val="000000"/>
          <w:sz w:val="20"/>
        </w:rPr>
        <w:t>Reconnaître les variantes, reformulations, fautes mineures et questions conversationnelles proches.</w:t>
      </w:r>
    </w:p>
    <w:p>
      <w:pPr>
        <w:pStyle w:val="ListBullet"/>
        <w:numPr>
          <w:ilvl w:val="0"/>
          <w:numId w:val="1"/>
        </w:numPr>
        <w:spacing w:lineRule="auto" w:line="259" w:before="0" w:after="60"/>
        <w:contextualSpacing/>
        <w:rPr/>
      </w:pPr>
      <w:r>
        <w:rPr>
          <w:rFonts w:eastAsia="Arial" w:ascii="Arial" w:hAnsi="Arial"/>
          <w:b w:val="false"/>
          <w:i w:val="false"/>
          <w:color w:val="000000"/>
          <w:sz w:val="20"/>
        </w:rPr>
        <w:t>Citer ou identifier la page, le document, la version et la date de la source.</w:t>
      </w:r>
    </w:p>
    <w:p>
      <w:pPr>
        <w:pStyle w:val="ListBullet"/>
        <w:numPr>
          <w:ilvl w:val="0"/>
          <w:numId w:val="1"/>
        </w:numPr>
        <w:spacing w:lineRule="auto" w:line="259" w:before="0" w:after="60"/>
        <w:contextualSpacing/>
        <w:rPr/>
      </w:pPr>
      <w:r>
        <w:rPr>
          <w:rFonts w:eastAsia="Arial" w:ascii="Arial" w:hAnsi="Arial"/>
          <w:b w:val="false"/>
          <w:i w:val="false"/>
          <w:color w:val="000000"/>
          <w:sz w:val="20"/>
        </w:rPr>
        <w:t>Orienter vers le service humain compétent lorsque la demande dépasse le périmètre public ou touche des données sensibles.</w:t>
      </w:r>
    </w:p>
    <w:p>
      <w:pPr>
        <w:pStyle w:val="ListBullet"/>
        <w:numPr>
          <w:ilvl w:val="0"/>
          <w:numId w:val="1"/>
        </w:numPr>
        <w:spacing w:lineRule="auto" w:line="259" w:before="0" w:after="60"/>
        <w:contextualSpacing/>
        <w:rPr/>
      </w:pPr>
      <w:r>
        <w:rPr>
          <w:rFonts w:eastAsia="Arial" w:ascii="Arial" w:hAnsi="Arial"/>
          <w:b w:val="false"/>
          <w:i w:val="false"/>
          <w:color w:val="000000"/>
          <w:sz w:val="20"/>
        </w:rPr>
        <w:t>Soutenir la FAQ, l’accueil, la formation du personnel et la communication institutionnelle.</w:t>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3. Cartographie des volumes intégrés</w:t>
      </w:r>
    </w:p>
    <w:tbl>
      <w:tblPr>
        <w:tblW w:w="10311"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1473"/>
        <w:gridCol w:w="1472"/>
        <w:gridCol w:w="1474"/>
        <w:gridCol w:w="1472"/>
        <w:gridCol w:w="1474"/>
        <w:gridCol w:w="1472"/>
        <w:gridCol w:w="1473"/>
      </w:tblGrid>
      <w:tr>
        <w:trPr>
          <w:tblHeader w:val="true"/>
        </w:trPr>
        <w:tc>
          <w:tcPr>
            <w:tcW w:w="1473"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Vol.</w:t>
            </w:r>
          </w:p>
        </w:tc>
        <w:tc>
          <w:tcPr>
            <w:tcW w:w="1472"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Code</w:t>
            </w:r>
          </w:p>
        </w:tc>
        <w:tc>
          <w:tcPr>
            <w:tcW w:w="1474"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Titre</w:t>
            </w:r>
          </w:p>
        </w:tc>
        <w:tc>
          <w:tcPr>
            <w:tcW w:w="1472"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Pages</w:t>
            </w:r>
          </w:p>
        </w:tc>
        <w:tc>
          <w:tcPr>
            <w:tcW w:w="1474"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Fiches</w:t>
            </w:r>
          </w:p>
        </w:tc>
        <w:tc>
          <w:tcPr>
            <w:tcW w:w="1472"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Q/R</w:t>
            </w:r>
          </w:p>
        </w:tc>
        <w:tc>
          <w:tcPr>
            <w:tcW w:w="1473"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Déf.</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ACC-QA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Banque de questions — Page d’accueil</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57</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38</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444</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104</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ACC-REL</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Relevé source — Page d’accueil</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03</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APR-QA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À propos</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36</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24</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240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58</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04</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PRO-QA</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Programmes</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42</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30</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300</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85</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05</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VIE-QA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Vie scolaire</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48</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38</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380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92</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06</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ADM-QA</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Admissions</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40</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400</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129</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07</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ADM-DEF-QA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Inscription définitive — Compléter mon dossier</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30</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20</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200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141</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08</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PRE-QA</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Préinscrire mon enfant</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470</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88</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09</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PAR-QA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Espace Parents</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44</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91</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QUA-QA</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Qualité et engagements</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72</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59</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590</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99</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11</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VEI-QA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Veille officielle</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32</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320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82</w:t>
            </w:r>
          </w:p>
        </w:tc>
      </w:tr>
      <w:tr>
        <w:trPr/>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12</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ACT-QA</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Actualités et galerie</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38</w:t>
            </w:r>
          </w:p>
        </w:tc>
        <w:tc>
          <w:tcPr>
            <w:tcW w:w="1474"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40</w:t>
            </w:r>
          </w:p>
        </w:tc>
        <w:tc>
          <w:tcPr>
            <w:tcW w:w="1472"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400</w:t>
            </w:r>
          </w:p>
        </w:tc>
        <w:tc>
          <w:tcPr>
            <w:tcW w:w="1473"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94</w:t>
            </w:r>
          </w:p>
        </w:tc>
      </w:tr>
      <w:tr>
        <w:trPr/>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13</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CON-QA</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Contact</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55</w:t>
            </w:r>
          </w:p>
        </w:tc>
        <w:tc>
          <w:tcPr>
            <w:tcW w:w="1474"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w:t>
            </w:r>
          </w:p>
        </w:tc>
        <w:tc>
          <w:tcPr>
            <w:tcW w:w="1472"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450</w:t>
            </w:r>
          </w:p>
        </w:tc>
        <w:tc>
          <w:tcPr>
            <w:tcW w:w="1473"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106</w:t>
            </w:r>
          </w:p>
        </w:tc>
      </w:tr>
    </w:tbl>
    <w:p>
      <w:pPr>
        <w:pStyle w:val="Normal"/>
        <w:spacing w:before="0" w:after="20"/>
        <w:rPr/>
      </w:pPr>
      <w:r>
        <w:rPr/>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D8AE24"/>
              <w:start w:val="single" w:sz="10" w:space="0" w:color="D8AE24"/>
              <w:bottom w:val="single" w:sz="10" w:space="0" w:color="D8AE24"/>
              <w:end w:val="single" w:sz="10" w:space="0" w:color="D8AE24"/>
            </w:tcBorders>
            <w:shd w:fill="FFF6D9"/>
          </w:tcPr>
          <w:p>
            <w:pPr>
              <w:pStyle w:val="Normal"/>
              <w:spacing w:lineRule="auto" w:line="252" w:before="0" w:after="40"/>
              <w:rPr/>
            </w:pPr>
            <w:r>
              <w:rPr>
                <w:rFonts w:eastAsia="Arial" w:ascii="Arial" w:hAnsi="Arial"/>
                <w:b/>
                <w:i w:val="false"/>
                <w:color w:val="0B3D91"/>
                <w:sz w:val="20"/>
              </w:rPr>
              <w:t>Ordre de lecture</w:t>
            </w:r>
          </w:p>
          <w:p>
            <w:pPr>
              <w:pStyle w:val="Normal"/>
              <w:spacing w:lineRule="auto" w:line="259" w:before="0" w:after="0"/>
              <w:rPr/>
            </w:pPr>
            <w:r>
              <w:rPr>
                <w:rFonts w:eastAsia="Arial" w:ascii="Arial" w:hAnsi="Arial"/>
                <w:b w:val="false"/>
                <w:i w:val="false"/>
                <w:color w:val="000000"/>
                <w:sz w:val="19"/>
              </w:rPr>
              <w:t>Les treize volumes sont reproduits intégralement après le dossier de gouvernance. Les couvertures, tableaux, questions-réponses, glossaires et observations de chaque fichier source sont conservés.</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3.1. Domaines de routage recommandés pour ÉMINA</w:t>
      </w:r>
    </w:p>
    <w:tbl>
      <w:tblPr>
        <w:tblW w:w="10311"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3437"/>
        <w:gridCol w:w="3437"/>
        <w:gridCol w:w="3437"/>
      </w:tblGrid>
      <w:tr>
        <w:trPr>
          <w:tblHeader w:val="true"/>
        </w:trPr>
        <w:tc>
          <w:tcPr>
            <w:tcW w:w="3437"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6"/>
              </w:rPr>
              <w:t>Domaine</w:t>
            </w:r>
          </w:p>
        </w:tc>
        <w:tc>
          <w:tcPr>
            <w:tcW w:w="3437"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6"/>
              </w:rPr>
              <w:t>Contenu</w:t>
            </w:r>
          </w:p>
        </w:tc>
        <w:tc>
          <w:tcPr>
            <w:tcW w:w="3437"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6"/>
              </w:rPr>
              <w:t>Service d’escalade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ACC</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Accueil, identité générale, navigation</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Communication / Direction</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APR</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Vision, mission, valeurs, approche éducative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Direction</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PRO</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Programmes, maternelle, primaire, bilinguisme</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Direction académique</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VIE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Vie scolaire, activités, santé, sécurité, protection</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Vie scolaire / DBSPE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ADM</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Admissions, préinscription, dossier, pièces, frais</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Service Admissions / Finances</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PAR</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Espace Parents, suivi familial, sortie sécurisée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Administration / DSI</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QUA</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Assurance qualité, documentation, départements, ÉMINA</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DAQAC / Direction</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VEI</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Veille officielle, sources, alertes et validation humaine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Direction / DAQAC</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ACT</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Actualités, galerie et publications</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Communication</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CON</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Contact, visite, canaux officiels</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Accueil / Communication</w:t>
            </w:r>
          </w:p>
        </w:tc>
      </w:tr>
    </w:tbl>
    <w:p>
      <w:pPr>
        <w:pStyle w:val="Normal"/>
        <w:spacing w:before="0" w:after="20"/>
        <w:rPr/>
      </w:pPr>
      <w:r>
        <w:rPr/>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4. Modèle d’ingestion dans la base de connaissances d’ÉMINA</w:t>
      </w:r>
    </w:p>
    <w:p>
      <w:pPr>
        <w:pStyle w:val="Normal"/>
        <w:spacing w:lineRule="auto" w:line="259" w:before="0" w:after="60"/>
        <w:rPr/>
      </w:pPr>
      <w:r>
        <w:rPr>
          <w:rFonts w:eastAsia="Arial" w:ascii="Arial" w:hAnsi="Arial"/>
          <w:b w:val="false"/>
          <w:i w:val="false"/>
          <w:color w:val="000000"/>
          <w:sz w:val="20"/>
        </w:rPr>
        <w:t>Chaque question-réponse doit être transformée en fiche atomique, liée à son titre, à sa section et à son fichier source. Les définitions doivent être indexées comme entrées distinctes. Les paragraphes « raison », « importance » et « liens » doivent porter une étiquette d’analyse institutionnelle afin d’éviter toute confusion avec le texte publié.</w:t>
      </w:r>
    </w:p>
    <w:p>
      <w:pPr>
        <w:pStyle w:val="Normal"/>
        <w:keepNext w:val="true"/>
        <w:spacing w:lineRule="auto" w:line="240" w:before="200" w:after="120"/>
        <w:rPr/>
      </w:pPr>
      <w:r>
        <w:rPr>
          <w:rFonts w:eastAsia="Arial" w:ascii="Arial" w:hAnsi="Arial"/>
          <w:b/>
          <w:i w:val="false"/>
          <w:color w:val="0B3D91"/>
          <w:sz w:val="26"/>
        </w:rPr>
        <w:t>4.1. Champs obligatoires d’une fiche de connaissance</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6"/>
              </w:rPr>
              <w:t>Champ</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6"/>
              </w:rPr>
              <w:t>Exigence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kb_id</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Identifiant stable, par exemple GSE-EMINA-KB-SITE-001::ADM-QA::F03::Q07</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source_code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Code du volume source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source_title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Titre du fichier ou de la page source</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source_url</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URL publique de référence, lorsqu’elle existe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source_filename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Nom exact du fichier Word intégré</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source_version</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Version documentaire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source_date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Date de contrôle ou d’effet</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source_sha256</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Empreinte SHA-256 du fichier source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language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Langue du fragment ; fr pour ce corpus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domain / service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Domaine métier et service d’escalade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title / section</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Titre et section d’origine</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question_canonical</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Question de référence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question_variants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Reformulations et variantes autorisées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answer_reference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Réponse fidèle au texte sous-jacent</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answer_type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published_text, faithful_paraphrase, institutional_analysis, editorial_observation ou definition</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keywords / acronyms</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Mots clés, sigles et abréviations</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visibility</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public, internal_controlled, sensitive_generic ou excluded_demo</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authorized_roles</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Rôles autorisés à consulter le fragment</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status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draft, review, validated, published, suspended, replaced ou archived</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escalation_service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Service humain compétent</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confidence_threshold</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6"/>
              </w:rPr>
              <w:t>Seuil de confiance pour répondre ou demander une clarification</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4.2. Exemple de structure JSON à générer lors de l’import</w:t>
      </w:r>
    </w:p>
    <w:tbl>
      <w:tblPr>
        <w:tblW w:w="10312" w:type="dxa"/>
        <w:jc w:val="center"/>
        <w:tblInd w:w="0" w:type="dxa"/>
        <w:tblLayout w:type="fixed"/>
        <w:tblCellMar>
          <w:top w:w="70" w:type="dxa"/>
          <w:start w:w="120" w:type="dxa"/>
          <w:bottom w:w="70" w:type="dxa"/>
          <w:end w:w="120" w:type="dxa"/>
        </w:tblCellMar>
        <w:tblLook w:val="04a0" w:noHBand="0" w:noVBand="1" w:firstColumn="1" w:lastRow="0" w:lastColumn="0" w:firstRow="1"/>
      </w:tblPr>
      <w:tblGrid>
        <w:gridCol w:w="10312"/>
      </w:tblGrid>
      <w:tr>
        <w:trPr/>
        <w:tc>
          <w:tcPr>
            <w:tcW w:w="10312" w:type="dxa"/>
            <w:tcBorders>
              <w:top w:val="single" w:sz="4" w:space="0" w:color="C8D1DC"/>
              <w:start w:val="single" w:sz="4" w:space="0" w:color="C8D1DC"/>
              <w:bottom w:val="single" w:sz="4" w:space="0" w:color="C8D1DC"/>
              <w:end w:val="single" w:sz="4" w:space="0" w:color="C8D1DC"/>
            </w:tcBorders>
            <w:shd w:fill="F7F8FA"/>
          </w:tcPr>
          <w:p>
            <w:pPr>
              <w:pStyle w:val="Normal"/>
              <w:spacing w:lineRule="auto" w:line="211" w:before="0" w:after="0"/>
              <w:rPr/>
            </w:pPr>
            <w:r>
              <w:rPr>
                <w:rFonts w:eastAsia="Consolas" w:ascii="Consolas" w:hAnsi="Consolas"/>
                <w:b w:val="false"/>
                <w:i w:val="false"/>
                <w:color w:val="333333"/>
                <w:sz w:val="14"/>
              </w:rPr>
              <w:t>{</w:t>
              <w:br/>
              <w:t xml:space="preserve">  "kb_id": "GSE-EMINA-KB-SITE-001::ADM-QA::F03::Q07",</w:t>
              <w:br/>
              <w:t xml:space="preserve">  "language": "fr",</w:t>
              <w:br/>
              <w:t xml:space="preserve">  "domain": "admissions",</w:t>
              <w:br/>
              <w:t xml:space="preserve">  "source_code": "ADM-QA",</w:t>
              <w:br/>
              <w:t xml:space="preserve">  "source_url": "https://test.gsleseminents.com/admissions/",</w:t>
              <w:br/>
              <w:t xml:space="preserve">  "source_version": "1.0.0",</w:t>
              <w:br/>
              <w:t xml:space="preserve">  "source_date": "2026-07-02",</w:t>
              <w:br/>
              <w:t xml:space="preserve">  "source_sha256": "&lt;empreinte du fichier source&gt;",</w:t>
              <w:br/>
              <w:t xml:space="preserve">  "title": "&lt;titre de la fiche&gt;",</w:t>
              <w:br/>
              <w:t xml:space="preserve">  "section": "&lt;section d'origine&gt;",</w:t>
              <w:br/>
              <w:t xml:space="preserve">  "question_canonical": "&lt;question&gt;",</w:t>
              <w:br/>
              <w:t xml:space="preserve">  "question_variants": ["&lt;variante 1&gt;", "&lt;variante 2&gt;"],</w:t>
              <w:br/>
              <w:t xml:space="preserve">  "answer_reference": "&lt;réponse fidèle&gt;",</w:t>
              <w:br/>
              <w:t xml:space="preserve">  "answer_type": "published_text",</w:t>
              <w:br/>
              <w:t xml:space="preserve">  "visibility": "public",</w:t>
              <w:br/>
              <w:t xml:space="preserve">  "status": "published",</w:t>
              <w:br/>
              <w:t xml:space="preserve">  "escalation_service": "Admissions"</w:t>
              <w:br/>
              <w:t>}</w:t>
            </w:r>
          </w:p>
        </w:tc>
      </w:tr>
    </w:tbl>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5. Règles de réponse, sécurité et escalade</w:t>
      </w:r>
    </w:p>
    <w:p>
      <w:pPr>
        <w:pStyle w:val="Normal"/>
        <w:keepNext w:val="true"/>
        <w:spacing w:lineRule="auto" w:line="240" w:before="200" w:after="120"/>
        <w:rPr/>
      </w:pPr>
      <w:r>
        <w:rPr>
          <w:rFonts w:eastAsia="Arial" w:ascii="Arial" w:hAnsi="Arial"/>
          <w:b/>
          <w:i w:val="false"/>
          <w:color w:val="0B3D91"/>
          <w:sz w:val="26"/>
        </w:rPr>
        <w:t>5.1. Hiérarchie des sources</w:t>
      </w:r>
    </w:p>
    <w:p>
      <w:pPr>
        <w:pStyle w:val="ListBullet"/>
        <w:numPr>
          <w:ilvl w:val="0"/>
          <w:numId w:val="1"/>
        </w:numPr>
        <w:spacing w:lineRule="auto" w:line="259" w:before="0" w:after="60"/>
        <w:contextualSpacing/>
        <w:rPr/>
      </w:pPr>
      <w:r>
        <w:rPr>
          <w:rFonts w:eastAsia="Arial" w:ascii="Arial" w:hAnsi="Arial"/>
          <w:b w:val="false"/>
          <w:i w:val="false"/>
          <w:color w:val="000000"/>
          <w:sz w:val="20"/>
        </w:rPr>
        <w:t>Priorité 1 : texte public officiellement publié et validé sur le site.</w:t>
      </w:r>
    </w:p>
    <w:p>
      <w:pPr>
        <w:pStyle w:val="ListBullet"/>
        <w:numPr>
          <w:ilvl w:val="0"/>
          <w:numId w:val="1"/>
        </w:numPr>
        <w:spacing w:lineRule="auto" w:line="259" w:before="0" w:after="60"/>
        <w:contextualSpacing/>
        <w:rPr/>
      </w:pPr>
      <w:r>
        <w:rPr>
          <w:rFonts w:eastAsia="Arial" w:ascii="Arial" w:hAnsi="Arial"/>
          <w:b w:val="false"/>
          <w:i w:val="false"/>
          <w:color w:val="000000"/>
          <w:sz w:val="20"/>
        </w:rPr>
        <w:t>Priorité 2 : réponse de référence explicitement rattachée au texte publié.</w:t>
      </w:r>
    </w:p>
    <w:p>
      <w:pPr>
        <w:pStyle w:val="ListBullet"/>
        <w:numPr>
          <w:ilvl w:val="0"/>
          <w:numId w:val="1"/>
        </w:numPr>
        <w:spacing w:lineRule="auto" w:line="259" w:before="0" w:after="60"/>
        <w:contextualSpacing/>
        <w:rPr/>
      </w:pPr>
      <w:r>
        <w:rPr>
          <w:rFonts w:eastAsia="Arial" w:ascii="Arial" w:hAnsi="Arial"/>
          <w:b w:val="false"/>
          <w:i w:val="false"/>
          <w:color w:val="000000"/>
          <w:sz w:val="20"/>
        </w:rPr>
        <w:t>Priorité 3 : définition ou explication institutionnelle clairement étiquetée.</w:t>
      </w:r>
    </w:p>
    <w:p>
      <w:pPr>
        <w:pStyle w:val="ListBullet"/>
        <w:numPr>
          <w:ilvl w:val="0"/>
          <w:numId w:val="1"/>
        </w:numPr>
        <w:spacing w:lineRule="auto" w:line="259" w:before="0" w:after="60"/>
        <w:contextualSpacing/>
        <w:rPr/>
      </w:pPr>
      <w:r>
        <w:rPr>
          <w:rFonts w:eastAsia="Arial" w:ascii="Arial" w:hAnsi="Arial"/>
          <w:b w:val="false"/>
          <w:i w:val="false"/>
          <w:color w:val="000000"/>
          <w:sz w:val="20"/>
        </w:rPr>
        <w:t>Observation éditoriale : utilisée pour corriger ou alerter, jamais comme promesse ou politique officielle.</w:t>
      </w:r>
    </w:p>
    <w:p>
      <w:pPr>
        <w:pStyle w:val="ListBullet"/>
        <w:numPr>
          <w:ilvl w:val="0"/>
          <w:numId w:val="1"/>
        </w:numPr>
        <w:spacing w:lineRule="auto" w:line="259" w:before="0" w:after="60"/>
        <w:contextualSpacing/>
        <w:rPr/>
      </w:pPr>
      <w:r>
        <w:rPr>
          <w:rFonts w:eastAsia="Arial" w:ascii="Arial" w:hAnsi="Arial"/>
          <w:b w:val="false"/>
          <w:i w:val="false"/>
          <w:color w:val="000000"/>
          <w:sz w:val="20"/>
        </w:rPr>
        <w:t>Brouillon ou contenu vide : ne donne lieu à aucune invention ; ÉMINA indique que l’information n’est pas encore publiée.</w:t>
      </w:r>
    </w:p>
    <w:p>
      <w:pPr>
        <w:pStyle w:val="Normal"/>
        <w:keepNext w:val="true"/>
        <w:spacing w:lineRule="auto" w:line="240" w:before="200" w:after="120"/>
        <w:rPr/>
      </w:pPr>
      <w:r>
        <w:rPr>
          <w:rFonts w:eastAsia="Arial" w:ascii="Arial" w:hAnsi="Arial"/>
          <w:b/>
          <w:i w:val="false"/>
          <w:color w:val="0B3D91"/>
          <w:sz w:val="26"/>
        </w:rPr>
        <w:t>5.2. Seuils de confiance recommandés</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Niveau</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Règle de comportement</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 xml:space="preserve">≥ </w:t>
            </w:r>
            <w:r>
              <w:rPr>
                <w:rFonts w:eastAsia="Arial" w:ascii="Arial" w:hAnsi="Arial"/>
                <w:b w:val="false"/>
                <w:i w:val="false"/>
                <w:color w:val="000000"/>
                <w:sz w:val="17"/>
              </w:rPr>
              <w:t>0,90</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Répondre à partir d’un fragment publié, en conservant la source et la date.</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0,75 à 0,89</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Répondre prudemment, signaler la formulation de la source ou demander une précision.</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&lt; 0,75</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Ne pas improviser ; demander une clarification ou transférer au service humain compétent.</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5.3. Confidentialité et contrôle d’accès</w:t>
      </w:r>
    </w:p>
    <w:p>
      <w:pPr>
        <w:pStyle w:val="ListBullet"/>
        <w:numPr>
          <w:ilvl w:val="0"/>
          <w:numId w:val="1"/>
        </w:numPr>
        <w:spacing w:lineRule="auto" w:line="259" w:before="0" w:after="60"/>
        <w:contextualSpacing/>
        <w:rPr/>
      </w:pPr>
      <w:r>
        <w:rPr>
          <w:rFonts w:eastAsia="Arial" w:ascii="Arial" w:hAnsi="Arial"/>
          <w:b w:val="false"/>
          <w:i w:val="false"/>
          <w:color w:val="000000"/>
          <w:sz w:val="20"/>
        </w:rPr>
        <w:t>ÉMINA publique utilise uniquement les informations publiées et autorisées.</w:t>
      </w:r>
    </w:p>
    <w:p>
      <w:pPr>
        <w:pStyle w:val="ListBullet"/>
        <w:numPr>
          <w:ilvl w:val="0"/>
          <w:numId w:val="1"/>
        </w:numPr>
        <w:spacing w:lineRule="auto" w:line="259" w:before="0" w:after="60"/>
        <w:contextualSpacing/>
        <w:rPr/>
      </w:pPr>
      <w:r>
        <w:rPr>
          <w:rFonts w:eastAsia="Arial" w:ascii="Arial" w:hAnsi="Arial"/>
          <w:b w:val="false"/>
          <w:i w:val="false"/>
          <w:color w:val="000000"/>
          <w:sz w:val="20"/>
        </w:rPr>
        <w:t>Les informations médicales, financières, personnelles, de garde, de paiement ou de dossier individuel ne sont jamais exposées sans authentification et habilitation.</w:t>
      </w:r>
    </w:p>
    <w:p>
      <w:pPr>
        <w:pStyle w:val="ListBullet"/>
        <w:numPr>
          <w:ilvl w:val="0"/>
          <w:numId w:val="1"/>
        </w:numPr>
        <w:spacing w:lineRule="auto" w:line="259" w:before="0" w:after="60"/>
        <w:contextualSpacing/>
        <w:rPr/>
      </w:pPr>
      <w:r>
        <w:rPr>
          <w:rFonts w:eastAsia="Arial" w:ascii="Arial" w:hAnsi="Arial"/>
          <w:b w:val="false"/>
          <w:i w:val="false"/>
          <w:color w:val="000000"/>
          <w:sz w:val="20"/>
        </w:rPr>
        <w:t>Les champs génériques d’un formulaire peuvent être expliqués ; aucune soumission réelle ni donnée d’un enfant ou d’une famille ne doit être indexée dans ce corpus public.</w:t>
      </w:r>
    </w:p>
    <w:p>
      <w:pPr>
        <w:pStyle w:val="ListBullet"/>
        <w:numPr>
          <w:ilvl w:val="0"/>
          <w:numId w:val="1"/>
        </w:numPr>
        <w:spacing w:lineRule="auto" w:line="259" w:before="0" w:after="60"/>
        <w:contextualSpacing/>
        <w:rPr/>
      </w:pPr>
      <w:r>
        <w:rPr>
          <w:rFonts w:eastAsia="Arial" w:ascii="Arial" w:hAnsi="Arial"/>
          <w:b w:val="false"/>
          <w:i w:val="false"/>
          <w:color w:val="000000"/>
          <w:sz w:val="20"/>
        </w:rPr>
        <w:t>Les demandes sensibles sont orientées vers une personne habilitée, avec explication courtoise de la limite de confidentialité.</w:t>
      </w:r>
    </w:p>
    <w:p>
      <w:pPr>
        <w:pStyle w:val="ListBullet"/>
        <w:numPr>
          <w:ilvl w:val="0"/>
          <w:numId w:val="1"/>
        </w:numPr>
        <w:spacing w:lineRule="auto" w:line="259" w:before="0" w:after="60"/>
        <w:contextualSpacing/>
        <w:rPr/>
      </w:pPr>
      <w:r>
        <w:rPr>
          <w:rFonts w:eastAsia="Arial" w:ascii="Arial" w:hAnsi="Arial"/>
          <w:b w:val="false"/>
          <w:i w:val="false"/>
          <w:color w:val="000000"/>
          <w:sz w:val="20"/>
        </w:rPr>
        <w:t>Les fonctions annoncées comme futures doivent être décrites comme futures, non comme déjà actives.</w:t>
      </w:r>
    </w:p>
    <w:p>
      <w:pPr>
        <w:pStyle w:val="Normal"/>
        <w:keepNext w:val="true"/>
        <w:spacing w:lineRule="auto" w:line="240" w:before="200" w:after="120"/>
        <w:rPr/>
      </w:pPr>
      <w:r>
        <w:rPr>
          <w:rFonts w:eastAsia="Arial" w:ascii="Arial" w:hAnsi="Arial"/>
          <w:b/>
          <w:i w:val="false"/>
          <w:color w:val="0B3D91"/>
          <w:sz w:val="26"/>
        </w:rPr>
        <w:t>5.4. Services d’escalade</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Type de demande</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Service recommandé</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Admission, pièces, dossier, disponibilité des places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Service Admissions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Paiement, solde, reçu ou échéance personnelle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Service Finances — après authentification</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Santé, urgence, traitement ou donnée médicale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Personnel de santé / DBSPE habilité</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Protection, sécurité, remise d’un enfant</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DBSPE / Direction / agent habilité</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Réclamation qualité ou conformité</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DAQAC</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Accès, compte, portail ou incident technique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DSI</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Partenariat, décision officielle ou interprétation juridique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Direction</w:t>
            </w:r>
          </w:p>
        </w:tc>
      </w:tr>
    </w:tbl>
    <w:p>
      <w:pPr>
        <w:pStyle w:val="Normal"/>
        <w:spacing w:before="0" w:after="20"/>
        <w:rPr/>
      </w:pPr>
      <w:r>
        <w:rPr/>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6. Registre des exclusions, anomalies et informations à ne pas servir</w:t>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A61B1B"/>
              <w:start w:val="single" w:sz="10" w:space="0" w:color="A61B1B"/>
              <w:bottom w:val="single" w:sz="10" w:space="0" w:color="A61B1B"/>
              <w:end w:val="single" w:sz="10" w:space="0" w:color="A61B1B"/>
            </w:tcBorders>
            <w:shd w:fill="FDE9E7"/>
          </w:tcPr>
          <w:p>
            <w:pPr>
              <w:pStyle w:val="Normal"/>
              <w:spacing w:lineRule="auto" w:line="252" w:before="0" w:after="40"/>
              <w:rPr/>
            </w:pPr>
            <w:r>
              <w:rPr>
                <w:rFonts w:eastAsia="Arial" w:ascii="Arial" w:hAnsi="Arial"/>
                <w:b/>
                <w:i w:val="false"/>
                <w:color w:val="A61B1B"/>
                <w:sz w:val="20"/>
              </w:rPr>
              <w:t>Alerte d’ingestion</w:t>
            </w:r>
          </w:p>
          <w:p>
            <w:pPr>
              <w:pStyle w:val="Normal"/>
              <w:spacing w:lineRule="auto" w:line="259" w:before="0" w:after="0"/>
              <w:rPr/>
            </w:pPr>
            <w:r>
              <w:rPr>
                <w:rFonts w:eastAsia="Arial" w:ascii="Arial" w:hAnsi="Arial"/>
                <w:b w:val="false"/>
                <w:i w:val="false"/>
                <w:color w:val="000000"/>
                <w:sz w:val="19"/>
              </w:rPr>
              <w:t>Les éléments ci-dessous apparaissent dans certains relevés afin de documenter des anomalies du site. Ils doivent être indexés comme « excluded_demo » ou « editorial_observation » et ne doivent jamais être servis comme coordonnées, politiques ou promesses officielles.</w:t>
            </w:r>
          </w:p>
        </w:tc>
      </w:tr>
    </w:tbl>
    <w:p>
      <w:pPr>
        <w:pStyle w:val="Normal"/>
        <w:spacing w:before="0" w:after="20"/>
        <w:rPr/>
      </w:pPr>
      <w:r>
        <w:rPr/>
      </w:r>
    </w:p>
    <w:tbl>
      <w:tblPr>
        <w:tblW w:w="10311"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3437"/>
        <w:gridCol w:w="3437"/>
        <w:gridCol w:w="3437"/>
      </w:tblGrid>
      <w:tr>
        <w:trPr>
          <w:tblHeader w:val="true"/>
        </w:trPr>
        <w:tc>
          <w:tcPr>
            <w:tcW w:w="3437" w:type="dxa"/>
            <w:tcBorders>
              <w:top w:val="single" w:sz="4" w:space="0" w:color="FFFFFF"/>
              <w:start w:val="single" w:sz="4" w:space="0" w:color="FFFFFF"/>
              <w:bottom w:val="single" w:sz="4" w:space="0" w:color="FFFFFF"/>
              <w:end w:val="single" w:sz="4" w:space="0" w:color="FFFFFF"/>
            </w:tcBorders>
            <w:shd w:fill="A61B1B"/>
          </w:tcPr>
          <w:p>
            <w:pPr>
              <w:pStyle w:val="Normal"/>
              <w:spacing w:lineRule="auto" w:line="240" w:before="0" w:after="0"/>
              <w:jc w:val="center"/>
              <w:rPr/>
            </w:pPr>
            <w:r>
              <w:rPr>
                <w:rFonts w:eastAsia="Arial" w:ascii="Arial" w:hAnsi="Arial"/>
                <w:b/>
                <w:i w:val="false"/>
                <w:color w:val="FFFFFF"/>
                <w:sz w:val="15"/>
              </w:rPr>
              <w:t>Élément</w:t>
            </w:r>
          </w:p>
        </w:tc>
        <w:tc>
          <w:tcPr>
            <w:tcW w:w="3437" w:type="dxa"/>
            <w:tcBorders>
              <w:top w:val="single" w:sz="4" w:space="0" w:color="FFFFFF"/>
              <w:start w:val="single" w:sz="4" w:space="0" w:color="FFFFFF"/>
              <w:bottom w:val="single" w:sz="4" w:space="0" w:color="FFFFFF"/>
              <w:end w:val="single" w:sz="4" w:space="0" w:color="FFFFFF"/>
            </w:tcBorders>
            <w:shd w:fill="A61B1B"/>
          </w:tcPr>
          <w:p>
            <w:pPr>
              <w:pStyle w:val="Normal"/>
              <w:spacing w:lineRule="auto" w:line="240" w:before="0" w:after="0"/>
              <w:jc w:val="center"/>
              <w:rPr/>
            </w:pPr>
            <w:r>
              <w:rPr>
                <w:rFonts w:eastAsia="Arial" w:ascii="Arial" w:hAnsi="Arial"/>
                <w:b/>
                <w:i w:val="false"/>
                <w:color w:val="FFFFFF"/>
                <w:sz w:val="15"/>
              </w:rPr>
              <w:t>Contenu observé</w:t>
            </w:r>
          </w:p>
        </w:tc>
        <w:tc>
          <w:tcPr>
            <w:tcW w:w="3437" w:type="dxa"/>
            <w:tcBorders>
              <w:top w:val="single" w:sz="4" w:space="0" w:color="FFFFFF"/>
              <w:start w:val="single" w:sz="4" w:space="0" w:color="FFFFFF"/>
              <w:bottom w:val="single" w:sz="4" w:space="0" w:color="FFFFFF"/>
              <w:end w:val="single" w:sz="4" w:space="0" w:color="FFFFFF"/>
            </w:tcBorders>
            <w:shd w:fill="A61B1B"/>
          </w:tcPr>
          <w:p>
            <w:pPr>
              <w:pStyle w:val="Normal"/>
              <w:spacing w:lineRule="auto" w:line="240" w:before="0" w:after="0"/>
              <w:jc w:val="center"/>
              <w:rPr/>
            </w:pPr>
            <w:r>
              <w:rPr>
                <w:rFonts w:eastAsia="Arial" w:ascii="Arial" w:hAnsi="Arial"/>
                <w:b/>
                <w:i w:val="false"/>
                <w:color w:val="FFFFFF"/>
                <w:sz w:val="15"/>
              </w:rPr>
              <w:t>Traitement obligatoire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Adresse de démonstration</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1234 Demo Ave, Austin, TX 56789, United States.</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EXCLURE des réponses officielles.</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Téléphone de démonstration</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+1 123-456-7891 ou numéro +01 similaire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EXCLURE ; utiliser les numéros officiels du GSE.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E-mail de démonstration</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mail@example.com</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EXCLURE ; utiliser promotion@gsleseminents.com.</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Orthographe secondaire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 SECONDAIRE (PLUTARD) »</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Traiter comme anomalie ; préférer « PLUS TARD » ou « PROCHAINEMENT » après validation éditoriale.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Signature ancienne / visuelle</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EXCELLENCE • VALEURS • AVENIR</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Ne pas substituer aux valeurs institutionnelles actives : FOI • EXCELLENCE • INTÉGRITÉ • LEADERSHIP.</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Pages en brouillon</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Secondaire et Programme spirituel sans contenu développé</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Ne rien inventer ; indiquer que le contenu n’est pas encore publié.</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Portail Parents</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Fonctions annoncées comme futures ou en préparation</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Ne pas les présenter comme déjà actives tant que l’activation publique n’est pas confirmée.</w:t>
            </w:r>
          </w:p>
        </w:tc>
      </w:tr>
      <w:tr>
        <w:trPr/>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Préinscription</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Demande de contact initiale</w:t>
            </w:r>
          </w:p>
        </w:tc>
        <w:tc>
          <w:tcPr>
            <w:tcW w:w="343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Ne pas la présenter comme une admission définitive.</w:t>
            </w:r>
          </w:p>
        </w:tc>
      </w:tr>
      <w:tr>
        <w:trPr/>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Transmission du dossier</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Envoi du formulaire complet</w:t>
            </w:r>
          </w:p>
        </w:tc>
        <w:tc>
          <w:tcPr>
            <w:tcW w:w="343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Ne pas la présenter comme une décision d’admission.</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6.1. Règles de langage et de traduction</w:t>
      </w:r>
    </w:p>
    <w:p>
      <w:pPr>
        <w:pStyle w:val="ListBullet"/>
        <w:numPr>
          <w:ilvl w:val="0"/>
          <w:numId w:val="1"/>
        </w:numPr>
        <w:spacing w:lineRule="auto" w:line="259" w:before="0" w:after="60"/>
        <w:contextualSpacing/>
        <w:rPr/>
      </w:pPr>
      <w:r>
        <w:rPr>
          <w:rFonts w:eastAsia="Arial" w:ascii="Arial" w:hAnsi="Arial"/>
          <w:b w:val="false"/>
          <w:i w:val="false"/>
          <w:color w:val="000000"/>
          <w:sz w:val="20"/>
        </w:rPr>
        <w:t>Le français publié constitue la source principale de ce corpus.</w:t>
      </w:r>
    </w:p>
    <w:p>
      <w:pPr>
        <w:pStyle w:val="ListBullet"/>
        <w:numPr>
          <w:ilvl w:val="0"/>
          <w:numId w:val="1"/>
        </w:numPr>
        <w:spacing w:lineRule="auto" w:line="259" w:before="0" w:after="60"/>
        <w:contextualSpacing/>
        <w:rPr/>
      </w:pPr>
      <w:r>
        <w:rPr>
          <w:rFonts w:eastAsia="Arial" w:ascii="Arial" w:hAnsi="Arial"/>
          <w:b w:val="false"/>
          <w:i w:val="false"/>
          <w:color w:val="000000"/>
          <w:sz w:val="20"/>
        </w:rPr>
        <w:t>Les traductions approuvées doivent être indexées séparément par langue et reliées au fragment français officiel.</w:t>
      </w:r>
    </w:p>
    <w:p>
      <w:pPr>
        <w:pStyle w:val="ListBullet"/>
        <w:numPr>
          <w:ilvl w:val="0"/>
          <w:numId w:val="1"/>
        </w:numPr>
        <w:spacing w:lineRule="auto" w:line="259" w:before="0" w:after="60"/>
        <w:contextualSpacing/>
        <w:rPr/>
      </w:pPr>
      <w:r>
        <w:rPr>
          <w:rFonts w:eastAsia="Arial" w:ascii="Arial" w:hAnsi="Arial"/>
          <w:b w:val="false"/>
          <w:i w:val="false"/>
          <w:color w:val="000000"/>
          <w:sz w:val="20"/>
        </w:rPr>
        <w:t>ÉMINA répond dans la langue sélectionnée parmi le français, l’anglais, le kiswahili, le lingala, le kikongo ya leta et le tshiluba, uniquement à partir de traductions validées ou d’une traduction encadrée.</w:t>
      </w:r>
    </w:p>
    <w:p>
      <w:pPr>
        <w:pStyle w:val="ListBullet"/>
        <w:numPr>
          <w:ilvl w:val="0"/>
          <w:numId w:val="1"/>
        </w:numPr>
        <w:spacing w:lineRule="auto" w:line="259" w:before="0" w:after="60"/>
        <w:contextualSpacing/>
        <w:rPr/>
      </w:pPr>
      <w:r>
        <w:rPr>
          <w:rFonts w:eastAsia="Arial" w:ascii="Arial" w:hAnsi="Arial"/>
          <w:b w:val="false"/>
          <w:i w:val="false"/>
          <w:color w:val="000000"/>
          <w:sz w:val="20"/>
        </w:rPr>
        <w:t>Les noms institutionnels, codes documentaires, numéros d’arrêté, montants et coordonnées officielles ne doivent pas être altérés par la traduction.</w:t>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7. Registre des sources, versions et intégrité</w:t>
      </w:r>
    </w:p>
    <w:p>
      <w:pPr>
        <w:pStyle w:val="Normal"/>
        <w:spacing w:lineRule="auto" w:line="259" w:before="0" w:after="60"/>
        <w:rPr/>
      </w:pPr>
      <w:r>
        <w:rPr>
          <w:rFonts w:eastAsia="Arial" w:ascii="Arial" w:hAnsi="Arial"/>
          <w:b w:val="false"/>
          <w:i w:val="false"/>
          <w:color w:val="000000"/>
          <w:sz w:val="20"/>
        </w:rPr>
        <w:t>Les empreintes SHA-256 ci-dessous permettent de vérifier que le fichier importé correspond exactement au document source utilisé pour cette compilation. Toute modification d’un fichier impose une nouvelle empreinte, une nouvelle version ou une nouvelle date de contrôle.</w:t>
      </w:r>
    </w:p>
    <w:tbl>
      <w:tblPr>
        <w:tblW w:w="10314"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1719"/>
        <w:gridCol w:w="1718"/>
        <w:gridCol w:w="1720"/>
        <w:gridCol w:w="1719"/>
        <w:gridCol w:w="1718"/>
        <w:gridCol w:w="1719"/>
      </w:tblGrid>
      <w:tr>
        <w:trPr>
          <w:tblHeader w:val="true"/>
        </w:trPr>
        <w:tc>
          <w:tcPr>
            <w:tcW w:w="1719"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Vol.</w:t>
            </w:r>
          </w:p>
        </w:tc>
        <w:tc>
          <w:tcPr>
            <w:tcW w:w="171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Code</w:t>
            </w:r>
          </w:p>
        </w:tc>
        <w:tc>
          <w:tcPr>
            <w:tcW w:w="1720"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Source</w:t>
            </w:r>
          </w:p>
        </w:tc>
        <w:tc>
          <w:tcPr>
            <w:tcW w:w="1719"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Date</w:t>
            </w:r>
          </w:p>
        </w:tc>
        <w:tc>
          <w:tcPr>
            <w:tcW w:w="171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Pages</w:t>
            </w:r>
          </w:p>
        </w:tc>
        <w:tc>
          <w:tcPr>
            <w:tcW w:w="1719"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5"/>
              </w:rPr>
              <w:t>Taille</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ACC-QA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Banque de questions — Page d’accueil</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57</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1352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ACC-REL</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Relevé source — Page d’accueil</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1227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03</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APR-QA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À propos</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36</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4961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04</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PRO-QA</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Programmes</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42</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158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05</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VIE-QA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Vie scolaire</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48</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165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ADM-QA</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Menu Admissions</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47</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176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07</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ADM-DEF-QA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Inscription définitive — Compléter mon dossier</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30</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157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08</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PRE-QA</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Préinscrire mon enfant</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174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09</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PAR-QA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Espace Parents</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44</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174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10</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QUA-QA</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Qualité et engagements</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01-07-2026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72</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168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11</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VEI-QA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Veille officielle</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45</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150 Ko</w:t>
            </w:r>
          </w:p>
        </w:tc>
      </w:tr>
      <w:tr>
        <w:trPr/>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12</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ACT-QA</w:t>
            </w:r>
          </w:p>
        </w:tc>
        <w:tc>
          <w:tcPr>
            <w:tcW w:w="1720"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Actualités et galerie</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38</w:t>
            </w:r>
          </w:p>
        </w:tc>
        <w:tc>
          <w:tcPr>
            <w:tcW w:w="1719"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1729 Ko</w:t>
            </w:r>
          </w:p>
        </w:tc>
      </w:tr>
      <w:tr>
        <w:trPr/>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13</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CON-QA</w:t>
            </w:r>
          </w:p>
        </w:tc>
        <w:tc>
          <w:tcPr>
            <w:tcW w:w="1720"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Contact</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02-07-2026</w:t>
            </w:r>
          </w:p>
        </w:tc>
        <w:tc>
          <w:tcPr>
            <w:tcW w:w="171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55</w:t>
            </w:r>
          </w:p>
        </w:tc>
        <w:tc>
          <w:tcPr>
            <w:tcW w:w="1719"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5"/>
              </w:rPr>
              <w:t>278 Ko</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7.1. Empreintes SHA-256</w:t>
      </w:r>
    </w:p>
    <w:p>
      <w:pPr>
        <w:pStyle w:val="Normal"/>
        <w:spacing w:lineRule="auto" w:line="240" w:before="0" w:after="20"/>
        <w:rPr/>
      </w:pPr>
      <w:r>
        <w:rPr>
          <w:rFonts w:eastAsia="Arial" w:ascii="Arial" w:hAnsi="Arial"/>
          <w:b/>
          <w:i w:val="false"/>
          <w:color w:val="0B3D91"/>
          <w:sz w:val="16"/>
        </w:rPr>
        <w:t>01. ACC-QA — Banque_Questions_Page_Accueil_GSE_01-07-2026.docx</w:t>
      </w:r>
    </w:p>
    <w:p>
      <w:pPr>
        <w:pStyle w:val="Normal"/>
        <w:spacing w:lineRule="auto" w:line="240" w:before="0" w:after="60"/>
        <w:ind w:start="283"/>
        <w:rPr/>
      </w:pPr>
      <w:r>
        <w:rPr>
          <w:rFonts w:eastAsia="Consolas" w:ascii="Consolas" w:hAnsi="Consolas"/>
          <w:b w:val="false"/>
          <w:i w:val="false"/>
          <w:color w:val="333333"/>
          <w:sz w:val="15"/>
        </w:rPr>
        <w:t>b9e8bec137ae52ab50edc9436149b5f5f09ae31356dd2e40fbc2af905d0610e7</w:t>
      </w:r>
    </w:p>
    <w:p>
      <w:pPr>
        <w:pStyle w:val="Normal"/>
        <w:spacing w:lineRule="auto" w:line="240" w:before="0" w:after="20"/>
        <w:rPr/>
      </w:pPr>
      <w:r>
        <w:rPr>
          <w:rFonts w:eastAsia="Arial" w:ascii="Arial" w:hAnsi="Arial"/>
          <w:b/>
          <w:i w:val="false"/>
          <w:color w:val="0B3D91"/>
          <w:sz w:val="16"/>
        </w:rPr>
        <w:t>02. ACC-REL — Releve_Page_Accueil_GSE_01-07-2026(2).docx</w:t>
      </w:r>
    </w:p>
    <w:p>
      <w:pPr>
        <w:pStyle w:val="Normal"/>
        <w:spacing w:lineRule="auto" w:line="240" w:before="0" w:after="60"/>
        <w:ind w:start="283"/>
        <w:rPr/>
      </w:pPr>
      <w:r>
        <w:rPr>
          <w:rFonts w:eastAsia="Consolas" w:ascii="Consolas" w:hAnsi="Consolas"/>
          <w:b w:val="false"/>
          <w:i w:val="false"/>
          <w:color w:val="333333"/>
          <w:sz w:val="15"/>
        </w:rPr>
        <w:t>f22cfafc3fcab96d99e94cb4f8ae4a3317ba421d88bbb9675ef1732de88a38ef</w:t>
      </w:r>
    </w:p>
    <w:p>
      <w:pPr>
        <w:pStyle w:val="Normal"/>
        <w:spacing w:lineRule="auto" w:line="240" w:before="0" w:after="20"/>
        <w:rPr/>
      </w:pPr>
      <w:r>
        <w:rPr>
          <w:rFonts w:eastAsia="Arial" w:ascii="Arial" w:hAnsi="Arial"/>
          <w:b/>
          <w:i w:val="false"/>
          <w:color w:val="0B3D91"/>
          <w:sz w:val="16"/>
        </w:rPr>
        <w:t>03. APR-QA — Banque_Questions_Menu_A_Propos_GSE_01-07-2026(1).docx</w:t>
      </w:r>
    </w:p>
    <w:p>
      <w:pPr>
        <w:pStyle w:val="Normal"/>
        <w:spacing w:lineRule="auto" w:line="240" w:before="0" w:after="60"/>
        <w:ind w:start="283"/>
        <w:rPr/>
      </w:pPr>
      <w:r>
        <w:rPr>
          <w:rFonts w:eastAsia="Consolas" w:ascii="Consolas" w:hAnsi="Consolas"/>
          <w:b w:val="false"/>
          <w:i w:val="false"/>
          <w:color w:val="333333"/>
          <w:sz w:val="15"/>
        </w:rPr>
        <w:t>c946749022f8fbaac3181cee2ff1773c310853ab1b3697165ea03e596a257f1e</w:t>
      </w:r>
    </w:p>
    <w:p>
      <w:pPr>
        <w:pStyle w:val="Normal"/>
        <w:spacing w:lineRule="auto" w:line="240" w:before="0" w:after="20"/>
        <w:rPr/>
      </w:pPr>
      <w:r>
        <w:rPr>
          <w:rFonts w:eastAsia="Arial" w:ascii="Arial" w:hAnsi="Arial"/>
          <w:b/>
          <w:i w:val="false"/>
          <w:color w:val="0B3D91"/>
          <w:sz w:val="16"/>
        </w:rPr>
        <w:t>04. PRO-QA — Banque_Questions_Menu_Programmes_GSE_01-07-2026(1).docx</w:t>
      </w:r>
    </w:p>
    <w:p>
      <w:pPr>
        <w:pStyle w:val="Normal"/>
        <w:spacing w:lineRule="auto" w:line="240" w:before="0" w:after="60"/>
        <w:ind w:start="283"/>
        <w:rPr/>
      </w:pPr>
      <w:r>
        <w:rPr>
          <w:rFonts w:eastAsia="Consolas" w:ascii="Consolas" w:hAnsi="Consolas"/>
          <w:b w:val="false"/>
          <w:i w:val="false"/>
          <w:color w:val="333333"/>
          <w:sz w:val="15"/>
        </w:rPr>
        <w:t>7ad409241d02c3ad278b3c089e33a789ed231b4bae64e8c2278f091710dafd9d</w:t>
      </w:r>
    </w:p>
    <w:p>
      <w:pPr>
        <w:pStyle w:val="Normal"/>
        <w:spacing w:lineRule="auto" w:line="240" w:before="0" w:after="20"/>
        <w:rPr/>
      </w:pPr>
      <w:r>
        <w:rPr>
          <w:rFonts w:eastAsia="Arial" w:ascii="Arial" w:hAnsi="Arial"/>
          <w:b/>
          <w:i w:val="false"/>
          <w:color w:val="0B3D91"/>
          <w:sz w:val="16"/>
        </w:rPr>
        <w:t>05. VIE-QA — Banque_Questions_Menu_Vie_Scolaire_GSE_01-07-2026(1).docx</w:t>
      </w:r>
    </w:p>
    <w:p>
      <w:pPr>
        <w:pStyle w:val="Normal"/>
        <w:spacing w:lineRule="auto" w:line="240" w:before="0" w:after="60"/>
        <w:ind w:start="283"/>
        <w:rPr/>
      </w:pPr>
      <w:r>
        <w:rPr>
          <w:rFonts w:eastAsia="Consolas" w:ascii="Consolas" w:hAnsi="Consolas"/>
          <w:b w:val="false"/>
          <w:i w:val="false"/>
          <w:color w:val="333333"/>
          <w:sz w:val="15"/>
        </w:rPr>
        <w:t>199a3eb75f75d972ef13748ce6f7b5e9b87e632f1b7bf7e460cbe9241f7ba51e</w:t>
      </w:r>
    </w:p>
    <w:p>
      <w:pPr>
        <w:pStyle w:val="Normal"/>
        <w:spacing w:lineRule="auto" w:line="240" w:before="0" w:after="20"/>
        <w:rPr/>
      </w:pPr>
      <w:r>
        <w:rPr>
          <w:rFonts w:eastAsia="Arial" w:ascii="Arial" w:hAnsi="Arial"/>
          <w:b/>
          <w:i w:val="false"/>
          <w:color w:val="0B3D91"/>
          <w:sz w:val="16"/>
        </w:rPr>
        <w:t>06. ADM-QA — Banque_Questions_Menu_Admissions_GSE_02-07-2026(1).docx</w:t>
      </w:r>
    </w:p>
    <w:p>
      <w:pPr>
        <w:pStyle w:val="Normal"/>
        <w:spacing w:lineRule="auto" w:line="240" w:before="0" w:after="60"/>
        <w:ind w:start="283"/>
        <w:rPr/>
      </w:pPr>
      <w:r>
        <w:rPr>
          <w:rFonts w:eastAsia="Consolas" w:ascii="Consolas" w:hAnsi="Consolas"/>
          <w:b w:val="false"/>
          <w:i w:val="false"/>
          <w:color w:val="333333"/>
          <w:sz w:val="15"/>
        </w:rPr>
        <w:t>17737e2fa8e4bf8bb4c2365f97f558de879fc8752f9624da0a58cea289bc4700</w:t>
      </w:r>
    </w:p>
    <w:p>
      <w:pPr>
        <w:pStyle w:val="Normal"/>
        <w:spacing w:lineRule="auto" w:line="240" w:before="0" w:after="20"/>
        <w:rPr/>
      </w:pPr>
      <w:r>
        <w:rPr>
          <w:rFonts w:eastAsia="Arial" w:ascii="Arial" w:hAnsi="Arial"/>
          <w:b/>
          <w:i w:val="false"/>
          <w:color w:val="0B3D91"/>
          <w:sz w:val="16"/>
        </w:rPr>
        <w:t>07. ADM-DEF-QA — Banque_Questions_Inscription_Definitive_Completer_Dossier_GSE_02-07-2026(1).docx</w:t>
      </w:r>
    </w:p>
    <w:p>
      <w:pPr>
        <w:pStyle w:val="Normal"/>
        <w:spacing w:lineRule="auto" w:line="240" w:before="0" w:after="60"/>
        <w:ind w:start="283"/>
        <w:rPr/>
      </w:pPr>
      <w:r>
        <w:rPr>
          <w:rFonts w:eastAsia="Consolas" w:ascii="Consolas" w:hAnsi="Consolas"/>
          <w:b w:val="false"/>
          <w:i w:val="false"/>
          <w:color w:val="333333"/>
          <w:sz w:val="15"/>
        </w:rPr>
        <w:t>f9153531df7c4d2dd79bf78a98ec6630efe0ad8f7817a6d74661324e5f3d78f3</w:t>
      </w:r>
    </w:p>
    <w:p>
      <w:pPr>
        <w:pStyle w:val="Normal"/>
        <w:spacing w:lineRule="auto" w:line="240" w:before="0" w:after="20"/>
        <w:rPr/>
      </w:pPr>
      <w:r>
        <w:rPr>
          <w:rFonts w:eastAsia="Arial" w:ascii="Arial" w:hAnsi="Arial"/>
          <w:b/>
          <w:i w:val="false"/>
          <w:color w:val="0B3D91"/>
          <w:sz w:val="16"/>
        </w:rPr>
        <w:t>08. PRE-QA — Banque_Questions_Menu_Preinscrire_Mon_Enfant_GSE_02-07-2026(1).docx</w:t>
      </w:r>
    </w:p>
    <w:p>
      <w:pPr>
        <w:pStyle w:val="Normal"/>
        <w:spacing w:lineRule="auto" w:line="240" w:before="0" w:after="60"/>
        <w:ind w:start="283"/>
        <w:rPr/>
      </w:pPr>
      <w:r>
        <w:rPr>
          <w:rFonts w:eastAsia="Consolas" w:ascii="Consolas" w:hAnsi="Consolas"/>
          <w:b w:val="false"/>
          <w:i w:val="false"/>
          <w:color w:val="333333"/>
          <w:sz w:val="15"/>
        </w:rPr>
        <w:t>12d3e01b4ecfb595dab67b51b75f8cb06ae9cb05a756487fcf156aba21fa62c0</w:t>
      </w:r>
    </w:p>
    <w:p>
      <w:pPr>
        <w:pStyle w:val="Normal"/>
        <w:spacing w:lineRule="auto" w:line="240" w:before="0" w:after="20"/>
        <w:rPr/>
      </w:pPr>
      <w:r>
        <w:rPr>
          <w:rFonts w:eastAsia="Arial" w:ascii="Arial" w:hAnsi="Arial"/>
          <w:b/>
          <w:i w:val="false"/>
          <w:color w:val="0B3D91"/>
          <w:sz w:val="16"/>
        </w:rPr>
        <w:t>09. PAR-QA — Banque_Questions_Menu_Espace_Parents_GSE_02-07-2026(1).docx</w:t>
      </w:r>
    </w:p>
    <w:p>
      <w:pPr>
        <w:pStyle w:val="Normal"/>
        <w:spacing w:lineRule="auto" w:line="240" w:before="0" w:after="60"/>
        <w:ind w:start="283"/>
        <w:rPr/>
      </w:pPr>
      <w:r>
        <w:rPr>
          <w:rFonts w:eastAsia="Consolas" w:ascii="Consolas" w:hAnsi="Consolas"/>
          <w:b w:val="false"/>
          <w:i w:val="false"/>
          <w:color w:val="333333"/>
          <w:sz w:val="15"/>
        </w:rPr>
        <w:t>417528a5aefc551e94a0ff0347cbda6ac2a92938e03b72491f057bd74d3d4dc2</w:t>
      </w:r>
    </w:p>
    <w:p>
      <w:pPr>
        <w:pStyle w:val="Normal"/>
        <w:spacing w:lineRule="auto" w:line="240" w:before="0" w:after="20"/>
        <w:rPr/>
      </w:pPr>
      <w:r>
        <w:rPr>
          <w:rFonts w:eastAsia="Arial" w:ascii="Arial" w:hAnsi="Arial"/>
          <w:b/>
          <w:i w:val="false"/>
          <w:color w:val="0B3D91"/>
          <w:sz w:val="16"/>
        </w:rPr>
        <w:t>10. QUA-QA — Banque_Questions_Menu_Qualite_Engagements_GSE_01-07-2026(1).docx</w:t>
      </w:r>
    </w:p>
    <w:p>
      <w:pPr>
        <w:pStyle w:val="Normal"/>
        <w:spacing w:lineRule="auto" w:line="240" w:before="0" w:after="60"/>
        <w:ind w:start="283"/>
        <w:rPr/>
      </w:pPr>
      <w:r>
        <w:rPr>
          <w:rFonts w:eastAsia="Consolas" w:ascii="Consolas" w:hAnsi="Consolas"/>
          <w:b w:val="false"/>
          <w:i w:val="false"/>
          <w:color w:val="333333"/>
          <w:sz w:val="15"/>
        </w:rPr>
        <w:t>bce5e4be014c085cb5df20fee683ac4e3c2df5c01166125ec1bb599c9829ee37</w:t>
      </w:r>
    </w:p>
    <w:p>
      <w:pPr>
        <w:pStyle w:val="Normal"/>
        <w:spacing w:lineRule="auto" w:line="240" w:before="0" w:after="20"/>
        <w:rPr/>
      </w:pPr>
      <w:r>
        <w:rPr>
          <w:rFonts w:eastAsia="Arial" w:ascii="Arial" w:hAnsi="Arial"/>
          <w:b/>
          <w:i w:val="false"/>
          <w:color w:val="0B3D91"/>
          <w:sz w:val="16"/>
        </w:rPr>
        <w:t>11. VEI-QA — Banque_Questions_Menu_Veille_Officielle_GSE_02-07-2026(1).docx</w:t>
      </w:r>
    </w:p>
    <w:p>
      <w:pPr>
        <w:pStyle w:val="Normal"/>
        <w:spacing w:lineRule="auto" w:line="240" w:before="0" w:after="60"/>
        <w:ind w:start="283"/>
        <w:rPr/>
      </w:pPr>
      <w:r>
        <w:rPr>
          <w:rFonts w:eastAsia="Consolas" w:ascii="Consolas" w:hAnsi="Consolas"/>
          <w:b w:val="false"/>
          <w:i w:val="false"/>
          <w:color w:val="333333"/>
          <w:sz w:val="15"/>
        </w:rPr>
        <w:t>fc3a05e35c51b0ef777686171671178ac034b48753458a8f48487375713d484a</w:t>
      </w:r>
    </w:p>
    <w:p>
      <w:pPr>
        <w:pStyle w:val="Normal"/>
        <w:spacing w:lineRule="auto" w:line="240" w:before="0" w:after="20"/>
        <w:rPr/>
      </w:pPr>
      <w:r>
        <w:rPr>
          <w:rFonts w:eastAsia="Arial" w:ascii="Arial" w:hAnsi="Arial"/>
          <w:b/>
          <w:i w:val="false"/>
          <w:color w:val="0B3D91"/>
          <w:sz w:val="16"/>
        </w:rPr>
        <w:t>12. ACT-QA — Banque_Questions_Menu_Actualites_Galerie_GSE_02-07-2026(1).docx</w:t>
      </w:r>
    </w:p>
    <w:p>
      <w:pPr>
        <w:pStyle w:val="Normal"/>
        <w:spacing w:lineRule="auto" w:line="240" w:before="0" w:after="60"/>
        <w:ind w:start="283"/>
        <w:rPr/>
      </w:pPr>
      <w:r>
        <w:rPr>
          <w:rFonts w:eastAsia="Consolas" w:ascii="Consolas" w:hAnsi="Consolas"/>
          <w:b w:val="false"/>
          <w:i w:val="false"/>
          <w:color w:val="333333"/>
          <w:sz w:val="15"/>
        </w:rPr>
        <w:t>0d278d3229bca3ed57954fc85311576573ea5fedf2e05a865bdf05270d3bff21</w:t>
      </w:r>
    </w:p>
    <w:p>
      <w:pPr>
        <w:pStyle w:val="Normal"/>
        <w:spacing w:lineRule="auto" w:line="240" w:before="0" w:after="20"/>
        <w:rPr/>
      </w:pPr>
      <w:r>
        <w:rPr>
          <w:rFonts w:eastAsia="Arial" w:ascii="Arial" w:hAnsi="Arial"/>
          <w:b/>
          <w:i w:val="false"/>
          <w:color w:val="0B3D91"/>
          <w:sz w:val="16"/>
        </w:rPr>
        <w:t>13. CON-QA — Banque_Questions_Menu_Contact_GSE_02-07-2026(1).docx</w:t>
      </w:r>
    </w:p>
    <w:p>
      <w:pPr>
        <w:pStyle w:val="Normal"/>
        <w:spacing w:lineRule="auto" w:line="240" w:before="0" w:after="60"/>
        <w:ind w:start="283"/>
        <w:rPr/>
      </w:pPr>
      <w:r>
        <w:rPr>
          <w:rFonts w:eastAsia="Consolas" w:ascii="Consolas" w:hAnsi="Consolas"/>
          <w:b w:val="false"/>
          <w:i w:val="false"/>
          <w:color w:val="333333"/>
          <w:sz w:val="15"/>
        </w:rPr>
        <w:t>af78e7e8035c6958c3960de4813c36ebf5ab0d3d54b044fd03f653b0fd40b981</w:t>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8. Contrôles qualité avant activation dans ÉMINA</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Contrôle</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Critère d’acceptation</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Complétude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Vérifier la présence des 13 volumes, des 4 664 Q/R et des 1 169 définitions.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Traçabilité</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Chaque fragment possède un code source, une URL, une date, une version et une empreinte.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Fidélité</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La réponse ne dépasse pas le texte source ; les analyses sont étiquetées.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Déduplication</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Repérer les questions proches sans supprimer les variantes utiles.</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Données sensibles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Confirmer l’absence de données réelles d’élèves, de parents, de santé ou de paiement.</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Exclusions</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Bloquer les coordonnées de démonstration et les observations éditoriales.</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Statuts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Ne pas activer les brouillons, pages privées, supprimées ou remplacées.</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Langues</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Relier chaque traduction approuvée à la source française officielle.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Régression</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Tester les questions canoniques et les variantes après chaque réindexation.</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Escalade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Vérifier que toute demande sensible ou incertaine est orientée vers le bon service.</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8.1. Cycle de mise à jour</w:t>
      </w:r>
    </w:p>
    <w:p>
      <w:pPr>
        <w:pStyle w:val="ListNumber"/>
        <w:numPr>
          <w:ilvl w:val="0"/>
          <w:numId w:val="4"/>
        </w:numPr>
        <w:spacing w:lineRule="auto" w:line="259" w:before="0" w:after="60"/>
        <w:contextualSpacing/>
        <w:rPr/>
      </w:pPr>
      <w:r>
        <w:rPr>
          <w:rFonts w:eastAsia="Arial" w:ascii="Arial" w:hAnsi="Arial"/>
          <w:b w:val="false"/>
          <w:i w:val="false"/>
          <w:color w:val="000000"/>
          <w:sz w:val="20"/>
        </w:rPr>
        <w:t>Détecter une modification de page WordPress ou de document source.</w:t>
      </w:r>
    </w:p>
    <w:p>
      <w:pPr>
        <w:pStyle w:val="ListNumber"/>
        <w:numPr>
          <w:ilvl w:val="0"/>
          <w:numId w:val="4"/>
        </w:numPr>
        <w:spacing w:lineRule="auto" w:line="259" w:before="0" w:after="60"/>
        <w:contextualSpacing/>
        <w:rPr/>
      </w:pPr>
      <w:r>
        <w:rPr>
          <w:rFonts w:eastAsia="Arial" w:ascii="Arial" w:hAnsi="Arial"/>
          <w:b w:val="false"/>
          <w:i w:val="false"/>
          <w:color w:val="000000"/>
          <w:sz w:val="20"/>
        </w:rPr>
        <w:t>Calculer la nouvelle empreinte SHA-256 et comparer la version précédente.</w:t>
      </w:r>
    </w:p>
    <w:p>
      <w:pPr>
        <w:pStyle w:val="ListNumber"/>
        <w:numPr>
          <w:ilvl w:val="0"/>
          <w:numId w:val="4"/>
        </w:numPr>
        <w:spacing w:lineRule="auto" w:line="259" w:before="0" w:after="60"/>
        <w:contextualSpacing/>
        <w:rPr/>
      </w:pPr>
      <w:r>
        <w:rPr>
          <w:rFonts w:eastAsia="Arial" w:ascii="Arial" w:hAnsi="Arial"/>
          <w:b w:val="false"/>
          <w:i w:val="false"/>
          <w:color w:val="000000"/>
          <w:sz w:val="20"/>
        </w:rPr>
        <w:t>Fragmenter de nouveau uniquement la source modifiée, avec reprise possible en cas d’interruption.</w:t>
      </w:r>
    </w:p>
    <w:p>
      <w:pPr>
        <w:pStyle w:val="ListNumber"/>
        <w:numPr>
          <w:ilvl w:val="0"/>
          <w:numId w:val="4"/>
        </w:numPr>
        <w:spacing w:lineRule="auto" w:line="259" w:before="0" w:after="60"/>
        <w:contextualSpacing/>
        <w:rPr/>
      </w:pPr>
      <w:r>
        <w:rPr>
          <w:rFonts w:eastAsia="Arial" w:ascii="Arial" w:hAnsi="Arial"/>
          <w:b w:val="false"/>
          <w:i w:val="false"/>
          <w:color w:val="000000"/>
          <w:sz w:val="20"/>
        </w:rPr>
        <w:t>Valider les fragments, les statuts, les langues et les règles d’accès.</w:t>
      </w:r>
    </w:p>
    <w:p>
      <w:pPr>
        <w:pStyle w:val="ListNumber"/>
        <w:numPr>
          <w:ilvl w:val="0"/>
          <w:numId w:val="4"/>
        </w:numPr>
        <w:spacing w:lineRule="auto" w:line="259" w:before="0" w:after="60"/>
        <w:contextualSpacing/>
        <w:rPr/>
      </w:pPr>
      <w:r>
        <w:rPr>
          <w:rFonts w:eastAsia="Arial" w:ascii="Arial" w:hAnsi="Arial"/>
          <w:b w:val="false"/>
          <w:i w:val="false"/>
          <w:color w:val="000000"/>
          <w:sz w:val="20"/>
        </w:rPr>
        <w:t>Activer les fragments publiés ; suspendre ou archiver les fragments remplacés, privés ou supprimés.</w:t>
      </w:r>
    </w:p>
    <w:p>
      <w:pPr>
        <w:pStyle w:val="ListNumber"/>
        <w:numPr>
          <w:ilvl w:val="0"/>
          <w:numId w:val="4"/>
        </w:numPr>
        <w:spacing w:lineRule="auto" w:line="259" w:before="0" w:after="60"/>
        <w:contextualSpacing/>
        <w:rPr/>
      </w:pPr>
      <w:r>
        <w:rPr>
          <w:rFonts w:eastAsia="Arial" w:ascii="Arial" w:hAnsi="Arial"/>
          <w:b w:val="false"/>
          <w:i w:val="false"/>
          <w:color w:val="000000"/>
          <w:sz w:val="20"/>
        </w:rPr>
        <w:t>Exécuter les tests de non-régression et conserver le journal de modification et d’approbation.</w:t>
      </w:r>
    </w:p>
    <w:p>
      <w:pPr>
        <w:pStyle w:val="Normal"/>
        <w:keepNext w:val="true"/>
        <w:spacing w:lineRule="auto" w:line="240" w:before="200" w:after="120"/>
        <w:rPr/>
      </w:pPr>
      <w:r>
        <w:rPr>
          <w:rFonts w:eastAsia="Arial" w:ascii="Arial" w:hAnsi="Arial"/>
          <w:b/>
          <w:i w:val="false"/>
          <w:color w:val="0B3D91"/>
          <w:sz w:val="26"/>
        </w:rPr>
        <w:t>8.2. Indicateurs de suivi recommandés</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5156"/>
        <w:gridCol w:w="5155"/>
      </w:tblGrid>
      <w:tr>
        <w:trPr>
          <w:tblHeader w:val="true"/>
        </w:trPr>
        <w:tc>
          <w:tcPr>
            <w:tcW w:w="5156"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Indicateur</w:t>
            </w:r>
          </w:p>
        </w:tc>
        <w:tc>
          <w:tcPr>
            <w:tcW w:w="5155"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Cible</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Sources avec empreinte et version</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100 %</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Fragments rattachés à une source</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100 %</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Questions sans réponse de référence</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0</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Coordonnées de démonstration servies</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0</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Fragments sensibles exposés publiquement</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0</w:t>
            </w:r>
          </w:p>
        </w:tc>
      </w:tr>
      <w:tr>
        <w:trPr/>
        <w:tc>
          <w:tcPr>
            <w:tcW w:w="5156"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Tests canoniques réussis après import</w:t>
            </w:r>
          </w:p>
        </w:tc>
        <w:tc>
          <w:tcPr>
            <w:tcW w:w="5155"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100 %</w:t>
            </w:r>
          </w:p>
        </w:tc>
      </w:tr>
      <w:tr>
        <w:trPr/>
        <w:tc>
          <w:tcPr>
            <w:tcW w:w="5156"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Sources modifiées réindexées</w:t>
            </w:r>
          </w:p>
        </w:tc>
        <w:tc>
          <w:tcPr>
            <w:tcW w:w="5155"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100 % dans le cycle de publication</w:t>
            </w:r>
          </w:p>
        </w:tc>
      </w:tr>
    </w:tbl>
    <w:p>
      <w:pPr>
        <w:pStyle w:val="Normal"/>
        <w:spacing w:before="0" w:after="20"/>
        <w:rPr/>
      </w:pPr>
      <w:r>
        <w:rPr/>
      </w:r>
    </w:p>
    <w:p>
      <w:pPr>
        <w:pStyle w:val="Normal"/>
        <w:rPr/>
      </w:pPr>
      <w:r>
        <w:rPr/>
      </w:r>
      <w:r>
        <w:br w:type="page"/>
      </w:r>
    </w:p>
    <w:p>
      <w:pPr>
        <w:pStyle w:val="Normal"/>
        <w:keepNext w:val="true"/>
        <w:spacing w:lineRule="auto" w:line="240" w:before="0" w:after="120"/>
        <w:rPr/>
      </w:pPr>
      <w:r>
        <w:rPr>
          <w:rFonts w:eastAsia="Arial" w:ascii="Arial" w:hAnsi="Arial"/>
          <w:b/>
          <w:i w:val="false"/>
          <w:color w:val="0B3D91"/>
          <w:sz w:val="32"/>
        </w:rPr>
        <w:t>9. Validation, signatures et journal documentaire</w:t>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2E6B3A"/>
              <w:start w:val="single" w:sz="10" w:space="0" w:color="2E6B3A"/>
              <w:bottom w:val="single" w:sz="10" w:space="0" w:color="2E6B3A"/>
              <w:end w:val="single" w:sz="10" w:space="0" w:color="2E6B3A"/>
            </w:tcBorders>
            <w:shd w:fill="E9F6EC"/>
          </w:tcPr>
          <w:p>
            <w:pPr>
              <w:pStyle w:val="Normal"/>
              <w:spacing w:lineRule="auto" w:line="252" w:before="0" w:after="40"/>
              <w:rPr/>
            </w:pPr>
            <w:r>
              <w:rPr>
                <w:rFonts w:eastAsia="Arial" w:ascii="Arial" w:hAnsi="Arial"/>
                <w:b/>
                <w:i w:val="false"/>
                <w:color w:val="2E6B3A"/>
                <w:sz w:val="20"/>
              </w:rPr>
              <w:t>Statut de la présente version</w:t>
            </w:r>
          </w:p>
          <w:p>
            <w:pPr>
              <w:pStyle w:val="Normal"/>
              <w:spacing w:lineRule="auto" w:line="259" w:before="0" w:after="0"/>
              <w:rPr/>
            </w:pPr>
            <w:r>
              <w:rPr>
                <w:rFonts w:eastAsia="Arial" w:ascii="Arial" w:hAnsi="Arial"/>
                <w:b w:val="false"/>
                <w:i w:val="false"/>
                <w:color w:val="000000"/>
                <w:sz w:val="19"/>
              </w:rPr>
              <w:t>Le contenu public des pages sources est traité comme source active selon les décisions institutionnelles déjà retenues. La présente compilation, en tant que nouveau conteneur documentaire, doit néanmoins recevoir sa validation de gouvernance avant activation définitive dans la base de production.</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9.1. Visa proposé</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2578"/>
        <w:gridCol w:w="2578"/>
        <w:gridCol w:w="2578"/>
        <w:gridCol w:w="2577"/>
      </w:tblGrid>
      <w:tr>
        <w:trPr>
          <w:tblHeader w:val="true"/>
        </w:trPr>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Rôle</w:t>
            </w:r>
          </w:p>
        </w:tc>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Nom / fonction</w:t>
            </w:r>
          </w:p>
        </w:tc>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Décision</w:t>
            </w:r>
          </w:p>
        </w:tc>
        <w:tc>
          <w:tcPr>
            <w:tcW w:w="2577"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Date / signature</w:t>
            </w:r>
          </w:p>
        </w:tc>
      </w:tr>
      <w:tr>
        <w:trPr/>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Préparation documentaire</w:t>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Préparé / à compléter</w:t>
            </w:r>
          </w:p>
        </w:tc>
        <w:tc>
          <w:tcPr>
            <w:tcW w:w="257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
          </w:p>
        </w:tc>
      </w:tr>
      <w:tr>
        <w:trPr/>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Contrôle qualité — DAQAC</w:t>
            </w:r>
          </w:p>
        </w:tc>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
          </w:p>
        </w:tc>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Conforme / à corriger</w:t>
            </w:r>
          </w:p>
        </w:tc>
        <w:tc>
          <w:tcPr>
            <w:tcW w:w="257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
          </w:p>
        </w:tc>
      </w:tr>
      <w:tr>
        <w:trPr/>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Contrôle technique — DSI</w:t>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Importable / à corriger</w:t>
            </w:r>
          </w:p>
        </w:tc>
        <w:tc>
          <w:tcPr>
            <w:tcW w:w="257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
          </w:p>
        </w:tc>
      </w:tr>
      <w:tr>
        <w:trPr/>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Approbation — Direction</w:t>
            </w:r>
          </w:p>
        </w:tc>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
          </w:p>
        </w:tc>
        <w:tc>
          <w:tcPr>
            <w:tcW w:w="2578"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Validé / refusé</w:t>
            </w:r>
          </w:p>
        </w:tc>
        <w:tc>
          <w:tcPr>
            <w:tcW w:w="2577" w:type="dxa"/>
            <w:tcBorders>
              <w:top w:val="single" w:sz="2" w:space="0" w:color="C8D1DC"/>
              <w:start w:val="single" w:sz="2" w:space="0" w:color="C8D1DC"/>
              <w:bottom w:val="single" w:sz="2" w:space="0" w:color="C8D1DC"/>
              <w:end w:val="single" w:sz="2" w:space="0" w:color="C8D1DC"/>
            </w:tcBorders>
            <w:shd w:fill="F2F4F7"/>
            <w:tcMar>
              <w:top w:w="60" w:type="dxa"/>
              <w:start w:w="65" w:type="dxa"/>
              <w:bottom w:w="60" w:type="dxa"/>
              <w:end w:w="65" w:type="dxa"/>
            </w:tcMar>
          </w:tcPr>
          <w:p>
            <w:pPr>
              <w:pStyle w:val="Normal"/>
              <w:spacing w:lineRule="auto" w:line="240" w:before="0" w:after="0"/>
              <w:rPr/>
            </w:pPr>
            <w:r>
              <w:rPr/>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9.2. Journal des versions</w:t>
      </w:r>
    </w:p>
    <w:tbl>
      <w:tblPr>
        <w:tblW w:w="10312" w:type="dxa"/>
        <w:jc w:val="center"/>
        <w:tblInd w:w="0" w:type="dxa"/>
        <w:tblLayout w:type="fixed"/>
        <w:tblCellMar>
          <w:top w:w="70" w:type="dxa"/>
          <w:start w:w="70" w:type="dxa"/>
          <w:bottom w:w="70" w:type="dxa"/>
          <w:end w:w="70" w:type="dxa"/>
        </w:tblCellMar>
        <w:tblLook w:val="04a0" w:noHBand="0" w:noVBand="1" w:firstColumn="1" w:lastRow="0" w:lastColumn="0" w:firstRow="1"/>
      </w:tblPr>
      <w:tblGrid>
        <w:gridCol w:w="2578"/>
        <w:gridCol w:w="2578"/>
        <w:gridCol w:w="2578"/>
        <w:gridCol w:w="2577"/>
      </w:tblGrid>
      <w:tr>
        <w:trPr>
          <w:tblHeader w:val="true"/>
        </w:trPr>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Version</w:t>
            </w:r>
          </w:p>
        </w:tc>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Date</w:t>
            </w:r>
          </w:p>
        </w:tc>
        <w:tc>
          <w:tcPr>
            <w:tcW w:w="2578"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Nature du changement</w:t>
            </w:r>
          </w:p>
        </w:tc>
        <w:tc>
          <w:tcPr>
            <w:tcW w:w="2577" w:type="dxa"/>
            <w:tcBorders>
              <w:top w:val="single" w:sz="4" w:space="0" w:color="FFFFFF"/>
              <w:start w:val="single" w:sz="4" w:space="0" w:color="FFFFFF"/>
              <w:bottom w:val="single" w:sz="4" w:space="0" w:color="FFFFFF"/>
              <w:end w:val="single" w:sz="4" w:space="0" w:color="FFFFFF"/>
            </w:tcBorders>
            <w:shd w:fill="0B3D91"/>
          </w:tcPr>
          <w:p>
            <w:pPr>
              <w:pStyle w:val="Normal"/>
              <w:spacing w:lineRule="auto" w:line="240" w:before="0" w:after="0"/>
              <w:jc w:val="center"/>
              <w:rPr/>
            </w:pPr>
            <w:r>
              <w:rPr>
                <w:rFonts w:eastAsia="Arial" w:ascii="Arial" w:hAnsi="Arial"/>
                <w:b/>
                <w:i w:val="false"/>
                <w:color w:val="FFFFFF"/>
                <w:sz w:val="17"/>
              </w:rPr>
              <w:t>Statut</w:t>
            </w:r>
          </w:p>
        </w:tc>
      </w:tr>
      <w:tr>
        <w:trPr/>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1.0.0</w:t>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2 juillet 2026</w:t>
            </w:r>
          </w:p>
        </w:tc>
        <w:tc>
          <w:tcPr>
            <w:tcW w:w="2578"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Première compilation centralisée de 13 sources, avec gouvernance, schéma d’ingestion, exclusions, registre d’intégrité et corpus intégral.</w:t>
            </w:r>
          </w:p>
        </w:tc>
        <w:tc>
          <w:tcPr>
            <w:tcW w:w="2577" w:type="dxa"/>
            <w:tcBorders>
              <w:top w:val="single" w:sz="2" w:space="0" w:color="C8D1DC"/>
              <w:start w:val="single" w:sz="2" w:space="0" w:color="C8D1DC"/>
              <w:bottom w:val="single" w:sz="2" w:space="0" w:color="C8D1DC"/>
              <w:end w:val="single" w:sz="2" w:space="0" w:color="C8D1DC"/>
            </w:tcBorders>
            <w:shd w:fill="FFFFFF"/>
            <w:tcMar>
              <w:top w:w="60" w:type="dxa"/>
              <w:start w:w="65" w:type="dxa"/>
              <w:bottom w:w="60" w:type="dxa"/>
              <w:end w:w="65" w:type="dxa"/>
            </w:tcMar>
          </w:tcPr>
          <w:p>
            <w:pPr>
              <w:pStyle w:val="Normal"/>
              <w:spacing w:lineRule="auto" w:line="240" w:before="0" w:after="0"/>
              <w:rPr/>
            </w:pPr>
            <w:r>
              <w:rPr>
                <w:rFonts w:eastAsia="Arial" w:ascii="Arial" w:hAnsi="Arial"/>
                <w:b w:val="false"/>
                <w:i w:val="false"/>
                <w:color w:val="000000"/>
                <w:sz w:val="17"/>
              </w:rPr>
              <w:t>En révision</w:t>
            </w:r>
          </w:p>
        </w:tc>
      </w:tr>
    </w:tbl>
    <w:p>
      <w:pPr>
        <w:pStyle w:val="Normal"/>
        <w:spacing w:before="0" w:after="20"/>
        <w:rPr/>
      </w:pPr>
      <w:r>
        <w:rPr/>
      </w:r>
    </w:p>
    <w:p>
      <w:pPr>
        <w:pStyle w:val="Normal"/>
        <w:keepNext w:val="true"/>
        <w:spacing w:lineRule="auto" w:line="240" w:before="200" w:after="120"/>
        <w:rPr/>
      </w:pPr>
      <w:r>
        <w:rPr>
          <w:rFonts w:eastAsia="Arial" w:ascii="Arial" w:hAnsi="Arial"/>
          <w:b/>
          <w:i w:val="false"/>
          <w:color w:val="0B3D91"/>
          <w:sz w:val="26"/>
        </w:rPr>
        <w:t>9.3. Procédures associées</w:t>
      </w:r>
    </w:p>
    <w:p>
      <w:pPr>
        <w:pStyle w:val="ListBullet"/>
        <w:numPr>
          <w:ilvl w:val="0"/>
          <w:numId w:val="1"/>
        </w:numPr>
        <w:spacing w:lineRule="auto" w:line="259" w:before="0" w:after="60"/>
        <w:contextualSpacing/>
        <w:rPr/>
      </w:pPr>
      <w:r>
        <w:rPr>
          <w:rFonts w:eastAsia="Arial" w:ascii="Arial" w:hAnsi="Arial"/>
          <w:b w:val="false"/>
          <w:i w:val="false"/>
          <w:color w:val="000000"/>
          <w:sz w:val="20"/>
        </w:rPr>
        <w:t>Synchronisation automatique des pages WordPress publiées vers la base locale de connaissances d’ÉMINA — RC22.5.</w:t>
      </w:r>
    </w:p>
    <w:p>
      <w:pPr>
        <w:pStyle w:val="ListBullet"/>
        <w:numPr>
          <w:ilvl w:val="0"/>
          <w:numId w:val="1"/>
        </w:numPr>
        <w:spacing w:lineRule="auto" w:line="259" w:before="0" w:after="60"/>
        <w:contextualSpacing/>
        <w:rPr/>
      </w:pPr>
      <w:r>
        <w:rPr>
          <w:rFonts w:eastAsia="Arial" w:ascii="Arial" w:hAnsi="Arial"/>
          <w:b w:val="false"/>
          <w:i w:val="false"/>
          <w:color w:val="000000"/>
          <w:sz w:val="20"/>
        </w:rPr>
        <w:t>Gestion documentaire, versionnement, approbation, remplacement et archivage.</w:t>
      </w:r>
    </w:p>
    <w:p>
      <w:pPr>
        <w:pStyle w:val="ListBullet"/>
        <w:numPr>
          <w:ilvl w:val="0"/>
          <w:numId w:val="1"/>
        </w:numPr>
        <w:spacing w:lineRule="auto" w:line="259" w:before="0" w:after="60"/>
        <w:contextualSpacing/>
        <w:rPr/>
      </w:pPr>
      <w:r>
        <w:rPr>
          <w:rFonts w:eastAsia="Arial" w:ascii="Arial" w:hAnsi="Arial"/>
          <w:b w:val="false"/>
          <w:i w:val="false"/>
          <w:color w:val="000000"/>
          <w:sz w:val="20"/>
        </w:rPr>
        <w:t>Contrôle d’accès RBAC/ABAC, confidentialité et moindre privilège.</w:t>
      </w:r>
    </w:p>
    <w:p>
      <w:pPr>
        <w:pStyle w:val="ListBullet"/>
        <w:numPr>
          <w:ilvl w:val="0"/>
          <w:numId w:val="1"/>
        </w:numPr>
        <w:spacing w:lineRule="auto" w:line="259" w:before="0" w:after="60"/>
        <w:contextualSpacing/>
        <w:rPr/>
      </w:pPr>
      <w:r>
        <w:rPr>
          <w:rFonts w:eastAsia="Arial" w:ascii="Arial" w:hAnsi="Arial"/>
          <w:b w:val="false"/>
          <w:i w:val="false"/>
          <w:color w:val="000000"/>
          <w:sz w:val="20"/>
        </w:rPr>
        <w:t>Tests de non-régression, journalisation et escalade humaine.</w:t>
      </w:r>
    </w:p>
    <w:tbl>
      <w:tblPr>
        <w:tblW w:w="10312" w:type="dxa"/>
        <w:jc w:val="center"/>
        <w:tblInd w:w="0" w:type="dxa"/>
        <w:tblLayout w:type="fixed"/>
        <w:tblCellMar>
          <w:top w:w="120" w:type="dxa"/>
          <w:start w:w="160" w:type="dxa"/>
          <w:bottom w:w="120" w:type="dxa"/>
          <w:end w:w="160" w:type="dxa"/>
        </w:tblCellMar>
        <w:tblLook w:val="04a0" w:noHBand="0" w:noVBand="1" w:firstColumn="1" w:lastRow="0" w:lastColumn="0" w:firstRow="1"/>
      </w:tblPr>
      <w:tblGrid>
        <w:gridCol w:w="10312"/>
      </w:tblGrid>
      <w:tr>
        <w:trPr/>
        <w:tc>
          <w:tcPr>
            <w:tcW w:w="10312" w:type="dxa"/>
            <w:tcBorders>
              <w:top w:val="single" w:sz="10" w:space="0" w:color="D8AE24"/>
              <w:start w:val="single" w:sz="10" w:space="0" w:color="D8AE24"/>
              <w:bottom w:val="single" w:sz="10" w:space="0" w:color="D8AE24"/>
              <w:end w:val="single" w:sz="10" w:space="0" w:color="D8AE24"/>
            </w:tcBorders>
            <w:shd w:fill="FFF6D9"/>
          </w:tcPr>
          <w:p>
            <w:pPr>
              <w:pStyle w:val="Normal"/>
              <w:spacing w:lineRule="auto" w:line="252" w:before="0" w:after="40"/>
              <w:rPr/>
            </w:pPr>
            <w:r>
              <w:rPr>
                <w:rFonts w:eastAsia="Arial" w:ascii="Arial" w:hAnsi="Arial"/>
                <w:b/>
                <w:i w:val="false"/>
                <w:color w:val="0B3D91"/>
                <w:sz w:val="20"/>
              </w:rPr>
              <w:t>Début du corpus intégral</w:t>
            </w:r>
          </w:p>
          <w:p>
            <w:pPr>
              <w:pStyle w:val="Normal"/>
              <w:spacing w:lineRule="auto" w:line="259" w:before="0" w:after="0"/>
              <w:rPr/>
            </w:pPr>
            <w:r>
              <w:rPr>
                <w:rFonts w:eastAsia="Arial" w:ascii="Arial" w:hAnsi="Arial"/>
                <w:b w:val="false"/>
                <w:i w:val="false"/>
                <w:color w:val="000000"/>
                <w:sz w:val="19"/>
              </w:rPr>
              <w:t>Les pages suivantes reproduisent les documents sources dans l’ordre du registre. Elles constituent la matière de référence à fragmenter et à indexer. Les couvertures et sommaires internes de chaque volume sont conservés.</w:t>
            </w:r>
          </w:p>
        </w:tc>
      </w:tr>
    </w:tbl>
    <w:p>
      <w:pPr>
        <w:pStyle w:val="Normal"/>
        <w:spacing w:before="0" w:after="20"/>
        <w:rPr/>
      </w:pPr>
      <w:r>
        <w:rPr/>
      </w:r>
    </w:p>
    <w:p>
      <w:pPr>
        <w:pStyle w:val="Normal"/>
        <w:rPr/>
      </w:pPr>
      <w:r>
        <w:rPr/>
      </w:r>
      <w:r>
        <w:br w:type="page"/>
      </w:r>
    </w:p>
    <w:p>
      <w:pPr>
        <w:pStyle w:val="Normal"/>
        <w:spacing w:before="0" w:after="80"/>
        <w:jc w:val="center"/>
        <w:rPr/>
      </w:pPr>
      <w:r>
        <w:rPr/>
        <w:drawing>
          <wp:inline distT="0" distB="0" distL="0" distR="0">
            <wp:extent cx="1188085" cy="1188085"/>
            <wp:effectExtent l="0" t="0" r="0" b="0"/>
            <wp:docPr id="2"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title=""/>
                    <pic:cNvPicPr>
                      <a:picLocks noChangeAspect="1" noChangeArrowheads="1"/>
                    </pic:cNvPicPr>
                  </pic:nvPicPr>
                  <pic:blipFill>
                    <a:blip r:embed="rId3"/>
                    <a:stretch>
                      <a:fillRect/>
                    </a:stretch>
                  </pic:blipFill>
                  <pic:spPr bwMode="auto">
                    <a:xfrm>
                      <a:off x="0" y="0"/>
                      <a:ext cx="1188085" cy="1188085"/>
                    </a:xfrm>
                    <a:prstGeom prst="rect">
                      <a:avLst/>
                    </a:prstGeom>
                    <a:noFill/>
                  </pic:spPr>
                </pic:pic>
              </a:graphicData>
            </a:graphic>
          </wp:inline>
        </w:drawing>
      </w:r>
    </w:p>
    <w:p>
      <w:pPr>
        <w:pStyle w:val="Title"/>
        <w:jc w:val="center"/>
        <w:rPr/>
      </w:pPr>
      <w:r>
        <w:rPr/>
        <w:t>GROUPE SCOLAIRE</w:t>
        <w:br/>
        <w:t>LES ÉMINENTS</w:t>
      </w:r>
    </w:p>
    <w:p>
      <w:pPr>
        <w:pStyle w:val="Normal"/>
        <w:jc w:val="center"/>
        <w:rPr/>
      </w:pPr>
      <w:r>
        <w:rPr>
          <w:b/>
          <w:color w:val="0B3D91"/>
          <w:sz w:val="42"/>
        </w:rPr>
        <w:t>BANQUE EXHAUSTIVE DE QUESTIONS ET RÉPONSES</w:t>
        <w:br/>
        <w:t>DE LA PAGE D’ACCUEIL</w:t>
      </w:r>
    </w:p>
    <w:p>
      <w:pPr>
        <w:pStyle w:val="Subtitle"/>
        <w:jc w:val="center"/>
        <w:rPr/>
      </w:pPr>
      <w:r>
        <w:rPr/>
        <w:t>Questions par titre et par section • Raisons des intitulés • Importance dans le projet • Liens internes • Glossaire des mots clés, sigles, abréviations et termes difficiles</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Normal"/>
        <w:jc w:val="center"/>
        <w:rPr/>
      </w:pPr>
      <w:r>
        <w:rPr/>
        <w:drawing>
          <wp:inline distT="0" distB="0" distL="0" distR="0">
            <wp:extent cx="5904230" cy="3321050"/>
            <wp:effectExtent l="0" t="0" r="0" b="0"/>
            <wp:docPr id="3"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title=""/>
                    <pic:cNvPicPr>
                      <a:picLocks noChangeAspect="1" noChangeArrowheads="1"/>
                    </pic:cNvPicPr>
                  </pic:nvPicPr>
                  <pic:blipFill>
                    <a:blip r:embed="rId4"/>
                    <a:stretch>
                      <a:fillRect/>
                    </a:stretch>
                  </pic:blipFill>
                  <pic:spPr bwMode="auto">
                    <a:xfrm>
                      <a:off x="0" y="0"/>
                      <a:ext cx="5904230" cy="3321050"/>
                    </a:xfrm>
                    <a:prstGeom prst="rect">
                      <a:avLst/>
                    </a:prstGeom>
                    <a:noFill/>
                  </pic:spPr>
                </pic:pic>
              </a:graphicData>
            </a:graphic>
          </wp:inline>
        </w:drawing>
      </w:r>
    </w:p>
    <w:p>
      <w:pPr>
        <w:pStyle w:val="Normal"/>
        <w:jc w:val="center"/>
        <w:rPr/>
      </w:pPr>
      <w:r>
        <w:rPr>
          <w:b/>
          <w:color w:val="0B3D91"/>
          <w:sz w:val="22"/>
        </w:rPr>
        <w:t>Document de référence institutionnelle — 1er juillet 2026</w:t>
      </w:r>
    </w:p>
    <w:p>
      <w:pPr>
        <w:pStyle w:val="Normal"/>
        <w:jc w:val="center"/>
        <w:rPr/>
      </w:pPr>
      <w:r>
        <w:rPr>
          <w:i/>
          <w:color w:val="5C6675"/>
          <w:sz w:val="18"/>
        </w:rPr>
        <w:t>Base documentaire : Relevé complet des points développés sur la page d’accueil du site</w:t>
      </w:r>
    </w:p>
    <w:p>
      <w:pPr>
        <w:pStyle w:val="Normal"/>
        <w:rPr/>
      </w:pPr>
      <w:r>
        <w:rPr/>
      </w:r>
      <w:r>
        <w:br w:type="page"/>
      </w:r>
    </w:p>
    <w:p>
      <w:pPr>
        <w:pStyle w:val="Heading1"/>
        <w:spacing w:before="0" w:after="140"/>
        <w:rPr/>
      </w:pPr>
      <w:r>
        <w:rPr/>
        <w:t>1. Objet, méthode et règle de fidélité</w:t>
      </w:r>
    </w:p>
    <w:p>
      <w:pPr>
        <w:pStyle w:val="Normal"/>
        <w:rPr/>
      </w:pPr>
      <w:r>
        <w:rPr/>
        <w:t>Cette banque transforme le relevé fourni en un outil de compréhension, de formation, de FAQ, de préparation d’ÉMINA et d’accompagnement des visiteurs. Chaque fiche reprend le texte effectivement relevé, explique la raison du titre, son importance dans le projet et ses liens avec les autres contenus. Les réponses de référence restent limitées aux formulations présentes dans le relevé de la page d’accueil ; aucune information non publiée n’est présentée comme faisant partie du texte sous-jacent.</w:t>
      </w:r>
    </w:p>
    <w:tbl>
      <w:tblPr>
        <w:tblW w:w="10312" w:type="dxa"/>
        <w:jc w:val="center"/>
        <w:tblInd w:w="0" w:type="dxa"/>
        <w:tblLayout w:type="fixed"/>
        <w:tblCellMar>
          <w:top w:w="80" w:type="dxa"/>
          <w:start w:w="100" w:type="dxa"/>
          <w:bottom w:w="80" w:type="dxa"/>
          <w:end w:w="10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Source utilisée</w:t>
            </w:r>
          </w:p>
        </w:tc>
        <w:tc>
          <w:tcPr>
            <w:tcW w:w="5155" w:type="dxa"/>
            <w:tcBorders>
              <w:top w:val="single" w:sz="4" w:space="0" w:color="D9DEE7"/>
              <w:start w:val="single" w:sz="4" w:space="0" w:color="D9DEE7"/>
              <w:bottom w:val="single" w:sz="4" w:space="0" w:color="D9DEE7"/>
              <w:end w:val="single" w:sz="4" w:space="0" w:color="D9DEE7"/>
            </w:tcBorders>
            <w:shd w:fill="EAF2FB"/>
          </w:tcPr>
          <w:p>
            <w:pPr>
              <w:pStyle w:val="Normal"/>
              <w:widowControl/>
              <w:bidi w:val="0"/>
              <w:spacing w:lineRule="auto" w:line="252" w:before="0" w:after="80"/>
              <w:jc w:val="start"/>
              <w:rPr/>
            </w:pPr>
            <w:r>
              <w:rPr/>
              <w:t>Document « Relevé complet des points développés sur la page d’accueil du site », daté du 1er juillet 2026.</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Périmètre</w:t>
            </w:r>
          </w:p>
        </w:tc>
        <w:tc>
          <w:tcPr>
            <w:tcW w:w="5155" w:type="dxa"/>
            <w:tcBorders>
              <w:top w:val="single" w:sz="4" w:space="0" w:color="D9DEE7"/>
              <w:start w:val="single" w:sz="4" w:space="0" w:color="D9DEE7"/>
              <w:bottom w:val="single" w:sz="4" w:space="0" w:color="D9DEE7"/>
              <w:end w:val="single" w:sz="4" w:space="0" w:color="D9DEE7"/>
            </w:tcBorders>
            <w:shd w:fill="EAF2FB"/>
          </w:tcPr>
          <w:p>
            <w:pPr>
              <w:pStyle w:val="Normal"/>
              <w:widowControl/>
              <w:bidi w:val="0"/>
              <w:spacing w:lineRule="auto" w:line="252" w:before="0" w:after="80"/>
              <w:jc w:val="start"/>
              <w:rPr/>
            </w:pPr>
            <w:r>
              <w:rPr/>
              <w:t>Architecture de navigation, appel à l’action, trois visuels institutionnels, programmes, arguments de confiance et pied de page.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Règle de réponse</w:t>
            </w:r>
          </w:p>
        </w:tc>
        <w:tc>
          <w:tcPr>
            <w:tcW w:w="5155" w:type="dxa"/>
            <w:tcBorders>
              <w:top w:val="single" w:sz="4" w:space="0" w:color="D9DEE7"/>
              <w:start w:val="single" w:sz="4" w:space="0" w:color="D9DEE7"/>
              <w:bottom w:val="single" w:sz="4" w:space="0" w:color="D9DEE7"/>
              <w:end w:val="single" w:sz="4" w:space="0" w:color="D9DEE7"/>
            </w:tcBorders>
            <w:shd w:fill="EAF2FB"/>
          </w:tcPr>
          <w:p>
            <w:pPr>
              <w:pStyle w:val="Normal"/>
              <w:widowControl/>
              <w:bidi w:val="0"/>
              <w:spacing w:lineRule="auto" w:line="252" w:before="0" w:after="80"/>
              <w:jc w:val="start"/>
              <w:rPr/>
            </w:pPr>
            <w:r>
              <w:rPr/>
              <w:t>La réponse d’une question reprend le texte exact, un fragment exact ou un chemin de navigation explicitement relevé.</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Précision importante</w:t>
            </w:r>
          </w:p>
        </w:tc>
        <w:tc>
          <w:tcPr>
            <w:tcW w:w="5155" w:type="dxa"/>
            <w:tcBorders>
              <w:top w:val="single" w:sz="4" w:space="0" w:color="D9DEE7"/>
              <w:start w:val="single" w:sz="4" w:space="0" w:color="D9DEE7"/>
              <w:bottom w:val="single" w:sz="4" w:space="0" w:color="D9DEE7"/>
              <w:end w:val="single" w:sz="4" w:space="0" w:color="D9DEE7"/>
            </w:tcBorders>
            <w:shd w:fill="EAF2FB"/>
          </w:tcPr>
          <w:p>
            <w:pPr>
              <w:pStyle w:val="Normal"/>
              <w:widowControl/>
              <w:bidi w:val="0"/>
              <w:spacing w:lineRule="auto" w:line="252" w:before="0" w:after="80"/>
              <w:jc w:val="start"/>
              <w:rPr/>
            </w:pPr>
            <w:r>
              <w:rPr/>
              <w:t>Le relevé indique que le sous-domaine de test n’avait pas été exposé séparément ; la présente banque développe donc le relevé fourni et ne constitue pas une nouvelle capture en direct du sous-domaine.</w:t>
            </w:r>
          </w:p>
        </w:tc>
      </w:tr>
    </w:tbl>
    <w:p>
      <w:pPr>
        <w:pStyle w:val="Normal"/>
        <w:rPr/>
      </w:pPr>
      <w:r>
        <w:rPr>
          <w:b/>
          <w:color w:val="0B3D91"/>
        </w:rPr>
        <w:t>Contenu de la banque : 38 fiches thématiques, 444 questions-réponses de référence et 104 définitions.</w:t>
      </w:r>
    </w:p>
    <w:p>
      <w:pPr>
        <w:pStyle w:val="Normal"/>
        <w:pBdr>
          <w:left w:val="single" w:sz="12" w:space="6" w:color="D4AF37"/>
        </w:pBdr>
        <w:shd w:fill="FFF7DF"/>
        <w:rPr/>
      </w:pPr>
      <w:r>
        <w:rPr/>
        <w:t>Mode d’utilisation recommandé : rechercher d’abord le titre concerné, lire le texte-source, puis utiliser la question la plus proche de la demande du visiteur. Les blocs « raison », « importance » et « liens » servent à comprendre le rôle éditorial de la section, mais ne doivent pas être confondus avec le texte publié lui-même.</w:t>
      </w:r>
    </w:p>
    <w:p>
      <w:pPr>
        <w:pStyle w:val="Normal"/>
        <w:rPr/>
      </w:pPr>
      <w:r>
        <w:rPr/>
      </w:r>
      <w:r>
        <w:br w:type="page"/>
      </w:r>
    </w:p>
    <w:p>
      <w:pPr>
        <w:pStyle w:val="Heading1"/>
        <w:spacing w:before="0" w:after="140"/>
        <w:rPr/>
      </w:pPr>
      <w:r>
        <w:rPr/>
        <w:t>2. Sommaire de la banque</w:t>
      </w:r>
    </w:p>
    <w:p>
      <w:pPr>
        <w:pStyle w:val="Normal"/>
        <w:rPr/>
      </w:pPr>
      <w:r>
        <w:rPr>
          <w:b/>
          <w:color w:val="0B3D91"/>
          <w:sz w:val="22"/>
        </w:rPr>
        <w:t>PARTIE I — Identité, navigation et accès directs</w:t>
      </w:r>
    </w:p>
    <w:p>
      <w:pPr>
        <w:pStyle w:val="ListBullet"/>
        <w:numPr>
          <w:ilvl w:val="0"/>
          <w:numId w:val="1"/>
        </w:numPr>
        <w:ind w:hanging="360" w:start="397"/>
        <w:rPr/>
      </w:pPr>
      <w:r>
        <w:rPr/>
        <w:t>GROUPE SCOLAIRE LES ÉMINENTS</w:t>
      </w:r>
    </w:p>
    <w:p>
      <w:pPr>
        <w:pStyle w:val="ListBullet"/>
        <w:numPr>
          <w:ilvl w:val="0"/>
          <w:numId w:val="1"/>
        </w:numPr>
        <w:ind w:hanging="360" w:start="397"/>
        <w:rPr/>
      </w:pPr>
      <w:r>
        <w:rPr/>
        <w:t>ACCUEIL</w:t>
      </w:r>
    </w:p>
    <w:p>
      <w:pPr>
        <w:pStyle w:val="ListBullet"/>
        <w:numPr>
          <w:ilvl w:val="0"/>
          <w:numId w:val="1"/>
        </w:numPr>
        <w:ind w:hanging="360" w:start="397"/>
        <w:rPr/>
      </w:pPr>
      <w:r>
        <w:rPr/>
        <w:t>INSCRIRE MON ENFANT</w:t>
      </w:r>
    </w:p>
    <w:p>
      <w:pPr>
        <w:pStyle w:val="ListBullet"/>
        <w:numPr>
          <w:ilvl w:val="0"/>
          <w:numId w:val="1"/>
        </w:numPr>
        <w:ind w:hanging="360" w:start="397"/>
        <w:rPr/>
      </w:pPr>
      <w:r>
        <w:rPr/>
        <w:t>À PROPOS DE NOUS</w:t>
      </w:r>
    </w:p>
    <w:p>
      <w:pPr>
        <w:pStyle w:val="ListBullet"/>
        <w:numPr>
          <w:ilvl w:val="0"/>
          <w:numId w:val="1"/>
        </w:numPr>
        <w:ind w:hanging="360" w:start="397"/>
        <w:rPr/>
      </w:pPr>
      <w:r>
        <w:rPr/>
        <w:t>NOS PROGRAMMES SCOLAIRES</w:t>
      </w:r>
    </w:p>
    <w:p>
      <w:pPr>
        <w:pStyle w:val="ListBullet"/>
        <w:numPr>
          <w:ilvl w:val="0"/>
          <w:numId w:val="1"/>
        </w:numPr>
        <w:ind w:hanging="360" w:start="397"/>
        <w:rPr/>
      </w:pPr>
      <w:r>
        <w:rPr/>
        <w:t>ADMISSIONS</w:t>
      </w:r>
    </w:p>
    <w:p>
      <w:pPr>
        <w:pStyle w:val="ListBullet"/>
        <w:numPr>
          <w:ilvl w:val="0"/>
          <w:numId w:val="1"/>
        </w:numPr>
        <w:ind w:hanging="360" w:start="397"/>
        <w:rPr/>
      </w:pPr>
      <w:r>
        <w:rPr/>
        <w:t>VIE SCOLAIRE</w:t>
      </w:r>
    </w:p>
    <w:p>
      <w:pPr>
        <w:pStyle w:val="ListBullet"/>
        <w:numPr>
          <w:ilvl w:val="0"/>
          <w:numId w:val="1"/>
        </w:numPr>
        <w:ind w:hanging="360" w:start="397"/>
        <w:rPr/>
      </w:pPr>
      <w:r>
        <w:rPr/>
        <w:t>GALERIE</w:t>
      </w:r>
    </w:p>
    <w:p>
      <w:pPr>
        <w:pStyle w:val="ListBullet"/>
        <w:numPr>
          <w:ilvl w:val="0"/>
          <w:numId w:val="1"/>
        </w:numPr>
        <w:ind w:hanging="360" w:start="397"/>
        <w:rPr/>
      </w:pPr>
      <w:r>
        <w:rPr/>
        <w:t>ACTUALITÉS</w:t>
      </w:r>
    </w:p>
    <w:p>
      <w:pPr>
        <w:pStyle w:val="ListBullet"/>
        <w:numPr>
          <w:ilvl w:val="0"/>
          <w:numId w:val="1"/>
        </w:numPr>
        <w:ind w:hanging="360" w:start="397"/>
        <w:rPr/>
      </w:pPr>
      <w:r>
        <w:rPr/>
        <w:t>NOS PARTENARIATS</w:t>
      </w:r>
    </w:p>
    <w:p>
      <w:pPr>
        <w:pStyle w:val="ListBullet"/>
        <w:numPr>
          <w:ilvl w:val="0"/>
          <w:numId w:val="1"/>
        </w:numPr>
        <w:ind w:hanging="360" w:start="397"/>
        <w:rPr/>
      </w:pPr>
      <w:r>
        <w:rPr/>
        <w:t>CONTACT</w:t>
      </w:r>
    </w:p>
    <w:p>
      <w:pPr>
        <w:pStyle w:val="ListBullet"/>
        <w:numPr>
          <w:ilvl w:val="0"/>
          <w:numId w:val="1"/>
        </w:numPr>
        <w:ind w:hanging="360" w:start="397"/>
        <w:rPr/>
      </w:pPr>
      <w:r>
        <w:rPr/>
        <w:t>ESPACE PARENTS</w:t>
      </w:r>
    </w:p>
    <w:p>
      <w:pPr>
        <w:pStyle w:val="ListBullet"/>
        <w:numPr>
          <w:ilvl w:val="0"/>
          <w:numId w:val="1"/>
        </w:numPr>
        <w:ind w:hanging="360" w:start="397"/>
        <w:rPr/>
      </w:pPr>
      <w:r>
        <w:rPr/>
        <w:t>SE CONNECTER</w:t>
      </w:r>
    </w:p>
    <w:p>
      <w:pPr>
        <w:pStyle w:val="Normal"/>
        <w:rPr/>
      </w:pPr>
      <w:r>
        <w:rPr>
          <w:b/>
          <w:color w:val="0B3D91"/>
          <w:sz w:val="22"/>
        </w:rPr>
        <w:t>PARTIE II — Messages institutionnels, programmes et confiance</w:t>
      </w:r>
    </w:p>
    <w:p>
      <w:pPr>
        <w:pStyle w:val="ListBullet"/>
        <w:numPr>
          <w:ilvl w:val="0"/>
          <w:numId w:val="1"/>
        </w:numPr>
        <w:ind w:hanging="360" w:start="397"/>
        <w:rPr/>
      </w:pPr>
      <w:r>
        <w:rPr/>
        <w:t>POURQUOI CHOISIR LE GROUPE SCOLAIRE LES ÉMINENTS ?</w:t>
      </w:r>
    </w:p>
    <w:p>
      <w:pPr>
        <w:pStyle w:val="ListBullet"/>
        <w:numPr>
          <w:ilvl w:val="0"/>
          <w:numId w:val="1"/>
        </w:numPr>
        <w:ind w:hanging="360" w:start="397"/>
        <w:rPr/>
      </w:pPr>
      <w:r>
        <w:rPr/>
        <w:t>Excellence académique — argument de choix</w:t>
      </w:r>
    </w:p>
    <w:p>
      <w:pPr>
        <w:pStyle w:val="ListBullet"/>
        <w:numPr>
          <w:ilvl w:val="0"/>
          <w:numId w:val="1"/>
        </w:numPr>
        <w:ind w:hanging="360" w:start="397"/>
        <w:rPr/>
      </w:pPr>
      <w:r>
        <w:rPr/>
        <w:t>Bilinguisme — argument de choix</w:t>
      </w:r>
    </w:p>
    <w:p>
      <w:pPr>
        <w:pStyle w:val="ListBullet"/>
        <w:numPr>
          <w:ilvl w:val="0"/>
          <w:numId w:val="1"/>
        </w:numPr>
        <w:ind w:hanging="360" w:start="397"/>
        <w:rPr/>
      </w:pPr>
      <w:r>
        <w:rPr/>
        <w:t>Valeurs chrétiennes — argument de choix</w:t>
      </w:r>
    </w:p>
    <w:p>
      <w:pPr>
        <w:pStyle w:val="ListBullet"/>
        <w:numPr>
          <w:ilvl w:val="0"/>
          <w:numId w:val="1"/>
        </w:numPr>
        <w:ind w:hanging="360" w:start="397"/>
        <w:rPr/>
      </w:pPr>
      <w:r>
        <w:rPr/>
        <w:t>Innovation pédagogique — argument de choix</w:t>
      </w:r>
    </w:p>
    <w:p>
      <w:pPr>
        <w:pStyle w:val="ListBullet"/>
        <w:numPr>
          <w:ilvl w:val="0"/>
          <w:numId w:val="1"/>
        </w:numPr>
        <w:ind w:hanging="360" w:start="397"/>
        <w:rPr/>
      </w:pPr>
      <w:r>
        <w:rPr/>
        <w:t>Encadrement personnalisé — argument de choix</w:t>
      </w:r>
    </w:p>
    <w:p>
      <w:pPr>
        <w:pStyle w:val="ListBullet"/>
        <w:numPr>
          <w:ilvl w:val="0"/>
          <w:numId w:val="1"/>
        </w:numPr>
        <w:ind w:hanging="360" w:start="397"/>
        <w:rPr/>
      </w:pPr>
      <w:r>
        <w:rPr/>
        <w:t>Ouverture internationale — argument de choix</w:t>
      </w:r>
    </w:p>
    <w:p>
      <w:pPr>
        <w:pStyle w:val="ListBullet"/>
        <w:numPr>
          <w:ilvl w:val="0"/>
          <w:numId w:val="1"/>
        </w:numPr>
        <w:ind w:hanging="360" w:start="397"/>
        <w:rPr/>
      </w:pPr>
      <w:r>
        <w:rPr/>
        <w:t>NOS PROGRAMMES SCOLAIRES — message introductif</w:t>
      </w:r>
    </w:p>
    <w:p>
      <w:pPr>
        <w:pStyle w:val="ListBullet"/>
        <w:numPr>
          <w:ilvl w:val="0"/>
          <w:numId w:val="1"/>
        </w:numPr>
        <w:ind w:hanging="360" w:start="397"/>
        <w:rPr/>
      </w:pPr>
      <w:r>
        <w:rPr/>
        <w:t>MATERNELLE</w:t>
      </w:r>
    </w:p>
    <w:p>
      <w:pPr>
        <w:pStyle w:val="ListBullet"/>
        <w:numPr>
          <w:ilvl w:val="0"/>
          <w:numId w:val="1"/>
        </w:numPr>
        <w:ind w:hanging="360" w:start="397"/>
        <w:rPr/>
      </w:pPr>
      <w:r>
        <w:rPr/>
        <w:t>PRIMAIRE</w:t>
      </w:r>
    </w:p>
    <w:p>
      <w:pPr>
        <w:pStyle w:val="ListBullet"/>
        <w:numPr>
          <w:ilvl w:val="0"/>
          <w:numId w:val="1"/>
        </w:numPr>
        <w:ind w:hanging="360" w:start="397"/>
        <w:rPr/>
      </w:pPr>
      <w:r>
        <w:rPr/>
        <w:t>SECONDAIRE (PLUTARD)</w:t>
      </w:r>
    </w:p>
    <w:p>
      <w:pPr>
        <w:pStyle w:val="ListBullet"/>
        <w:numPr>
          <w:ilvl w:val="0"/>
          <w:numId w:val="1"/>
        </w:numPr>
        <w:ind w:hanging="360" w:start="397"/>
        <w:rPr/>
      </w:pPr>
      <w:r>
        <w:rPr/>
        <w:t>SECTION BILINGUE</w:t>
      </w:r>
    </w:p>
    <w:p>
      <w:pPr>
        <w:pStyle w:val="ListBullet"/>
        <w:numPr>
          <w:ilvl w:val="0"/>
          <w:numId w:val="1"/>
        </w:numPr>
        <w:ind w:hanging="360" w:start="397"/>
        <w:rPr/>
      </w:pPr>
      <w:r>
        <w:rPr/>
        <w:t>Découvrir tous nos programmes</w:t>
      </w:r>
    </w:p>
    <w:p>
      <w:pPr>
        <w:pStyle w:val="ListBullet"/>
        <w:numPr>
          <w:ilvl w:val="0"/>
          <w:numId w:val="1"/>
        </w:numPr>
        <w:ind w:hanging="360" w:start="397"/>
        <w:rPr/>
      </w:pPr>
      <w:r>
        <w:rPr/>
        <w:t>POURQUOI LES PARENTS NOUS FONT CONFIANCE</w:t>
      </w:r>
    </w:p>
    <w:p>
      <w:pPr>
        <w:pStyle w:val="ListBullet"/>
        <w:numPr>
          <w:ilvl w:val="0"/>
          <w:numId w:val="1"/>
        </w:numPr>
        <w:ind w:hanging="360" w:start="397"/>
        <w:rPr/>
      </w:pPr>
      <w:r>
        <w:rPr/>
        <w:t>Excellence académique — raison de confiance</w:t>
      </w:r>
    </w:p>
    <w:p>
      <w:pPr>
        <w:pStyle w:val="ListBullet"/>
        <w:numPr>
          <w:ilvl w:val="0"/>
          <w:numId w:val="1"/>
        </w:numPr>
        <w:ind w:hanging="360" w:start="397"/>
        <w:rPr/>
      </w:pPr>
      <w:r>
        <w:rPr/>
        <w:t>Encadrement personnalisé — raison de confiance</w:t>
      </w:r>
    </w:p>
    <w:p>
      <w:pPr>
        <w:pStyle w:val="ListBullet"/>
        <w:numPr>
          <w:ilvl w:val="0"/>
          <w:numId w:val="1"/>
        </w:numPr>
        <w:ind w:hanging="360" w:start="397"/>
        <w:rPr/>
      </w:pPr>
      <w:r>
        <w:rPr/>
        <w:t>Éducation bilingue — raison de confiance</w:t>
      </w:r>
    </w:p>
    <w:p>
      <w:pPr>
        <w:pStyle w:val="ListBullet"/>
        <w:numPr>
          <w:ilvl w:val="0"/>
          <w:numId w:val="1"/>
        </w:numPr>
        <w:ind w:hanging="360" w:start="397"/>
        <w:rPr/>
      </w:pPr>
      <w:r>
        <w:rPr/>
        <w:t>Valeurs chrétiennes — raison de confiance</w:t>
      </w:r>
    </w:p>
    <w:p>
      <w:pPr>
        <w:pStyle w:val="ListBullet"/>
        <w:numPr>
          <w:ilvl w:val="0"/>
          <w:numId w:val="1"/>
        </w:numPr>
        <w:ind w:hanging="360" w:start="397"/>
        <w:rPr/>
      </w:pPr>
      <w:r>
        <w:rPr/>
        <w:t>Sécurité et bien-être — raison de confiance</w:t>
      </w:r>
    </w:p>
    <w:p>
      <w:pPr>
        <w:pStyle w:val="ListBullet"/>
        <w:numPr>
          <w:ilvl w:val="0"/>
          <w:numId w:val="1"/>
        </w:numPr>
        <w:ind w:hanging="360" w:start="397"/>
        <w:rPr/>
      </w:pPr>
      <w:r>
        <w:rPr/>
        <w:t>Innovation pédagogique — raison de confiance</w:t>
      </w:r>
    </w:p>
    <w:p>
      <w:pPr>
        <w:pStyle w:val="ListBullet"/>
        <w:numPr>
          <w:ilvl w:val="0"/>
          <w:numId w:val="1"/>
        </w:numPr>
        <w:ind w:hanging="360" w:start="397"/>
        <w:rPr/>
      </w:pPr>
      <w:r>
        <w:rPr/>
        <w:t>EXCELLENCE • VALEURS • AVENIR</w:t>
      </w:r>
    </w:p>
    <w:p>
      <w:pPr>
        <w:pStyle w:val="Normal"/>
        <w:rPr/>
      </w:pPr>
      <w:r>
        <w:rPr>
          <w:b/>
          <w:color w:val="0B3D91"/>
          <w:sz w:val="22"/>
        </w:rPr>
        <w:t>PARTIE III — Pied de page, liens et mentions</w:t>
      </w:r>
    </w:p>
    <w:p>
      <w:pPr>
        <w:pStyle w:val="ListBullet"/>
        <w:numPr>
          <w:ilvl w:val="0"/>
          <w:numId w:val="1"/>
        </w:numPr>
        <w:ind w:hanging="360" w:start="397"/>
        <w:rPr/>
      </w:pPr>
      <w:r>
        <w:rPr/>
        <w:t>Présentation institutionnelle en anglais</w:t>
      </w:r>
    </w:p>
    <w:p>
      <w:pPr>
        <w:pStyle w:val="ListBullet"/>
        <w:numPr>
          <w:ilvl w:val="0"/>
          <w:numId w:val="1"/>
        </w:numPr>
        <w:ind w:hanging="360" w:start="397"/>
        <w:rPr/>
      </w:pPr>
      <w:r>
        <w:rPr/>
        <w:t>Useful Links</w:t>
      </w:r>
    </w:p>
    <w:p>
      <w:pPr>
        <w:pStyle w:val="ListBullet"/>
        <w:numPr>
          <w:ilvl w:val="0"/>
          <w:numId w:val="1"/>
        </w:numPr>
        <w:ind w:hanging="360" w:start="397"/>
        <w:rPr/>
      </w:pPr>
      <w:r>
        <w:rPr/>
        <w:t>Contact us</w:t>
      </w:r>
    </w:p>
    <w:p>
      <w:pPr>
        <w:pStyle w:val="ListBullet"/>
        <w:numPr>
          <w:ilvl w:val="0"/>
          <w:numId w:val="1"/>
        </w:numPr>
        <w:ind w:hanging="360" w:start="397"/>
        <w:rPr/>
      </w:pPr>
      <w:r>
        <w:rPr/>
        <w:t>Copyright et mention de réalisation</w:t>
      </w:r>
    </w:p>
    <w:p>
      <w:pPr>
        <w:pStyle w:val="ListBullet"/>
        <w:numPr>
          <w:ilvl w:val="0"/>
          <w:numId w:val="1"/>
        </w:numPr>
        <w:rPr/>
      </w:pPr>
      <w:r>
        <w:rPr/>
        <w:t>PARTIE IV — Questions transversales de synthèse</w:t>
      </w:r>
    </w:p>
    <w:p>
      <w:pPr>
        <w:pStyle w:val="ListBullet"/>
        <w:numPr>
          <w:ilvl w:val="0"/>
          <w:numId w:val="1"/>
        </w:numPr>
        <w:rPr/>
      </w:pPr>
      <w:r>
        <w:rPr/>
        <w:t>PARTIE V — Glossaire des mots clés, sigles, abréviations et termes difficiles</w:t>
      </w:r>
    </w:p>
    <w:p>
      <w:pPr>
        <w:pStyle w:val="ListBullet"/>
        <w:numPr>
          <w:ilvl w:val="0"/>
          <w:numId w:val="1"/>
        </w:numPr>
        <w:rPr/>
      </w:pPr>
      <w:r>
        <w:rPr/>
        <w:t>PARTIE VI — Recommandations d’exploitation de la banque</w:t>
      </w:r>
    </w:p>
    <w:p>
      <w:pPr>
        <w:pStyle w:val="Normal"/>
        <w:rPr/>
      </w:pPr>
      <w:r>
        <w:rPr/>
      </w:r>
      <w:r>
        <w:br w:type="page"/>
      </w:r>
    </w:p>
    <w:p>
      <w:pPr>
        <w:pStyle w:val="Normal"/>
        <w:spacing w:before="0" w:after="80"/>
        <w:jc w:val="center"/>
        <w:rPr/>
      </w:pPr>
      <w:r>
        <w:rPr>
          <w:b/>
          <w:color w:val="0B3D91"/>
          <w:sz w:val="46"/>
        </w:rPr>
        <w:t>PARTIE I</w:t>
      </w:r>
    </w:p>
    <w:p>
      <w:pPr>
        <w:pStyle w:val="Normal"/>
        <w:jc w:val="center"/>
        <w:rPr/>
      </w:pPr>
      <w:r>
        <w:rPr>
          <w:i/>
          <w:color w:val="253247"/>
          <w:sz w:val="24"/>
        </w:rPr>
        <w:t>Identité, navigation et accès directs</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Normal"/>
        <w:rPr/>
      </w:pPr>
      <w:r>
        <w:rPr/>
      </w:r>
      <w:r>
        <w:br w:type="page"/>
      </w:r>
    </w:p>
    <w:p>
      <w:pPr>
        <w:pStyle w:val="Heading2"/>
        <w:spacing w:before="0" w:after="100"/>
        <w:rPr/>
      </w:pPr>
      <w:r>
        <w:rPr/>
        <w:t>1. GROUPE SCOLAIRE LES ÉMINENTS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GROUPE SCOLAIRE LES ÉMINENTS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nom institutionnel placé en tête identifie immédiatement l’établissement qui porte l’ensemble des contenus de la page.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garantit la reconnaissance de la marque scolaire, la cohérence des messages et l’attribution correcte des programmes, valeurs et services.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 titre est relié au logo, aux trois visuels institutionnels, à la signature « EXCELLENCE • VALEURS • AVENIR » et au copyright.</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pp. 1, 3, 4, 5, 7 et 8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GROUPE SCOLAIRE LES ÉMINENTS</w:t>
      </w:r>
    </w:p>
    <w:p>
      <w:pPr>
        <w:pStyle w:val="QuestionGSE"/>
        <w:rPr/>
      </w:pPr>
      <w:r>
        <w:rPr/>
        <w:t>Q2. Quelle rubrique du menu permet d’accéder aux contenus liés à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Q3. Quel message la page d’accueil associe-t-elle au titre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Q4. Que doit répondre un agent lorsqu’un visiteur demande ce que dit la section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Q5. Quelle formulation de la page d’accueil permet de présenter fidèlement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Q6. Que doit retenir un parent après lecture de la section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Q7. Quelle réponse de référence doit rester strictement liée au contenu publié sous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Q8. Comment résumer la section « GROUPE SCOLAIRE LES ÉMINENTS » sans ajouter d’information extérieure ?</w:t>
      </w:r>
    </w:p>
    <w:p>
      <w:pPr>
        <w:pStyle w:val="AnswerGSE"/>
        <w:shd w:fill="F3F4F6"/>
        <w:rPr/>
      </w:pPr>
      <w:r>
        <w:rPr>
          <w:b/>
          <w:color w:val="2F6B3F"/>
        </w:rPr>
        <w:t xml:space="preserve">Réponse de référence : </w:t>
      </w:r>
      <w:r>
        <w:rPr/>
        <w:t>GROUPE SCOLAIRE LES ÉMINENTS</w:t>
      </w:r>
    </w:p>
    <w:p>
      <w:pPr>
        <w:pStyle w:val="QuestionGSE"/>
        <w:rPr/>
      </w:pPr>
      <w:r>
        <w:rPr/>
        <w:t>Q9. Quel contenu publié justifie le titre « GROUPE SCOLAIRE LES ÉMINENTS » ?</w:t>
      </w:r>
    </w:p>
    <w:p>
      <w:pPr>
        <w:pStyle w:val="AnswerGSE"/>
        <w:shd w:fill="F3F4F6"/>
        <w:rPr/>
      </w:pPr>
      <w:r>
        <w:rPr>
          <w:b/>
          <w:color w:val="2F6B3F"/>
        </w:rPr>
        <w:t xml:space="preserve">Réponse de référence : </w:t>
      </w:r>
      <w:r>
        <w:rPr/>
        <w:t>GROUPE SCOLAIRE LES ÉMINENTS</w:t>
      </w:r>
    </w:p>
    <w:p>
      <w:pPr>
        <w:pStyle w:val="QuestionGSE"/>
        <w:rPr/>
      </w:pPr>
      <w:r>
        <w:rPr/>
        <w:t>Q10. Quelle phrase peut être utilisée par la FAQ pour répondre à une question sur « GROUPE SCOLAIRE LES ÉMINENTS » ?</w:t>
      </w:r>
    </w:p>
    <w:p>
      <w:pPr>
        <w:pStyle w:val="AnswerGSE"/>
        <w:shd w:fill="F3F4F6"/>
        <w:rPr/>
      </w:pPr>
      <w:r>
        <w:rPr>
          <w:b/>
          <w:color w:val="2F6B3F"/>
        </w:rPr>
        <w:t xml:space="preserve">Réponse de référence : </w:t>
      </w:r>
      <w:r>
        <w:rPr/>
        <w:t>GROUPE SCOLAIRE LES ÉMINENTS</w:t>
      </w:r>
    </w:p>
    <w:p>
      <w:pPr>
        <w:pStyle w:val="Normal"/>
        <w:rPr/>
      </w:pPr>
      <w:r>
        <w:rPr/>
      </w:r>
      <w:r>
        <w:br w:type="page"/>
      </w:r>
    </w:p>
    <w:p>
      <w:pPr>
        <w:pStyle w:val="Heading2"/>
        <w:spacing w:before="0" w:after="100"/>
        <w:rPr/>
      </w:pPr>
      <w:r>
        <w:rPr/>
        <w:t>2. ACCUEIL</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ACCUEIL</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 ACCUEIL » désigne le point d’entrée principal du site et la page qui rassemble les messages essentiels.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permet au visiteur de comprendre rapidement l’identité de l’école, ses programmes, ses avantages et les actions disponibles.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donne accès aux autres rubriques : À propos, Programmes, Admissions, Vie scolaire, Galerie, Actualités, Partenariats, Contact, Espace Parents et Connexion.</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ACCUEIL</w:t>
      </w:r>
    </w:p>
    <w:p>
      <w:pPr>
        <w:pStyle w:val="QuestionGSE"/>
        <w:rPr/>
      </w:pPr>
      <w:r>
        <w:rPr/>
        <w:t>Q2. Quelle rubrique du menu permet d’accéder aux contenus liés à « ACCUEIL » ?</w:t>
      </w:r>
    </w:p>
    <w:p>
      <w:pPr>
        <w:pStyle w:val="AnswerGSE"/>
        <w:shd w:fill="F3F4F6"/>
        <w:rPr/>
      </w:pPr>
      <w:r>
        <w:rPr>
          <w:b/>
          <w:color w:val="2F6B3F"/>
        </w:rPr>
        <w:t xml:space="preserve">Réponse de référence : </w:t>
      </w:r>
      <w:r>
        <w:rPr/>
        <w:t>ACCUEIL</w:t>
      </w:r>
    </w:p>
    <w:p>
      <w:pPr>
        <w:pStyle w:val="QuestionGSE"/>
        <w:rPr/>
      </w:pPr>
      <w:r>
        <w:rPr/>
        <w:t>Q3. Quel message la page d’accueil associe-t-elle au titre « ACCUEIL » ?</w:t>
      </w:r>
    </w:p>
    <w:p>
      <w:pPr>
        <w:pStyle w:val="AnswerGSE"/>
        <w:shd w:fill="F3F4F6"/>
        <w:rPr/>
      </w:pPr>
      <w:r>
        <w:rPr>
          <w:b/>
          <w:color w:val="2F6B3F"/>
        </w:rPr>
        <w:t xml:space="preserve">Réponse de référence : </w:t>
      </w:r>
      <w:r>
        <w:rPr/>
        <w:t>ACCUEIL</w:t>
      </w:r>
    </w:p>
    <w:p>
      <w:pPr>
        <w:pStyle w:val="QuestionGSE"/>
        <w:rPr/>
      </w:pPr>
      <w:r>
        <w:rPr/>
        <w:t>Q4. Que doit répondre un agent lorsqu’un visiteur demande ce que dit la section « ACCUEIL » ?</w:t>
      </w:r>
    </w:p>
    <w:p>
      <w:pPr>
        <w:pStyle w:val="AnswerGSE"/>
        <w:shd w:fill="F3F4F6"/>
        <w:rPr/>
      </w:pPr>
      <w:r>
        <w:rPr>
          <w:b/>
          <w:color w:val="2F6B3F"/>
        </w:rPr>
        <w:t xml:space="preserve">Réponse de référence : </w:t>
      </w:r>
      <w:r>
        <w:rPr/>
        <w:t>ACCUEIL</w:t>
      </w:r>
    </w:p>
    <w:p>
      <w:pPr>
        <w:pStyle w:val="QuestionGSE"/>
        <w:rPr/>
      </w:pPr>
      <w:r>
        <w:rPr/>
        <w:t>Q5. Quelle formulation de la page d’accueil permet de présenter fidèlement « ACCUEIL » ?</w:t>
      </w:r>
    </w:p>
    <w:p>
      <w:pPr>
        <w:pStyle w:val="AnswerGSE"/>
        <w:shd w:fill="F3F4F6"/>
        <w:rPr/>
      </w:pPr>
      <w:r>
        <w:rPr>
          <w:b/>
          <w:color w:val="2F6B3F"/>
        </w:rPr>
        <w:t xml:space="preserve">Réponse de référence : </w:t>
      </w:r>
      <w:r>
        <w:rPr/>
        <w:t>ACCUEIL</w:t>
      </w:r>
    </w:p>
    <w:p>
      <w:pPr>
        <w:pStyle w:val="QuestionGSE"/>
        <w:rPr/>
      </w:pPr>
      <w:r>
        <w:rPr/>
        <w:t>Q6. Que doit retenir un parent après lecture de la section « ACCUEIL » ?</w:t>
      </w:r>
    </w:p>
    <w:p>
      <w:pPr>
        <w:pStyle w:val="AnswerGSE"/>
        <w:shd w:fill="F3F4F6"/>
        <w:rPr/>
      </w:pPr>
      <w:r>
        <w:rPr>
          <w:b/>
          <w:color w:val="2F6B3F"/>
        </w:rPr>
        <w:t xml:space="preserve">Réponse de référence : </w:t>
      </w:r>
      <w:r>
        <w:rPr/>
        <w:t>ACCUEIL</w:t>
      </w:r>
    </w:p>
    <w:p>
      <w:pPr>
        <w:pStyle w:val="QuestionGSE"/>
        <w:rPr/>
      </w:pPr>
      <w:r>
        <w:rPr/>
        <w:t>Q7. Quelle réponse de référence doit rester strictement liée au contenu publié sous « ACCUEIL » ?</w:t>
      </w:r>
    </w:p>
    <w:p>
      <w:pPr>
        <w:pStyle w:val="AnswerGSE"/>
        <w:shd w:fill="F3F4F6"/>
        <w:rPr/>
      </w:pPr>
      <w:r>
        <w:rPr>
          <w:b/>
          <w:color w:val="2F6B3F"/>
        </w:rPr>
        <w:t xml:space="preserve">Réponse de référence : </w:t>
      </w:r>
      <w:r>
        <w:rPr/>
        <w:t>ACCUEIL</w:t>
      </w:r>
    </w:p>
    <w:p>
      <w:pPr>
        <w:pStyle w:val="QuestionGSE"/>
        <w:rPr/>
      </w:pPr>
      <w:r>
        <w:rPr/>
        <w:t>Q8. Comment résumer la section « ACCUEIL » sans ajouter d’information extérieure ?</w:t>
      </w:r>
    </w:p>
    <w:p>
      <w:pPr>
        <w:pStyle w:val="AnswerGSE"/>
        <w:shd w:fill="F3F4F6"/>
        <w:rPr/>
      </w:pPr>
      <w:r>
        <w:rPr>
          <w:b/>
          <w:color w:val="2F6B3F"/>
        </w:rPr>
        <w:t xml:space="preserve">Réponse de référence : </w:t>
      </w:r>
      <w:r>
        <w:rPr/>
        <w:t>ACCUEIL</w:t>
      </w:r>
    </w:p>
    <w:p>
      <w:pPr>
        <w:pStyle w:val="QuestionGSE"/>
        <w:rPr/>
      </w:pPr>
      <w:r>
        <w:rPr/>
        <w:t>Q9. Quel contenu publié justifie le titre « ACCUEIL » ?</w:t>
      </w:r>
    </w:p>
    <w:p>
      <w:pPr>
        <w:pStyle w:val="AnswerGSE"/>
        <w:shd w:fill="F3F4F6"/>
        <w:rPr/>
      </w:pPr>
      <w:r>
        <w:rPr>
          <w:b/>
          <w:color w:val="2F6B3F"/>
        </w:rPr>
        <w:t xml:space="preserve">Réponse de référence : </w:t>
      </w:r>
      <w:r>
        <w:rPr/>
        <w:t>ACCUEIL</w:t>
      </w:r>
    </w:p>
    <w:p>
      <w:pPr>
        <w:pStyle w:val="QuestionGSE"/>
        <w:rPr/>
      </w:pPr>
      <w:r>
        <w:rPr/>
        <w:t>Q10. Quelle phrase peut être utilisée par la FAQ pour répondre à une question sur « ACCUEIL » ?</w:t>
      </w:r>
    </w:p>
    <w:p>
      <w:pPr>
        <w:pStyle w:val="AnswerGSE"/>
        <w:shd w:fill="F3F4F6"/>
        <w:rPr/>
      </w:pPr>
      <w:r>
        <w:rPr>
          <w:b/>
          <w:color w:val="2F6B3F"/>
        </w:rPr>
        <w:t xml:space="preserve">Réponse de référence : </w:t>
      </w:r>
      <w:r>
        <w:rPr/>
        <w:t>ACCUEIL</w:t>
      </w:r>
    </w:p>
    <w:p>
      <w:pPr>
        <w:pStyle w:val="Normal"/>
        <w:rPr/>
      </w:pPr>
      <w:r>
        <w:rPr/>
      </w:r>
      <w:r>
        <w:br w:type="page"/>
      </w:r>
    </w:p>
    <w:p>
      <w:pPr>
        <w:pStyle w:val="Heading2"/>
        <w:spacing w:before="0" w:after="100"/>
        <w:rPr/>
      </w:pPr>
      <w:r>
        <w:rPr/>
        <w:t>3. INSCRIRE MON ENFANT</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INSCRIRE MON ENFANT</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La formulation est un appel à l’action direct, personnel et orienté vers la décision du parent.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transforme l’intérêt suscité par la page d’accueil en démarche concrète d’admission ou d’inscription.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directement liée à ADMISSIONS, à la procédure d’inscription, aux documents requis, aux frais scolaires et à l’inscription en ligne.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pp. 2 et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INSCRIRE MON ENFANT</w:t>
      </w:r>
    </w:p>
    <w:p>
      <w:pPr>
        <w:pStyle w:val="QuestionGSE"/>
        <w:rPr/>
      </w:pPr>
      <w:r>
        <w:rPr/>
        <w:t>Q2. Quelle rubrique du menu permet d’accéder aux contenus liés à « INSCRIRE MON ENFANT » ?</w:t>
      </w:r>
    </w:p>
    <w:p>
      <w:pPr>
        <w:pStyle w:val="AnswerGSE"/>
        <w:shd w:fill="F3F4F6"/>
        <w:rPr/>
      </w:pPr>
      <w:r>
        <w:rPr>
          <w:b/>
          <w:color w:val="2F6B3F"/>
        </w:rPr>
        <w:t xml:space="preserve">Réponse de référence : </w:t>
      </w:r>
      <w:r>
        <w:rPr/>
        <w:t>INSCRIRE MON ENFANT</w:t>
      </w:r>
    </w:p>
    <w:p>
      <w:pPr>
        <w:pStyle w:val="QuestionGSE"/>
        <w:rPr/>
      </w:pPr>
      <w:r>
        <w:rPr/>
        <w:t>Q3. Quel message la page d’accueil associe-t-elle au titre « INSCRIRE MON ENFANT » ?</w:t>
      </w:r>
    </w:p>
    <w:p>
      <w:pPr>
        <w:pStyle w:val="AnswerGSE"/>
        <w:shd w:fill="F3F4F6"/>
        <w:rPr/>
      </w:pPr>
      <w:r>
        <w:rPr>
          <w:b/>
          <w:color w:val="2F6B3F"/>
        </w:rPr>
        <w:t xml:space="preserve">Réponse de référence : </w:t>
      </w:r>
      <w:r>
        <w:rPr/>
        <w:t>INSCRIRE MON ENFANT</w:t>
      </w:r>
    </w:p>
    <w:p>
      <w:pPr>
        <w:pStyle w:val="QuestionGSE"/>
        <w:rPr/>
      </w:pPr>
      <w:r>
        <w:rPr/>
        <w:t>Q4. Que doit répondre un agent lorsqu’un visiteur demande ce que dit la section « INSCRIRE MON ENFANT » ?</w:t>
      </w:r>
    </w:p>
    <w:p>
      <w:pPr>
        <w:pStyle w:val="AnswerGSE"/>
        <w:shd w:fill="F3F4F6"/>
        <w:rPr/>
      </w:pPr>
      <w:r>
        <w:rPr>
          <w:b/>
          <w:color w:val="2F6B3F"/>
        </w:rPr>
        <w:t xml:space="preserve">Réponse de référence : </w:t>
      </w:r>
      <w:r>
        <w:rPr/>
        <w:t>INSCRIRE MON ENFANT</w:t>
      </w:r>
    </w:p>
    <w:p>
      <w:pPr>
        <w:pStyle w:val="QuestionGSE"/>
        <w:rPr/>
      </w:pPr>
      <w:r>
        <w:rPr/>
        <w:t>Q5. Quelle formulation de la page d’accueil permet de présenter fidèlement « INSCRIRE MON ENFANT » ?</w:t>
      </w:r>
    </w:p>
    <w:p>
      <w:pPr>
        <w:pStyle w:val="AnswerGSE"/>
        <w:shd w:fill="F3F4F6"/>
        <w:rPr/>
      </w:pPr>
      <w:r>
        <w:rPr>
          <w:b/>
          <w:color w:val="2F6B3F"/>
        </w:rPr>
        <w:t xml:space="preserve">Réponse de référence : </w:t>
      </w:r>
      <w:r>
        <w:rPr/>
        <w:t>INSCRIRE MON ENFANT</w:t>
      </w:r>
    </w:p>
    <w:p>
      <w:pPr>
        <w:pStyle w:val="QuestionGSE"/>
        <w:rPr/>
      </w:pPr>
      <w:r>
        <w:rPr/>
        <w:t>Q6. Que doit retenir un parent après lecture de la section « INSCRIRE MON ENFANT » ?</w:t>
      </w:r>
    </w:p>
    <w:p>
      <w:pPr>
        <w:pStyle w:val="AnswerGSE"/>
        <w:shd w:fill="F3F4F6"/>
        <w:rPr/>
      </w:pPr>
      <w:r>
        <w:rPr>
          <w:b/>
          <w:color w:val="2F6B3F"/>
        </w:rPr>
        <w:t xml:space="preserve">Réponse de référence : </w:t>
      </w:r>
      <w:r>
        <w:rPr/>
        <w:t>INSCRIRE MON ENFANT</w:t>
      </w:r>
    </w:p>
    <w:p>
      <w:pPr>
        <w:pStyle w:val="QuestionGSE"/>
        <w:rPr/>
      </w:pPr>
      <w:r>
        <w:rPr/>
        <w:t>Q7. Quelle réponse de référence doit rester strictement liée au contenu publié sous « INSCRIRE MON ENFANT » ?</w:t>
      </w:r>
    </w:p>
    <w:p>
      <w:pPr>
        <w:pStyle w:val="AnswerGSE"/>
        <w:shd w:fill="F3F4F6"/>
        <w:rPr/>
      </w:pPr>
      <w:r>
        <w:rPr>
          <w:b/>
          <w:color w:val="2F6B3F"/>
        </w:rPr>
        <w:t xml:space="preserve">Réponse de référence : </w:t>
      </w:r>
      <w:r>
        <w:rPr/>
        <w:t>INSCRIRE MON ENFANT</w:t>
      </w:r>
    </w:p>
    <w:p>
      <w:pPr>
        <w:pStyle w:val="QuestionGSE"/>
        <w:rPr/>
      </w:pPr>
      <w:r>
        <w:rPr/>
        <w:t>Q8. Comment résumer la section « INSCRIRE MON ENFANT » sans ajouter d’information extérieure ?</w:t>
      </w:r>
    </w:p>
    <w:p>
      <w:pPr>
        <w:pStyle w:val="AnswerGSE"/>
        <w:shd w:fill="F3F4F6"/>
        <w:rPr/>
      </w:pPr>
      <w:r>
        <w:rPr>
          <w:b/>
          <w:color w:val="2F6B3F"/>
        </w:rPr>
        <w:t xml:space="preserve">Réponse de référence : </w:t>
      </w:r>
      <w:r>
        <w:rPr/>
        <w:t>INSCRIRE MON ENFANT</w:t>
      </w:r>
    </w:p>
    <w:p>
      <w:pPr>
        <w:pStyle w:val="QuestionGSE"/>
        <w:rPr/>
      </w:pPr>
      <w:r>
        <w:rPr/>
        <w:t>Q9. Quel contenu publié justifie le titre « INSCRIRE MON ENFANT » ?</w:t>
      </w:r>
    </w:p>
    <w:p>
      <w:pPr>
        <w:pStyle w:val="AnswerGSE"/>
        <w:shd w:fill="F3F4F6"/>
        <w:rPr/>
      </w:pPr>
      <w:r>
        <w:rPr>
          <w:b/>
          <w:color w:val="2F6B3F"/>
        </w:rPr>
        <w:t xml:space="preserve">Réponse de référence : </w:t>
      </w:r>
      <w:r>
        <w:rPr/>
        <w:t>INSCRIRE MON ENFANT</w:t>
      </w:r>
    </w:p>
    <w:p>
      <w:pPr>
        <w:pStyle w:val="QuestionGSE"/>
        <w:rPr/>
      </w:pPr>
      <w:r>
        <w:rPr/>
        <w:t>Q10. Quelle phrase peut être utilisée par la FAQ pour répondre à une question sur « INSCRIRE MON ENFANT » ?</w:t>
      </w:r>
    </w:p>
    <w:p>
      <w:pPr>
        <w:pStyle w:val="AnswerGSE"/>
        <w:shd w:fill="F3F4F6"/>
        <w:rPr/>
      </w:pPr>
      <w:r>
        <w:rPr>
          <w:b/>
          <w:color w:val="2F6B3F"/>
        </w:rPr>
        <w:t xml:space="preserve">Réponse de référence : </w:t>
      </w:r>
      <w:r>
        <w:rPr/>
        <w:t>INSCRIRE MON ENFANT</w:t>
      </w:r>
    </w:p>
    <w:p>
      <w:pPr>
        <w:pStyle w:val="Normal"/>
        <w:rPr/>
      </w:pPr>
      <w:r>
        <w:rPr/>
      </w:r>
      <w:r>
        <w:br w:type="page"/>
      </w:r>
    </w:p>
    <w:p>
      <w:pPr>
        <w:pStyle w:val="Heading2"/>
        <w:spacing w:before="0" w:after="100"/>
        <w:rPr/>
      </w:pPr>
      <w:r>
        <w:rPr/>
        <w:t>4. À PROPOS DE NOUS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À PROPOS DE NOUS</w:t>
        <w:br/>
        <w:t>• À PROPOS DE NOUS &gt; NOTRE VISION ET MISSION</w:t>
        <w:br/>
        <w:t>• À PROPOS DE NOUS &gt; NOTRE VISION ET MISSION &gt; Notre vision</w:t>
        <w:br/>
        <w:t>• À PROPOS DE NOUS &gt; NOTRE VISION ET MISSION &gt; Notre mission</w:t>
        <w:br/>
        <w:t>• À PROPOS DE NOUS &gt; NOTRE VISION ET MISSION &gt; Nos valeurs</w:t>
        <w:br/>
        <w:t>• À PROPOS DE NOUS &gt; NOTRE VISION ET MISSION &gt; Notre devise</w:t>
        <w:br/>
        <w:t>• À PROPOS DE NOUS &gt; NOTRE APPROCHE ÉDUCATIVE</w:t>
        <w:br/>
        <w:t>• À PROPOS DE NOUS &gt; NOTRE APPROCHE ÉDUCATIVE &gt; Excellence académique</w:t>
        <w:br/>
        <w:t>• À PROPOS DE NOUS &gt; NOTRE APPROCHE ÉDUCATIVE &gt; Enseignement bilingue</w:t>
        <w:br/>
        <w:t>• À PROPOS DE NOUS &gt; NOTRE APPROCHE ÉDUCATIVE &gt; Pédagogie active</w:t>
        <w:br/>
        <w:t>• À PROPOS DE NOUS &gt; NOTRE APPROCHE ÉDUCATIVE &gt; Éducation chrétienne</w:t>
        <w:br/>
        <w:t>• À PROPOS DE NOUS &gt; NOTRE APPROCHE ÉDUCATIVE &gt; Technologies éducatives</w:t>
        <w:br/>
        <w:t>• À PROPOS DE NOUS &gt; MOT DU PROMOTEUR</w:t>
        <w:br/>
        <w:t>• À PROPOS DE NOUS &gt; MOT DE LA DIRECTION</w:t>
        <w:br/>
        <w:t>• À PROPOS DE NOUS &gt; NOTRE ÉQUIPE</w:t>
        <w:br/>
        <w:t>• À PROPOS DE NOUS &gt; NOS INFRASTRUCTURES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Cette rubrique explique qui est l’établissement, ce qu’il poursuit, comment il éduque et qui le dirige.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construit la crédibilité institutionnelle et donne les repères nécessaires avant une décision d’inscription ou de partenariat.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relie l’identité de l’école aux arguments « Pourquoi choisir », aux programmes, à la vie scolaire, aux partenariats et aux admissions.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18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À PROPOS DE NOUS</w:t>
      </w:r>
    </w:p>
    <w:p>
      <w:pPr>
        <w:pStyle w:val="QuestionGSE"/>
        <w:rPr/>
      </w:pPr>
      <w:r>
        <w:rPr/>
        <w:t>Q2. Quelle rubrique du menu permet d’accéder aux contenus liés à « À PROPOS DE NOUS » ?</w:t>
      </w:r>
    </w:p>
    <w:p>
      <w:pPr>
        <w:pStyle w:val="AnswerGSE"/>
        <w:shd w:fill="F3F4F6"/>
        <w:rPr/>
      </w:pPr>
      <w:r>
        <w:rPr>
          <w:b/>
          <w:color w:val="2F6B3F"/>
        </w:rPr>
        <w:t xml:space="preserve">Réponse de référence : </w:t>
      </w:r>
      <w:r>
        <w:rPr/>
        <w:t>À PROPOS DE NOUS</w:t>
      </w:r>
    </w:p>
    <w:p>
      <w:pPr>
        <w:pStyle w:val="QuestionGSE"/>
        <w:rPr/>
      </w:pPr>
      <w:r>
        <w:rPr/>
        <w:t>Q3. Quels grands accès sont regroupés sous « À PROPOS DE NOUS » ?</w:t>
      </w:r>
    </w:p>
    <w:p>
      <w:pPr>
        <w:pStyle w:val="AnswerGSE"/>
        <w:shd w:fill="F3F4F6"/>
        <w:rPr/>
      </w:pPr>
      <w:r>
        <w:rPr>
          <w:b/>
          <w:color w:val="2F6B3F"/>
        </w:rPr>
        <w:t xml:space="preserve">Réponse de référence : </w:t>
      </w:r>
      <w:r>
        <w:rPr/>
        <w:t>NOTRE VISION ET MISSION ; NOTRE APPROCHE ÉDUCATIVE ; MOT DU PROMOTEUR ; MOT DE LA DIRECTION ; NOTRE ÉQUIPE ; NOS INFRASTRUCTURES.</w:t>
      </w:r>
    </w:p>
    <w:p>
      <w:pPr>
        <w:pStyle w:val="QuestionGSE"/>
        <w:rPr/>
      </w:pPr>
      <w:r>
        <w:rPr/>
        <w:t>Q4. Quel chemin de navigation permet de consulter « NOTRE VISION ET MISSION » ?</w:t>
      </w:r>
    </w:p>
    <w:p>
      <w:pPr>
        <w:pStyle w:val="AnswerGSE"/>
        <w:shd w:fill="F3F4F6"/>
        <w:rPr/>
      </w:pPr>
      <w:r>
        <w:rPr>
          <w:b/>
          <w:color w:val="2F6B3F"/>
        </w:rPr>
        <w:t xml:space="preserve">Réponse de référence : </w:t>
      </w:r>
      <w:r>
        <w:rPr/>
        <w:t>À PROPOS DE NOUS &gt; NOTRE VISION ET MISSION</w:t>
      </w:r>
    </w:p>
    <w:p>
      <w:pPr>
        <w:pStyle w:val="QuestionGSE"/>
        <w:rPr/>
      </w:pPr>
      <w:r>
        <w:rPr/>
        <w:t>Q5. Quel chemin de navigation permet de consulter « Notre vision » ?</w:t>
      </w:r>
    </w:p>
    <w:p>
      <w:pPr>
        <w:pStyle w:val="AnswerGSE"/>
        <w:shd w:fill="F3F4F6"/>
        <w:rPr/>
      </w:pPr>
      <w:r>
        <w:rPr>
          <w:b/>
          <w:color w:val="2F6B3F"/>
        </w:rPr>
        <w:t xml:space="preserve">Réponse de référence : </w:t>
      </w:r>
      <w:r>
        <w:rPr/>
        <w:t>À PROPOS DE NOUS &gt; NOTRE VISION ET MISSION &gt; Notre vision</w:t>
      </w:r>
    </w:p>
    <w:p>
      <w:pPr>
        <w:pStyle w:val="QuestionGSE"/>
        <w:rPr/>
      </w:pPr>
      <w:r>
        <w:rPr/>
        <w:t>Q6. Quel chemin de navigation permet de consulter « Notre mission » ?</w:t>
      </w:r>
    </w:p>
    <w:p>
      <w:pPr>
        <w:pStyle w:val="AnswerGSE"/>
        <w:shd w:fill="F3F4F6"/>
        <w:rPr/>
      </w:pPr>
      <w:r>
        <w:rPr>
          <w:b/>
          <w:color w:val="2F6B3F"/>
        </w:rPr>
        <w:t xml:space="preserve">Réponse de référence : </w:t>
      </w:r>
      <w:r>
        <w:rPr/>
        <w:t>À PROPOS DE NOUS &gt; NOTRE VISION ET MISSION &gt; Notre mission</w:t>
      </w:r>
    </w:p>
    <w:p>
      <w:pPr>
        <w:pStyle w:val="QuestionGSE"/>
        <w:rPr/>
      </w:pPr>
      <w:r>
        <w:rPr/>
        <w:t>Q7. Quel chemin de navigation permet de consulter « Nos valeurs » ?</w:t>
      </w:r>
    </w:p>
    <w:p>
      <w:pPr>
        <w:pStyle w:val="AnswerGSE"/>
        <w:shd w:fill="F3F4F6"/>
        <w:rPr/>
      </w:pPr>
      <w:r>
        <w:rPr>
          <w:b/>
          <w:color w:val="2F6B3F"/>
        </w:rPr>
        <w:t xml:space="preserve">Réponse de référence : </w:t>
      </w:r>
      <w:r>
        <w:rPr/>
        <w:t>À PROPOS DE NOUS &gt; NOTRE VISION ET MISSION &gt; Nos valeurs</w:t>
      </w:r>
    </w:p>
    <w:p>
      <w:pPr>
        <w:pStyle w:val="QuestionGSE"/>
        <w:rPr/>
      </w:pPr>
      <w:r>
        <w:rPr/>
        <w:t>Q8. Quel chemin de navigation permet de consulter « Notre devise » ?</w:t>
      </w:r>
    </w:p>
    <w:p>
      <w:pPr>
        <w:pStyle w:val="AnswerGSE"/>
        <w:shd w:fill="F3F4F6"/>
        <w:rPr/>
      </w:pPr>
      <w:r>
        <w:rPr>
          <w:b/>
          <w:color w:val="2F6B3F"/>
        </w:rPr>
        <w:t xml:space="preserve">Réponse de référence : </w:t>
      </w:r>
      <w:r>
        <w:rPr/>
        <w:t>À PROPOS DE NOUS &gt; NOTRE VISION ET MISSION &gt; Notre devise</w:t>
      </w:r>
    </w:p>
    <w:p>
      <w:pPr>
        <w:pStyle w:val="QuestionGSE"/>
        <w:rPr/>
      </w:pPr>
      <w:r>
        <w:rPr/>
        <w:t>Q9. Quel chemin de navigation permet de consulter « NOTRE APPROCHE ÉDUCATIVE » ?</w:t>
      </w:r>
    </w:p>
    <w:p>
      <w:pPr>
        <w:pStyle w:val="AnswerGSE"/>
        <w:shd w:fill="F3F4F6"/>
        <w:rPr/>
      </w:pPr>
      <w:r>
        <w:rPr>
          <w:b/>
          <w:color w:val="2F6B3F"/>
        </w:rPr>
        <w:t xml:space="preserve">Réponse de référence : </w:t>
      </w:r>
      <w:r>
        <w:rPr/>
        <w:t>À PROPOS DE NOUS &gt; NOTRE APPROCHE ÉDUCATIVE</w:t>
      </w:r>
    </w:p>
    <w:p>
      <w:pPr>
        <w:pStyle w:val="QuestionGSE"/>
        <w:rPr/>
      </w:pPr>
      <w:r>
        <w:rPr/>
        <w:t>Q10. Quel chemin de navigation permet de consulter « Excellence académique » ?</w:t>
      </w:r>
    </w:p>
    <w:p>
      <w:pPr>
        <w:pStyle w:val="AnswerGSE"/>
        <w:shd w:fill="F3F4F6"/>
        <w:rPr/>
      </w:pPr>
      <w:r>
        <w:rPr>
          <w:b/>
          <w:color w:val="2F6B3F"/>
        </w:rPr>
        <w:t xml:space="preserve">Réponse de référence : </w:t>
      </w:r>
      <w:r>
        <w:rPr/>
        <w:t>À PROPOS DE NOUS &gt; NOTRE APPROCHE ÉDUCATIVE &gt; Excellence académique</w:t>
      </w:r>
    </w:p>
    <w:p>
      <w:pPr>
        <w:pStyle w:val="QuestionGSE"/>
        <w:rPr/>
      </w:pPr>
      <w:r>
        <w:rPr/>
        <w:t>Q11. Quel chemin de navigation permet de consulter « Enseignement bilingue » ?</w:t>
      </w:r>
    </w:p>
    <w:p>
      <w:pPr>
        <w:pStyle w:val="AnswerGSE"/>
        <w:shd w:fill="F3F4F6"/>
        <w:rPr/>
      </w:pPr>
      <w:r>
        <w:rPr>
          <w:b/>
          <w:color w:val="2F6B3F"/>
        </w:rPr>
        <w:t xml:space="preserve">Réponse de référence : </w:t>
      </w:r>
      <w:r>
        <w:rPr/>
        <w:t>À PROPOS DE NOUS &gt; NOTRE APPROCHE ÉDUCATIVE &gt; Enseignement bilingue</w:t>
      </w:r>
    </w:p>
    <w:p>
      <w:pPr>
        <w:pStyle w:val="QuestionGSE"/>
        <w:rPr/>
      </w:pPr>
      <w:r>
        <w:rPr/>
        <w:t>Q12. Quel chemin de navigation permet de consulter « Pédagogie active » ?</w:t>
      </w:r>
    </w:p>
    <w:p>
      <w:pPr>
        <w:pStyle w:val="AnswerGSE"/>
        <w:shd w:fill="F3F4F6"/>
        <w:rPr/>
      </w:pPr>
      <w:r>
        <w:rPr>
          <w:b/>
          <w:color w:val="2F6B3F"/>
        </w:rPr>
        <w:t xml:space="preserve">Réponse de référence : </w:t>
      </w:r>
      <w:r>
        <w:rPr/>
        <w:t>À PROPOS DE NOUS &gt; NOTRE APPROCHE ÉDUCATIVE &gt; Pédagogie active</w:t>
      </w:r>
    </w:p>
    <w:p>
      <w:pPr>
        <w:pStyle w:val="QuestionGSE"/>
        <w:rPr/>
      </w:pPr>
      <w:r>
        <w:rPr/>
        <w:t>Q13. Quel chemin de navigation permet de consulter « Éducation chrétienne » ?</w:t>
      </w:r>
    </w:p>
    <w:p>
      <w:pPr>
        <w:pStyle w:val="AnswerGSE"/>
        <w:shd w:fill="F3F4F6"/>
        <w:rPr/>
      </w:pPr>
      <w:r>
        <w:rPr>
          <w:b/>
          <w:color w:val="2F6B3F"/>
        </w:rPr>
        <w:t xml:space="preserve">Réponse de référence : </w:t>
      </w:r>
      <w:r>
        <w:rPr/>
        <w:t>À PROPOS DE NOUS &gt; NOTRE APPROCHE ÉDUCATIVE &gt; Éducation chrétienne</w:t>
      </w:r>
    </w:p>
    <w:p>
      <w:pPr>
        <w:pStyle w:val="QuestionGSE"/>
        <w:rPr/>
      </w:pPr>
      <w:r>
        <w:rPr/>
        <w:t>Q14. Quel chemin de navigation permet de consulter « Technologies éducatives » ?</w:t>
      </w:r>
    </w:p>
    <w:p>
      <w:pPr>
        <w:pStyle w:val="AnswerGSE"/>
        <w:shd w:fill="F3F4F6"/>
        <w:rPr/>
      </w:pPr>
      <w:r>
        <w:rPr>
          <w:b/>
          <w:color w:val="2F6B3F"/>
        </w:rPr>
        <w:t xml:space="preserve">Réponse de référence : </w:t>
      </w:r>
      <w:r>
        <w:rPr/>
        <w:t>À PROPOS DE NOUS &gt; NOTRE APPROCHE ÉDUCATIVE &gt; Technologies éducatives</w:t>
      </w:r>
    </w:p>
    <w:p>
      <w:pPr>
        <w:pStyle w:val="QuestionGSE"/>
        <w:rPr/>
      </w:pPr>
      <w:r>
        <w:rPr/>
        <w:t>Q15. Quel chemin de navigation permet de consulter « MOT DU PROMOTEUR » ?</w:t>
      </w:r>
    </w:p>
    <w:p>
      <w:pPr>
        <w:pStyle w:val="AnswerGSE"/>
        <w:shd w:fill="F3F4F6"/>
        <w:rPr/>
      </w:pPr>
      <w:r>
        <w:rPr>
          <w:b/>
          <w:color w:val="2F6B3F"/>
        </w:rPr>
        <w:t xml:space="preserve">Réponse de référence : </w:t>
      </w:r>
      <w:r>
        <w:rPr/>
        <w:t>À PROPOS DE NOUS &gt; MOT DU PROMOTEUR</w:t>
      </w:r>
    </w:p>
    <w:p>
      <w:pPr>
        <w:pStyle w:val="QuestionGSE"/>
        <w:rPr/>
      </w:pPr>
      <w:r>
        <w:rPr/>
        <w:t>Q16. Quel chemin de navigation permet de consulter « MOT DE LA DIRECTION » ?</w:t>
      </w:r>
    </w:p>
    <w:p>
      <w:pPr>
        <w:pStyle w:val="AnswerGSE"/>
        <w:shd w:fill="F3F4F6"/>
        <w:rPr/>
      </w:pPr>
      <w:r>
        <w:rPr>
          <w:b/>
          <w:color w:val="2F6B3F"/>
        </w:rPr>
        <w:t xml:space="preserve">Réponse de référence : </w:t>
      </w:r>
      <w:r>
        <w:rPr/>
        <w:t>À PROPOS DE NOUS &gt; MOT DE LA DIRECTION</w:t>
      </w:r>
    </w:p>
    <w:p>
      <w:pPr>
        <w:pStyle w:val="QuestionGSE"/>
        <w:rPr/>
      </w:pPr>
      <w:r>
        <w:rPr/>
        <w:t>Q17. Quel chemin de navigation permet de consulter « NOTRE ÉQUIPE » ?</w:t>
      </w:r>
    </w:p>
    <w:p>
      <w:pPr>
        <w:pStyle w:val="AnswerGSE"/>
        <w:shd w:fill="F3F4F6"/>
        <w:rPr/>
      </w:pPr>
      <w:r>
        <w:rPr>
          <w:b/>
          <w:color w:val="2F6B3F"/>
        </w:rPr>
        <w:t xml:space="preserve">Réponse de référence : </w:t>
      </w:r>
      <w:r>
        <w:rPr/>
        <w:t>À PROPOS DE NOUS &gt; NOTRE ÉQUIPE</w:t>
      </w:r>
    </w:p>
    <w:p>
      <w:pPr>
        <w:pStyle w:val="QuestionGSE"/>
        <w:rPr/>
      </w:pPr>
      <w:r>
        <w:rPr/>
        <w:t>Q18. Quel chemin de navigation permet de consulter « NOS INFRASTRUCTURES » ?</w:t>
      </w:r>
    </w:p>
    <w:p>
      <w:pPr>
        <w:pStyle w:val="AnswerGSE"/>
        <w:shd w:fill="F3F4F6"/>
        <w:rPr/>
      </w:pPr>
      <w:r>
        <w:rPr>
          <w:b/>
          <w:color w:val="2F6B3F"/>
        </w:rPr>
        <w:t xml:space="preserve">Réponse de référence : </w:t>
      </w:r>
      <w:r>
        <w:rPr/>
        <w:t>À PROPOS DE NOUS &gt; NOS INFRASTRUCTURES</w:t>
      </w:r>
    </w:p>
    <w:p>
      <w:pPr>
        <w:pStyle w:val="Normal"/>
        <w:rPr/>
      </w:pPr>
      <w:r>
        <w:rPr/>
      </w:r>
      <w:r>
        <w:br w:type="page"/>
      </w:r>
    </w:p>
    <w:p>
      <w:pPr>
        <w:pStyle w:val="Heading2"/>
        <w:spacing w:before="0" w:after="100"/>
        <w:rPr/>
      </w:pPr>
      <w:r>
        <w:rPr/>
        <w:t>5. NOS PROGRAMMES SCOLAIRES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NOS PROGRAMMES SCOLAIRES</w:t>
        <w:br/>
        <w:t>• NOS PROGRAMMES SCOLAIRES &gt; SECTION MATERNELLE</w:t>
        <w:br/>
        <w:t>• NOS PROGRAMMES SCOLAIRES &gt; SECTION PRIMAIRE</w:t>
        <w:br/>
        <w:t>• NOS PROGRAMMES SCOLAIRES &gt; SECTION SECONDAIRE</w:t>
        <w:br/>
        <w:t>• NOS PROGRAMMES SCOLAIRES &gt; PROGRAMME BILINGUE</w:t>
        <w:br/>
        <w:t>• NOS PROGRAMMES SCOLAIRES &gt; PROGRAMME SPIRITUEL</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regroupe l’offre éducative par niveau et par orientation particulière.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aide les familles à vérifier si le parcours proposé correspond à l’âge, au niveau et aux objectifs de leur enfant.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 deuxième visuel, au bouton « Découvrir tous nos programmes », aux admissions et aux arguments d’excellence, de bilinguisme et de valeurs chrétiennes.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NOS PROGRAMMES SCOLAIRES</w:t>
      </w:r>
    </w:p>
    <w:p>
      <w:pPr>
        <w:pStyle w:val="QuestionGSE"/>
        <w:rPr/>
      </w:pPr>
      <w:r>
        <w:rPr/>
        <w:t>Q2. Quelle rubrique du menu permet d’accéder aux contenus liés à « NOS PROGRAMMES SCOLAIRES » ?</w:t>
      </w:r>
    </w:p>
    <w:p>
      <w:pPr>
        <w:pStyle w:val="AnswerGSE"/>
        <w:shd w:fill="F3F4F6"/>
        <w:rPr/>
      </w:pPr>
      <w:r>
        <w:rPr>
          <w:b/>
          <w:color w:val="2F6B3F"/>
        </w:rPr>
        <w:t xml:space="preserve">Réponse de référence : </w:t>
      </w:r>
      <w:r>
        <w:rPr/>
        <w:t>NOS PROGRAMMES SCOLAIRES</w:t>
      </w:r>
    </w:p>
    <w:p>
      <w:pPr>
        <w:pStyle w:val="QuestionGSE"/>
        <w:rPr/>
      </w:pPr>
      <w:r>
        <w:rPr/>
        <w:t>Q3. Quels grands accès sont regroupés sous « NOS PROGRAMMES SCOLAIRES » ?</w:t>
      </w:r>
    </w:p>
    <w:p>
      <w:pPr>
        <w:pStyle w:val="AnswerGSE"/>
        <w:shd w:fill="F3F4F6"/>
        <w:rPr/>
      </w:pPr>
      <w:r>
        <w:rPr>
          <w:b/>
          <w:color w:val="2F6B3F"/>
        </w:rPr>
        <w:t xml:space="preserve">Réponse de référence : </w:t>
      </w:r>
      <w:r>
        <w:rPr/>
        <w:t>SECTION MATERNELLE ; SECTION PRIMAIRE ; SECTION SECONDAIRE ; PROGRAMME BILINGUE ; PROGRAMME SPIRITUEL.</w:t>
      </w:r>
    </w:p>
    <w:p>
      <w:pPr>
        <w:pStyle w:val="QuestionGSE"/>
        <w:rPr/>
      </w:pPr>
      <w:r>
        <w:rPr/>
        <w:t>Q4. Quel chemin de navigation permet de consulter « SECTION MATERNELLE » ?</w:t>
      </w:r>
    </w:p>
    <w:p>
      <w:pPr>
        <w:pStyle w:val="AnswerGSE"/>
        <w:shd w:fill="F3F4F6"/>
        <w:rPr/>
      </w:pPr>
      <w:r>
        <w:rPr>
          <w:b/>
          <w:color w:val="2F6B3F"/>
        </w:rPr>
        <w:t xml:space="preserve">Réponse de référence : </w:t>
      </w:r>
      <w:r>
        <w:rPr/>
        <w:t>NOS PROGRAMMES SCOLAIRES &gt; SECTION MATERNELLE</w:t>
      </w:r>
    </w:p>
    <w:p>
      <w:pPr>
        <w:pStyle w:val="QuestionGSE"/>
        <w:rPr/>
      </w:pPr>
      <w:r>
        <w:rPr/>
        <w:t>Q5. Quel chemin de navigation permet de consulter « SECTION PRIMAIRE » ?</w:t>
      </w:r>
    </w:p>
    <w:p>
      <w:pPr>
        <w:pStyle w:val="AnswerGSE"/>
        <w:shd w:fill="F3F4F6"/>
        <w:rPr/>
      </w:pPr>
      <w:r>
        <w:rPr>
          <w:b/>
          <w:color w:val="2F6B3F"/>
        </w:rPr>
        <w:t xml:space="preserve">Réponse de référence : </w:t>
      </w:r>
      <w:r>
        <w:rPr/>
        <w:t>NOS PROGRAMMES SCOLAIRES &gt; SECTION PRIMAIRE</w:t>
      </w:r>
    </w:p>
    <w:p>
      <w:pPr>
        <w:pStyle w:val="QuestionGSE"/>
        <w:rPr/>
      </w:pPr>
      <w:r>
        <w:rPr/>
        <w:t>Q6. Quel chemin de navigation permet de consulter « SECTION SECONDAIRE » ?</w:t>
      </w:r>
    </w:p>
    <w:p>
      <w:pPr>
        <w:pStyle w:val="AnswerGSE"/>
        <w:shd w:fill="F3F4F6"/>
        <w:rPr/>
      </w:pPr>
      <w:r>
        <w:rPr>
          <w:b/>
          <w:color w:val="2F6B3F"/>
        </w:rPr>
        <w:t xml:space="preserve">Réponse de référence : </w:t>
      </w:r>
      <w:r>
        <w:rPr/>
        <w:t>NOS PROGRAMMES SCOLAIRES &gt; SECTION SECONDAIRE</w:t>
      </w:r>
    </w:p>
    <w:p>
      <w:pPr>
        <w:pStyle w:val="QuestionGSE"/>
        <w:rPr/>
      </w:pPr>
      <w:r>
        <w:rPr/>
        <w:t>Q7. Quel chemin de navigation permet de consulter « PROGRAMME BILINGUE » ?</w:t>
      </w:r>
    </w:p>
    <w:p>
      <w:pPr>
        <w:pStyle w:val="AnswerGSE"/>
        <w:shd w:fill="F3F4F6"/>
        <w:rPr/>
      </w:pPr>
      <w:r>
        <w:rPr>
          <w:b/>
          <w:color w:val="2F6B3F"/>
        </w:rPr>
        <w:t xml:space="preserve">Réponse de référence : </w:t>
      </w:r>
      <w:r>
        <w:rPr/>
        <w:t>NOS PROGRAMMES SCOLAIRES &gt; PROGRAMME BILINGUE</w:t>
      </w:r>
    </w:p>
    <w:p>
      <w:pPr>
        <w:pStyle w:val="QuestionGSE"/>
        <w:rPr/>
      </w:pPr>
      <w:r>
        <w:rPr/>
        <w:t>Q8. Quel chemin de navigation permet de consulter « PROGRAMME SPIRITUEL » ?</w:t>
      </w:r>
    </w:p>
    <w:p>
      <w:pPr>
        <w:pStyle w:val="AnswerGSE"/>
        <w:shd w:fill="F3F4F6"/>
        <w:rPr/>
      </w:pPr>
      <w:r>
        <w:rPr>
          <w:b/>
          <w:color w:val="2F6B3F"/>
        </w:rPr>
        <w:t xml:space="preserve">Réponse de référence : </w:t>
      </w:r>
      <w:r>
        <w:rPr/>
        <w:t>NOS PROGRAMMES SCOLAIRES &gt; PROGRAMME SPIRITUEL</w:t>
      </w:r>
    </w:p>
    <w:p>
      <w:pPr>
        <w:pStyle w:val="QuestionGSE"/>
        <w:rPr/>
      </w:pPr>
      <w:r>
        <w:rPr/>
        <w:t>Q9. Quel message la page d’accueil associe-t-elle au titre « NOS PROGRAMMES SCOLAIRES » ?</w:t>
      </w:r>
    </w:p>
    <w:p>
      <w:pPr>
        <w:pStyle w:val="AnswerGSE"/>
        <w:shd w:fill="F3F4F6"/>
        <w:rPr/>
      </w:pPr>
      <w:r>
        <w:rPr>
          <w:b/>
          <w:color w:val="2F6B3F"/>
        </w:rPr>
        <w:t xml:space="preserve">Réponse de référence : </w:t>
      </w:r>
      <w:r>
        <w:rPr/>
        <w:t>NOS PROGRAMMES SCOLAIRES</w:t>
        <w:br/>
        <w:t>• NOS PROGRAMMES SCOLAIRES &gt; SECTION MATERNELLE</w:t>
        <w:br/>
        <w:t>• NOS PROGRAMMES SCOLAIRES &gt; SECTION PRIMAIRE</w:t>
        <w:br/>
        <w:t>• NOS PROGRAMMES SCOLAIRES &gt; SECTION SECONDAIRE</w:t>
        <w:br/>
        <w:t>• NOS PROGRAMMES SCOLAIRES &gt; PROGRAMME BILINGUE</w:t>
        <w:br/>
        <w:t>• NOS PROGRAMMES SCOLAIRES &gt; PROGRAMME SPIRITUEL</w:t>
      </w:r>
    </w:p>
    <w:p>
      <w:pPr>
        <w:pStyle w:val="QuestionGSE"/>
        <w:rPr/>
      </w:pPr>
      <w:r>
        <w:rPr/>
        <w:t>Q10. Que doit répondre un agent lorsqu’un visiteur demande ce que dit la section « NOS PROGRAMMES SCOLAIRES » ?</w:t>
      </w:r>
    </w:p>
    <w:p>
      <w:pPr>
        <w:pStyle w:val="AnswerGSE"/>
        <w:shd w:fill="F3F4F6"/>
        <w:rPr/>
      </w:pPr>
      <w:r>
        <w:rPr>
          <w:b/>
          <w:color w:val="2F6B3F"/>
        </w:rPr>
        <w:t xml:space="preserve">Réponse de référence : </w:t>
      </w:r>
      <w:r>
        <w:rPr/>
        <w:t>NOS PROGRAMMES SCOLAIRES</w:t>
        <w:br/>
        <w:t>• NOS PROGRAMMES SCOLAIRES &gt; SECTION MATERNELLE</w:t>
        <w:br/>
        <w:t>• NOS PROGRAMMES SCOLAIRES &gt; SECTION PRIMAIRE</w:t>
        <w:br/>
        <w:t>• NOS PROGRAMMES SCOLAIRES &gt; SECTION SECONDAIRE</w:t>
        <w:br/>
        <w:t>• NOS PROGRAMMES SCOLAIRES &gt; PROGRAMME BILINGUE</w:t>
        <w:br/>
        <w:t>• NOS PROGRAMMES SCOLAIRES &gt; PROGRAMME SPIRITUEL</w:t>
      </w:r>
    </w:p>
    <w:p>
      <w:pPr>
        <w:pStyle w:val="Normal"/>
        <w:rPr/>
      </w:pPr>
      <w:r>
        <w:rPr/>
      </w:r>
      <w:r>
        <w:br w:type="page"/>
      </w:r>
    </w:p>
    <w:p>
      <w:pPr>
        <w:pStyle w:val="Heading2"/>
        <w:spacing w:before="0" w:after="100"/>
        <w:rPr/>
      </w:pPr>
      <w:r>
        <w:rPr/>
        <w:t>6. ADMISSIONS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ADMISSIONS</w:t>
        <w:br/>
        <w:t>• ADMISSIONS &gt; CONDITIONS D’ADMISSION</w:t>
        <w:br/>
        <w:t>• ADMISSIONS &gt; PROCÉDURE D’INSCRIPTION</w:t>
        <w:br/>
        <w:t>• ADMISSIONS &gt; DOCUMENTS REQUIS</w:t>
        <w:br/>
        <w:t>• ADMISSIONS &gt; FRAIS SCOLAIRES</w:t>
        <w:br/>
        <w:t>• ADMISSIONS &gt; INSCRIPTION EN LIGNE</w:t>
        <w:br/>
        <w:t>• ADMISSIONS &gt; TÉLÉCHARGEMENTS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rassemble toutes les étapes pratiques permettant de devenir élève du GROUPE SCOLAIRE LES ÉMINENTS.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réduit l’incertitude des familles et facilite le passage de l’information à l’inscription effective.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directement relié au bouton « INSCRIRE MON ENFANT », aux programmes, au contact et à l’Espace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ADMISSIONS</w:t>
      </w:r>
    </w:p>
    <w:p>
      <w:pPr>
        <w:pStyle w:val="QuestionGSE"/>
        <w:rPr/>
      </w:pPr>
      <w:r>
        <w:rPr/>
        <w:t>Q2. Quelle rubrique du menu permet d’accéder aux contenus liés à « ADMISSIONS » ?</w:t>
      </w:r>
    </w:p>
    <w:p>
      <w:pPr>
        <w:pStyle w:val="AnswerGSE"/>
        <w:shd w:fill="F3F4F6"/>
        <w:rPr/>
      </w:pPr>
      <w:r>
        <w:rPr>
          <w:b/>
          <w:color w:val="2F6B3F"/>
        </w:rPr>
        <w:t xml:space="preserve">Réponse de référence : </w:t>
      </w:r>
      <w:r>
        <w:rPr/>
        <w:t>ADMISSIONS</w:t>
      </w:r>
    </w:p>
    <w:p>
      <w:pPr>
        <w:pStyle w:val="QuestionGSE"/>
        <w:rPr/>
      </w:pPr>
      <w:r>
        <w:rPr/>
        <w:t>Q3. Quels grands accès sont regroupés sous « ADMISSIONS » ?</w:t>
      </w:r>
    </w:p>
    <w:p>
      <w:pPr>
        <w:pStyle w:val="AnswerGSE"/>
        <w:shd w:fill="F3F4F6"/>
        <w:rPr/>
      </w:pPr>
      <w:r>
        <w:rPr>
          <w:b/>
          <w:color w:val="2F6B3F"/>
        </w:rPr>
        <w:t xml:space="preserve">Réponse de référence : </w:t>
      </w:r>
      <w:r>
        <w:rPr/>
        <w:t>CONDITIONS D’ADMISSION ; PROCÉDURE D’INSCRIPTION ; DOCUMENTS REQUIS ; FRAIS SCOLAIRES ; INSCRIPTION EN LIGNE ; TÉLÉCHARGEMENTS.</w:t>
      </w:r>
    </w:p>
    <w:p>
      <w:pPr>
        <w:pStyle w:val="QuestionGSE"/>
        <w:rPr/>
      </w:pPr>
      <w:r>
        <w:rPr/>
        <w:t>Q4. Quel chemin de navigation permet de consulter « CONDITIONS D’ADMISSION » ?</w:t>
      </w:r>
    </w:p>
    <w:p>
      <w:pPr>
        <w:pStyle w:val="AnswerGSE"/>
        <w:shd w:fill="F3F4F6"/>
        <w:rPr/>
      </w:pPr>
      <w:r>
        <w:rPr>
          <w:b/>
          <w:color w:val="2F6B3F"/>
        </w:rPr>
        <w:t xml:space="preserve">Réponse de référence : </w:t>
      </w:r>
      <w:r>
        <w:rPr/>
        <w:t>ADMISSIONS &gt; CONDITIONS D’ADMISSION</w:t>
      </w:r>
    </w:p>
    <w:p>
      <w:pPr>
        <w:pStyle w:val="QuestionGSE"/>
        <w:rPr/>
      </w:pPr>
      <w:r>
        <w:rPr/>
        <w:t>Q5. Quel chemin de navigation permet de consulter « PROCÉDURE D’INSCRIPTION » ?</w:t>
      </w:r>
    </w:p>
    <w:p>
      <w:pPr>
        <w:pStyle w:val="AnswerGSE"/>
        <w:shd w:fill="F3F4F6"/>
        <w:rPr/>
      </w:pPr>
      <w:r>
        <w:rPr>
          <w:b/>
          <w:color w:val="2F6B3F"/>
        </w:rPr>
        <w:t xml:space="preserve">Réponse de référence : </w:t>
      </w:r>
      <w:r>
        <w:rPr/>
        <w:t>ADMISSIONS &gt; PROCÉDURE D’INSCRIPTION</w:t>
      </w:r>
    </w:p>
    <w:p>
      <w:pPr>
        <w:pStyle w:val="QuestionGSE"/>
        <w:rPr/>
      </w:pPr>
      <w:r>
        <w:rPr/>
        <w:t>Q6. Quel chemin de navigation permet de consulter « DOCUMENTS REQUIS » ?</w:t>
      </w:r>
    </w:p>
    <w:p>
      <w:pPr>
        <w:pStyle w:val="AnswerGSE"/>
        <w:shd w:fill="F3F4F6"/>
        <w:rPr/>
      </w:pPr>
      <w:r>
        <w:rPr>
          <w:b/>
          <w:color w:val="2F6B3F"/>
        </w:rPr>
        <w:t xml:space="preserve">Réponse de référence : </w:t>
      </w:r>
      <w:r>
        <w:rPr/>
        <w:t>ADMISSIONS &gt; DOCUMENTS REQUIS</w:t>
      </w:r>
    </w:p>
    <w:p>
      <w:pPr>
        <w:pStyle w:val="QuestionGSE"/>
        <w:rPr/>
      </w:pPr>
      <w:r>
        <w:rPr/>
        <w:t>Q7. Quel chemin de navigation permet de consulter « FRAIS SCOLAIRES » ?</w:t>
      </w:r>
    </w:p>
    <w:p>
      <w:pPr>
        <w:pStyle w:val="AnswerGSE"/>
        <w:shd w:fill="F3F4F6"/>
        <w:rPr/>
      </w:pPr>
      <w:r>
        <w:rPr>
          <w:b/>
          <w:color w:val="2F6B3F"/>
        </w:rPr>
        <w:t xml:space="preserve">Réponse de référence : </w:t>
      </w:r>
      <w:r>
        <w:rPr/>
        <w:t>ADMISSIONS &gt; FRAIS SCOLAIRES</w:t>
      </w:r>
    </w:p>
    <w:p>
      <w:pPr>
        <w:pStyle w:val="QuestionGSE"/>
        <w:rPr/>
      </w:pPr>
      <w:r>
        <w:rPr/>
        <w:t>Q8. Quel chemin de navigation permet de consulter « INSCRIPTION EN LIGNE » ?</w:t>
      </w:r>
    </w:p>
    <w:p>
      <w:pPr>
        <w:pStyle w:val="AnswerGSE"/>
        <w:shd w:fill="F3F4F6"/>
        <w:rPr/>
      </w:pPr>
      <w:r>
        <w:rPr>
          <w:b/>
          <w:color w:val="2F6B3F"/>
        </w:rPr>
        <w:t xml:space="preserve">Réponse de référence : </w:t>
      </w:r>
      <w:r>
        <w:rPr/>
        <w:t>ADMISSIONS &gt; INSCRIPTION EN LIGNE</w:t>
      </w:r>
    </w:p>
    <w:p>
      <w:pPr>
        <w:pStyle w:val="QuestionGSE"/>
        <w:rPr/>
      </w:pPr>
      <w:r>
        <w:rPr/>
        <w:t>Q9. Quel chemin de navigation permet de consulter « TÉLÉCHARGEMENTS » ?</w:t>
      </w:r>
    </w:p>
    <w:p>
      <w:pPr>
        <w:pStyle w:val="AnswerGSE"/>
        <w:shd w:fill="F3F4F6"/>
        <w:rPr/>
      </w:pPr>
      <w:r>
        <w:rPr>
          <w:b/>
          <w:color w:val="2F6B3F"/>
        </w:rPr>
        <w:t xml:space="preserve">Réponse de référence : </w:t>
      </w:r>
      <w:r>
        <w:rPr/>
        <w:t>ADMISSIONS &gt; TÉLÉCHARGEMENTS</w:t>
      </w:r>
    </w:p>
    <w:p>
      <w:pPr>
        <w:pStyle w:val="QuestionGSE"/>
        <w:rPr/>
      </w:pPr>
      <w:r>
        <w:rPr/>
        <w:t>Q10. Quel message la page d’accueil associe-t-elle au titre « ADMISSIONS » ?</w:t>
      </w:r>
    </w:p>
    <w:p>
      <w:pPr>
        <w:pStyle w:val="AnswerGSE"/>
        <w:shd w:fill="F3F4F6"/>
        <w:rPr/>
      </w:pPr>
      <w:r>
        <w:rPr>
          <w:b/>
          <w:color w:val="2F6B3F"/>
        </w:rPr>
        <w:t xml:space="preserve">Réponse de référence : </w:t>
      </w:r>
      <w:r>
        <w:rPr/>
        <w:t>ADMISSIONS</w:t>
        <w:br/>
        <w:t>• ADMISSIONS &gt; CONDITIONS D’ADMISSION</w:t>
        <w:br/>
        <w:t>• ADMISSIONS &gt; PROCÉDURE D’INSCRIPTION</w:t>
        <w:br/>
        <w:t>• ADMISSIONS &gt; DOCUMENTS REQUIS</w:t>
        <w:br/>
        <w:t>• ADMISSIONS &gt; FRAIS SCOLAIRES</w:t>
        <w:br/>
        <w:t>• ADMISSIONS &gt; INSCRIPTION EN LIGNE</w:t>
        <w:br/>
        <w:t>• ADMISSIONS &gt; TÉLÉCHARGEMENTS</w:t>
      </w:r>
    </w:p>
    <w:p>
      <w:pPr>
        <w:pStyle w:val="Normal"/>
        <w:rPr/>
      </w:pPr>
      <w:r>
        <w:rPr/>
      </w:r>
      <w:r>
        <w:br w:type="page"/>
      </w:r>
    </w:p>
    <w:p>
      <w:pPr>
        <w:pStyle w:val="Heading2"/>
        <w:spacing w:before="0" w:after="100"/>
        <w:rPr/>
      </w:pPr>
      <w:r>
        <w:rPr/>
        <w:t>7. VIE SCOLAIRE</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VIE SCOLAIRE</w:t>
        <w:br/>
        <w:t>• VIE SCOLAIRE &gt; ACTIVITÉS</w:t>
        <w:br/>
        <w:t>• VIE SCOLAIRE &gt; ACTIVITÉS &gt; Clubs</w:t>
        <w:br/>
        <w:t>• VIE SCOLAIRE &gt; ACTIVITÉS &gt; Activités sportives</w:t>
        <w:br/>
        <w:t>• VIE SCOLAIRE &gt; ACTIVITÉS &gt; Sorties éducatives</w:t>
        <w:br/>
        <w:t>• VIE SCOLAIRE &gt; ACTIVITÉS &gt; Journées culturelles</w:t>
        <w:br/>
        <w:t>• VIE SCOLAIRE &gt; ACTIVITÉS &gt; Concours</w:t>
        <w:br/>
        <w:t>• VIE SCOLAIRE &gt; ACTIVITÉS &gt; Camps de vacances</w:t>
        <w:br/>
        <w:t>• VIE SCOLAIRE &gt; DISCIPLINE ET VALEURS CHRÉTIENNES</w:t>
        <w:br/>
        <w:t>• VIE SCOLAIRE &gt; SÉCURITÉ ET BIEN-ÊTRE</w:t>
        <w:br/>
        <w:t>• VIE SCOLAIRE &gt; SÉCURITÉ ET BIEN-ÊTRE &gt; Sécurité physique</w:t>
        <w:br/>
        <w:t>• VIE SCOLAIRE &gt; SÉCURITÉ ET BIEN-ÊTRE &gt; Contrôle des accès</w:t>
        <w:br/>
        <w:t>• VIE SCOLAIRE &gt; SÉCURITÉ ET BIEN-ÊTRE &gt; Encadrement des élèves</w:t>
        <w:br/>
        <w:t>• VIE SCOLAIRE &gt; SÉCURITÉ ET BIEN-ÊTRE &gt; Suivi médical</w:t>
        <w:br/>
        <w:t>• VIE SCOLAIRE &gt; SÉCURITÉ ET BIEN-ÊTRE &gt; Prévention des risques</w:t>
        <w:br/>
        <w:t>• VIE SCOLAIRE &gt; SÉCURITÉ ET BIEN-ÊTRE &gt; Protection de l’enfant</w:t>
        <w:br/>
        <w:t>• VIE SCOLAIRE &gt; SÉCURITÉ ET BIEN-ÊTRE &gt; Accompagnement psychologique</w:t>
        <w:br/>
        <w:t>• VIE SCOLAIRE &gt; SÉCURITÉ ET BIEN-ÊTRE &gt; Politique anti-harcèlement</w:t>
        <w:br/>
        <w:t>• VIE SCOLAIRE &gt; ARTS, CULTURE ET TALENTS</w:t>
        <w:br/>
        <w:t>• VIE SCOLAIRE &gt; ARTS, CULTURE ET TALENTS &gt; Éveil musical</w:t>
        <w:br/>
        <w:t>• VIE SCOLAIRE &gt; ARTS, CULTURE ET TALENTS &gt; Chorale</w:t>
        <w:br/>
        <w:t>• VIE SCOLAIRE &gt; ARTS, CULTURE ET TALENTS &gt; Théâtre et expression orale</w:t>
        <w:br/>
        <w:t>• VIE SCOLAIRE &gt; ARTS, CULTURE ET TALENTS &gt; Arts visuels</w:t>
        <w:br/>
        <w:t>• VIE SCOLAIRE &gt; ARTS, CULTURE ET TALENTS &gt; Arts culinaires</w:t>
        <w:br/>
        <w:t>• VIE SCOLAIRE &gt; ARTS, CULTURE ET TALENTS &gt; Danse éducative</w:t>
        <w:br/>
        <w:t>• VIE SCOLAIRE &gt; ARTS, CULTURE ET TALENTS &gt; Photographie</w:t>
        <w:br/>
        <w:t>• VIE SCOLAIRE &gt; ARTS, CULTURE ET TALENTS &gt; Journal scolaire</w:t>
        <w:br/>
        <w:t>• VIE SCOLAIRE &gt; ARTS, CULTURE ET TALENTS &gt; Culture congolaise et africaine</w:t>
        <w:br/>
        <w:t>• VIE SCOLAIRE &gt; ARTS, CULTURE ET TALENTS &gt; Festivals et expositions</w:t>
        <w:br/>
        <w:t>• VIE SCOLAIRE &gt; ARTS, CULTURE ET TALENTS &gt; Détection des talents</w:t>
        <w:br/>
        <w:t>• VIE SCOLAIRE &gt; RÉSULTATS ET DISTINCTIONS</w:t>
        <w:br/>
        <w:t>• VIE SCOLAIRE &gt; TÉMOIGNAGES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montre que l’expérience éducative ne se limite pas aux cours, mais comprend activités, discipline, sécurité, bien-être, culture et talents.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Cette rubrique aide les familles à apprécier l’environnement quotidien, la protection et l’épanouissement global de l’enfant.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prolonge les sections sur les valeurs chrétiennes, l’encadrement personnalisé, la sécurité, les programmes, la galerie et les témoignages.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34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VIE SCOLAIRE</w:t>
      </w:r>
    </w:p>
    <w:p>
      <w:pPr>
        <w:pStyle w:val="QuestionGSE"/>
        <w:rPr/>
      </w:pPr>
      <w:r>
        <w:rPr/>
        <w:t>Q2. Quelle rubrique du menu permet d’accéder aux contenus liés à « VIE SCOLAIRE » ?</w:t>
      </w:r>
    </w:p>
    <w:p>
      <w:pPr>
        <w:pStyle w:val="AnswerGSE"/>
        <w:shd w:fill="F3F4F6"/>
        <w:rPr/>
      </w:pPr>
      <w:r>
        <w:rPr>
          <w:b/>
          <w:color w:val="2F6B3F"/>
        </w:rPr>
        <w:t xml:space="preserve">Réponse de référence : </w:t>
      </w:r>
      <w:r>
        <w:rPr/>
        <w:t>VIE SCOLAIRE</w:t>
      </w:r>
    </w:p>
    <w:p>
      <w:pPr>
        <w:pStyle w:val="QuestionGSE"/>
        <w:rPr/>
      </w:pPr>
      <w:r>
        <w:rPr/>
        <w:t>Q3. Quels grands accès sont regroupés sous « VIE SCOLAIRE » ?</w:t>
      </w:r>
    </w:p>
    <w:p>
      <w:pPr>
        <w:pStyle w:val="AnswerGSE"/>
        <w:shd w:fill="F3F4F6"/>
        <w:rPr/>
      </w:pPr>
      <w:r>
        <w:rPr>
          <w:b/>
          <w:color w:val="2F6B3F"/>
        </w:rPr>
        <w:t xml:space="preserve">Réponse de référence : </w:t>
      </w:r>
      <w:r>
        <w:rPr/>
        <w:t>ACTIVITÉS ; DISCIPLINE ET VALEURS CHRÉTIENNES ; SÉCURITÉ ET BIEN-ÊTRE ; ARTS, CULTURE ET TALENTS ; RÉSULTATS ET DISTINCTIONS ; TÉMOIGNAGES.</w:t>
      </w:r>
    </w:p>
    <w:p>
      <w:pPr>
        <w:pStyle w:val="QuestionGSE"/>
        <w:rPr/>
      </w:pPr>
      <w:r>
        <w:rPr/>
        <w:t>Q4. Quel chemin de navigation permet de consulter « ACTIVITÉS » ?</w:t>
      </w:r>
    </w:p>
    <w:p>
      <w:pPr>
        <w:pStyle w:val="AnswerGSE"/>
        <w:shd w:fill="F3F4F6"/>
        <w:rPr/>
      </w:pPr>
      <w:r>
        <w:rPr>
          <w:b/>
          <w:color w:val="2F6B3F"/>
        </w:rPr>
        <w:t xml:space="preserve">Réponse de référence : </w:t>
      </w:r>
      <w:r>
        <w:rPr/>
        <w:t>VIE SCOLAIRE &gt; ACTIVITÉS</w:t>
      </w:r>
    </w:p>
    <w:p>
      <w:pPr>
        <w:pStyle w:val="QuestionGSE"/>
        <w:rPr/>
      </w:pPr>
      <w:r>
        <w:rPr/>
        <w:t>Q5. Quel chemin de navigation permet de consulter « Clubs » ?</w:t>
      </w:r>
    </w:p>
    <w:p>
      <w:pPr>
        <w:pStyle w:val="AnswerGSE"/>
        <w:shd w:fill="F3F4F6"/>
        <w:rPr/>
      </w:pPr>
      <w:r>
        <w:rPr>
          <w:b/>
          <w:color w:val="2F6B3F"/>
        </w:rPr>
        <w:t xml:space="preserve">Réponse de référence : </w:t>
      </w:r>
      <w:r>
        <w:rPr/>
        <w:t>VIE SCOLAIRE &gt; ACTIVITÉS &gt; Clubs</w:t>
      </w:r>
    </w:p>
    <w:p>
      <w:pPr>
        <w:pStyle w:val="QuestionGSE"/>
        <w:rPr/>
      </w:pPr>
      <w:r>
        <w:rPr/>
        <w:t>Q6. Quel chemin de navigation permet de consulter « Activités sportives » ?</w:t>
      </w:r>
    </w:p>
    <w:p>
      <w:pPr>
        <w:pStyle w:val="AnswerGSE"/>
        <w:shd w:fill="F3F4F6"/>
        <w:rPr/>
      </w:pPr>
      <w:r>
        <w:rPr>
          <w:b/>
          <w:color w:val="2F6B3F"/>
        </w:rPr>
        <w:t xml:space="preserve">Réponse de référence : </w:t>
      </w:r>
      <w:r>
        <w:rPr/>
        <w:t>VIE SCOLAIRE &gt; ACTIVITÉS &gt; Activités sportives</w:t>
      </w:r>
    </w:p>
    <w:p>
      <w:pPr>
        <w:pStyle w:val="QuestionGSE"/>
        <w:rPr/>
      </w:pPr>
      <w:r>
        <w:rPr/>
        <w:t>Q7. Quel chemin de navigation permet de consulter « Sorties éducatives » ?</w:t>
      </w:r>
    </w:p>
    <w:p>
      <w:pPr>
        <w:pStyle w:val="AnswerGSE"/>
        <w:shd w:fill="F3F4F6"/>
        <w:rPr/>
      </w:pPr>
      <w:r>
        <w:rPr>
          <w:b/>
          <w:color w:val="2F6B3F"/>
        </w:rPr>
        <w:t xml:space="preserve">Réponse de référence : </w:t>
      </w:r>
      <w:r>
        <w:rPr/>
        <w:t>VIE SCOLAIRE &gt; ACTIVITÉS &gt; Sorties éducatives</w:t>
      </w:r>
    </w:p>
    <w:p>
      <w:pPr>
        <w:pStyle w:val="QuestionGSE"/>
        <w:rPr/>
      </w:pPr>
      <w:r>
        <w:rPr/>
        <w:t>Q8. Quel chemin de navigation permet de consulter « Journées culturelles » ?</w:t>
      </w:r>
    </w:p>
    <w:p>
      <w:pPr>
        <w:pStyle w:val="AnswerGSE"/>
        <w:shd w:fill="F3F4F6"/>
        <w:rPr/>
      </w:pPr>
      <w:r>
        <w:rPr>
          <w:b/>
          <w:color w:val="2F6B3F"/>
        </w:rPr>
        <w:t xml:space="preserve">Réponse de référence : </w:t>
      </w:r>
      <w:r>
        <w:rPr/>
        <w:t>VIE SCOLAIRE &gt; ACTIVITÉS &gt; Journées culturelles</w:t>
      </w:r>
    </w:p>
    <w:p>
      <w:pPr>
        <w:pStyle w:val="QuestionGSE"/>
        <w:rPr/>
      </w:pPr>
      <w:r>
        <w:rPr/>
        <w:t>Q9. Quel chemin de navigation permet de consulter « Concours » ?</w:t>
      </w:r>
    </w:p>
    <w:p>
      <w:pPr>
        <w:pStyle w:val="AnswerGSE"/>
        <w:shd w:fill="F3F4F6"/>
        <w:rPr/>
      </w:pPr>
      <w:r>
        <w:rPr>
          <w:b/>
          <w:color w:val="2F6B3F"/>
        </w:rPr>
        <w:t xml:space="preserve">Réponse de référence : </w:t>
      </w:r>
      <w:r>
        <w:rPr/>
        <w:t>VIE SCOLAIRE &gt; ACTIVITÉS &gt; Concours</w:t>
      </w:r>
    </w:p>
    <w:p>
      <w:pPr>
        <w:pStyle w:val="QuestionGSE"/>
        <w:rPr/>
      </w:pPr>
      <w:r>
        <w:rPr/>
        <w:t>Q10. Quel chemin de navigation permet de consulter « Camps de vacances » ?</w:t>
      </w:r>
    </w:p>
    <w:p>
      <w:pPr>
        <w:pStyle w:val="AnswerGSE"/>
        <w:shd w:fill="F3F4F6"/>
        <w:rPr/>
      </w:pPr>
      <w:r>
        <w:rPr>
          <w:b/>
          <w:color w:val="2F6B3F"/>
        </w:rPr>
        <w:t xml:space="preserve">Réponse de référence : </w:t>
      </w:r>
      <w:r>
        <w:rPr/>
        <w:t>VIE SCOLAIRE &gt; ACTIVITÉS &gt; Camps de vacances</w:t>
      </w:r>
    </w:p>
    <w:p>
      <w:pPr>
        <w:pStyle w:val="QuestionGSE"/>
        <w:rPr/>
      </w:pPr>
      <w:r>
        <w:rPr/>
        <w:t>Q11. Quel chemin de navigation permet de consulter « DISCIPLINE ET VALEURS CHRÉTIENNES » ?</w:t>
      </w:r>
    </w:p>
    <w:p>
      <w:pPr>
        <w:pStyle w:val="AnswerGSE"/>
        <w:shd w:fill="F3F4F6"/>
        <w:rPr/>
      </w:pPr>
      <w:r>
        <w:rPr>
          <w:b/>
          <w:color w:val="2F6B3F"/>
        </w:rPr>
        <w:t xml:space="preserve">Réponse de référence : </w:t>
      </w:r>
      <w:r>
        <w:rPr/>
        <w:t>VIE SCOLAIRE &gt; DISCIPLINE ET VALEURS CHRÉTIENNES</w:t>
      </w:r>
    </w:p>
    <w:p>
      <w:pPr>
        <w:pStyle w:val="QuestionGSE"/>
        <w:rPr/>
      </w:pPr>
      <w:r>
        <w:rPr/>
        <w:t>Q12. Quel chemin de navigation permet de consulter « SÉCURITÉ ET BIEN-ÊTRE » ?</w:t>
      </w:r>
    </w:p>
    <w:p>
      <w:pPr>
        <w:pStyle w:val="AnswerGSE"/>
        <w:shd w:fill="F3F4F6"/>
        <w:rPr/>
      </w:pPr>
      <w:r>
        <w:rPr>
          <w:b/>
          <w:color w:val="2F6B3F"/>
        </w:rPr>
        <w:t xml:space="preserve">Réponse de référence : </w:t>
      </w:r>
      <w:r>
        <w:rPr/>
        <w:t>VIE SCOLAIRE &gt; SÉCURITÉ ET BIEN-ÊTRE</w:t>
      </w:r>
    </w:p>
    <w:p>
      <w:pPr>
        <w:pStyle w:val="QuestionGSE"/>
        <w:rPr/>
      </w:pPr>
      <w:r>
        <w:rPr/>
        <w:t>Q13. Quel chemin de navigation permet de consulter « Sécurité physique » ?</w:t>
      </w:r>
    </w:p>
    <w:p>
      <w:pPr>
        <w:pStyle w:val="AnswerGSE"/>
        <w:shd w:fill="F3F4F6"/>
        <w:rPr/>
      </w:pPr>
      <w:r>
        <w:rPr>
          <w:b/>
          <w:color w:val="2F6B3F"/>
        </w:rPr>
        <w:t xml:space="preserve">Réponse de référence : </w:t>
      </w:r>
      <w:r>
        <w:rPr/>
        <w:t>VIE SCOLAIRE &gt; SÉCURITÉ ET BIEN-ÊTRE &gt; Sécurité physique</w:t>
      </w:r>
    </w:p>
    <w:p>
      <w:pPr>
        <w:pStyle w:val="QuestionGSE"/>
        <w:rPr/>
      </w:pPr>
      <w:r>
        <w:rPr/>
        <w:t>Q14. Quel chemin de navigation permet de consulter « Contrôle des accès » ?</w:t>
      </w:r>
    </w:p>
    <w:p>
      <w:pPr>
        <w:pStyle w:val="AnswerGSE"/>
        <w:shd w:fill="F3F4F6"/>
        <w:rPr/>
      </w:pPr>
      <w:r>
        <w:rPr>
          <w:b/>
          <w:color w:val="2F6B3F"/>
        </w:rPr>
        <w:t xml:space="preserve">Réponse de référence : </w:t>
      </w:r>
      <w:r>
        <w:rPr/>
        <w:t>VIE SCOLAIRE &gt; SÉCURITÉ ET BIEN-ÊTRE &gt; Contrôle des accès</w:t>
      </w:r>
    </w:p>
    <w:p>
      <w:pPr>
        <w:pStyle w:val="QuestionGSE"/>
        <w:rPr/>
      </w:pPr>
      <w:r>
        <w:rPr/>
        <w:t>Q15. Quel chemin de navigation permet de consulter « Encadrement des élèves » ?</w:t>
      </w:r>
    </w:p>
    <w:p>
      <w:pPr>
        <w:pStyle w:val="AnswerGSE"/>
        <w:shd w:fill="F3F4F6"/>
        <w:rPr/>
      </w:pPr>
      <w:r>
        <w:rPr>
          <w:b/>
          <w:color w:val="2F6B3F"/>
        </w:rPr>
        <w:t xml:space="preserve">Réponse de référence : </w:t>
      </w:r>
      <w:r>
        <w:rPr/>
        <w:t>VIE SCOLAIRE &gt; SÉCURITÉ ET BIEN-ÊTRE &gt; Encadrement des élèves</w:t>
      </w:r>
    </w:p>
    <w:p>
      <w:pPr>
        <w:pStyle w:val="QuestionGSE"/>
        <w:rPr/>
      </w:pPr>
      <w:r>
        <w:rPr/>
        <w:t>Q16. Quel chemin de navigation permet de consulter « Suivi médical » ?</w:t>
      </w:r>
    </w:p>
    <w:p>
      <w:pPr>
        <w:pStyle w:val="AnswerGSE"/>
        <w:shd w:fill="F3F4F6"/>
        <w:rPr/>
      </w:pPr>
      <w:r>
        <w:rPr>
          <w:b/>
          <w:color w:val="2F6B3F"/>
        </w:rPr>
        <w:t xml:space="preserve">Réponse de référence : </w:t>
      </w:r>
      <w:r>
        <w:rPr/>
        <w:t>VIE SCOLAIRE &gt; SÉCURITÉ ET BIEN-ÊTRE &gt; Suivi médical</w:t>
      </w:r>
    </w:p>
    <w:p>
      <w:pPr>
        <w:pStyle w:val="QuestionGSE"/>
        <w:rPr/>
      </w:pPr>
      <w:r>
        <w:rPr/>
        <w:t>Q17. Quel chemin de navigation permet de consulter « Prévention des risques » ?</w:t>
      </w:r>
    </w:p>
    <w:p>
      <w:pPr>
        <w:pStyle w:val="AnswerGSE"/>
        <w:shd w:fill="F3F4F6"/>
        <w:rPr/>
      </w:pPr>
      <w:r>
        <w:rPr>
          <w:b/>
          <w:color w:val="2F6B3F"/>
        </w:rPr>
        <w:t xml:space="preserve">Réponse de référence : </w:t>
      </w:r>
      <w:r>
        <w:rPr/>
        <w:t>VIE SCOLAIRE &gt; SÉCURITÉ ET BIEN-ÊTRE &gt; Prévention des risques</w:t>
      </w:r>
    </w:p>
    <w:p>
      <w:pPr>
        <w:pStyle w:val="QuestionGSE"/>
        <w:rPr/>
      </w:pPr>
      <w:r>
        <w:rPr/>
        <w:t>Q18. Quel chemin de navigation permet de consulter « Protection de l’enfant » ?</w:t>
      </w:r>
    </w:p>
    <w:p>
      <w:pPr>
        <w:pStyle w:val="AnswerGSE"/>
        <w:shd w:fill="F3F4F6"/>
        <w:rPr/>
      </w:pPr>
      <w:r>
        <w:rPr>
          <w:b/>
          <w:color w:val="2F6B3F"/>
        </w:rPr>
        <w:t xml:space="preserve">Réponse de référence : </w:t>
      </w:r>
      <w:r>
        <w:rPr/>
        <w:t>VIE SCOLAIRE &gt; SÉCURITÉ ET BIEN-ÊTRE &gt; Protection de l’enfant</w:t>
      </w:r>
    </w:p>
    <w:p>
      <w:pPr>
        <w:pStyle w:val="QuestionGSE"/>
        <w:rPr/>
      </w:pPr>
      <w:r>
        <w:rPr/>
        <w:t>Q19. Quel chemin de navigation permet de consulter « Accompagnement psychologique » ?</w:t>
      </w:r>
    </w:p>
    <w:p>
      <w:pPr>
        <w:pStyle w:val="AnswerGSE"/>
        <w:shd w:fill="F3F4F6"/>
        <w:rPr/>
      </w:pPr>
      <w:r>
        <w:rPr>
          <w:b/>
          <w:color w:val="2F6B3F"/>
        </w:rPr>
        <w:t xml:space="preserve">Réponse de référence : </w:t>
      </w:r>
      <w:r>
        <w:rPr/>
        <w:t>VIE SCOLAIRE &gt; SÉCURITÉ ET BIEN-ÊTRE &gt; Accompagnement psychologique</w:t>
      </w:r>
    </w:p>
    <w:p>
      <w:pPr>
        <w:pStyle w:val="QuestionGSE"/>
        <w:rPr/>
      </w:pPr>
      <w:r>
        <w:rPr/>
        <w:t>Q20. Quel chemin de navigation permet de consulter « Politique anti-harcèlement » ?</w:t>
      </w:r>
    </w:p>
    <w:p>
      <w:pPr>
        <w:pStyle w:val="AnswerGSE"/>
        <w:shd w:fill="F3F4F6"/>
        <w:rPr/>
      </w:pPr>
      <w:r>
        <w:rPr>
          <w:b/>
          <w:color w:val="2F6B3F"/>
        </w:rPr>
        <w:t xml:space="preserve">Réponse de référence : </w:t>
      </w:r>
      <w:r>
        <w:rPr/>
        <w:t>VIE SCOLAIRE &gt; SÉCURITÉ ET BIEN-ÊTRE &gt; Politique anti-harcèlement</w:t>
      </w:r>
    </w:p>
    <w:p>
      <w:pPr>
        <w:pStyle w:val="QuestionGSE"/>
        <w:rPr/>
      </w:pPr>
      <w:r>
        <w:rPr/>
        <w:t>Q21. Quel chemin de navigation permet de consulter « ARTS, CULTURE ET TALENTS » ?</w:t>
      </w:r>
    </w:p>
    <w:p>
      <w:pPr>
        <w:pStyle w:val="AnswerGSE"/>
        <w:shd w:fill="F3F4F6"/>
        <w:rPr/>
      </w:pPr>
      <w:r>
        <w:rPr>
          <w:b/>
          <w:color w:val="2F6B3F"/>
        </w:rPr>
        <w:t xml:space="preserve">Réponse de référence : </w:t>
      </w:r>
      <w:r>
        <w:rPr/>
        <w:t>VIE SCOLAIRE &gt; ARTS, CULTURE ET TALENTS</w:t>
      </w:r>
    </w:p>
    <w:p>
      <w:pPr>
        <w:pStyle w:val="QuestionGSE"/>
        <w:rPr/>
      </w:pPr>
      <w:r>
        <w:rPr/>
        <w:t>Q22. Quel chemin de navigation permet de consulter « Éveil musical » ?</w:t>
      </w:r>
    </w:p>
    <w:p>
      <w:pPr>
        <w:pStyle w:val="AnswerGSE"/>
        <w:shd w:fill="F3F4F6"/>
        <w:rPr/>
      </w:pPr>
      <w:r>
        <w:rPr>
          <w:b/>
          <w:color w:val="2F6B3F"/>
        </w:rPr>
        <w:t xml:space="preserve">Réponse de référence : </w:t>
      </w:r>
      <w:r>
        <w:rPr/>
        <w:t>VIE SCOLAIRE &gt; ARTS, CULTURE ET TALENTS &gt; Éveil musical</w:t>
      </w:r>
    </w:p>
    <w:p>
      <w:pPr>
        <w:pStyle w:val="QuestionGSE"/>
        <w:rPr/>
      </w:pPr>
      <w:r>
        <w:rPr/>
        <w:t>Q23. Quel chemin de navigation permet de consulter « Chorale » ?</w:t>
      </w:r>
    </w:p>
    <w:p>
      <w:pPr>
        <w:pStyle w:val="AnswerGSE"/>
        <w:shd w:fill="F3F4F6"/>
        <w:rPr/>
      </w:pPr>
      <w:r>
        <w:rPr>
          <w:b/>
          <w:color w:val="2F6B3F"/>
        </w:rPr>
        <w:t xml:space="preserve">Réponse de référence : </w:t>
      </w:r>
      <w:r>
        <w:rPr/>
        <w:t>VIE SCOLAIRE &gt; ARTS, CULTURE ET TALENTS &gt; Chorale</w:t>
      </w:r>
    </w:p>
    <w:p>
      <w:pPr>
        <w:pStyle w:val="QuestionGSE"/>
        <w:rPr/>
      </w:pPr>
      <w:r>
        <w:rPr/>
        <w:t>Q24. Quel chemin de navigation permet de consulter « Théâtre et expression orale » ?</w:t>
      </w:r>
    </w:p>
    <w:p>
      <w:pPr>
        <w:pStyle w:val="AnswerGSE"/>
        <w:shd w:fill="F3F4F6"/>
        <w:rPr/>
      </w:pPr>
      <w:r>
        <w:rPr>
          <w:b/>
          <w:color w:val="2F6B3F"/>
        </w:rPr>
        <w:t xml:space="preserve">Réponse de référence : </w:t>
      </w:r>
      <w:r>
        <w:rPr/>
        <w:t>VIE SCOLAIRE &gt; ARTS, CULTURE ET TALENTS &gt; Théâtre et expression orale</w:t>
      </w:r>
    </w:p>
    <w:p>
      <w:pPr>
        <w:pStyle w:val="QuestionGSE"/>
        <w:rPr/>
      </w:pPr>
      <w:r>
        <w:rPr/>
        <w:t>Q25. Quel chemin de navigation permet de consulter « Arts visuels » ?</w:t>
      </w:r>
    </w:p>
    <w:p>
      <w:pPr>
        <w:pStyle w:val="AnswerGSE"/>
        <w:shd w:fill="F3F4F6"/>
        <w:rPr/>
      </w:pPr>
      <w:r>
        <w:rPr>
          <w:b/>
          <w:color w:val="2F6B3F"/>
        </w:rPr>
        <w:t xml:space="preserve">Réponse de référence : </w:t>
      </w:r>
      <w:r>
        <w:rPr/>
        <w:t>VIE SCOLAIRE &gt; ARTS, CULTURE ET TALENTS &gt; Arts visuels</w:t>
      </w:r>
    </w:p>
    <w:p>
      <w:pPr>
        <w:pStyle w:val="QuestionGSE"/>
        <w:rPr/>
      </w:pPr>
      <w:r>
        <w:rPr/>
        <w:t>Q26. Quel chemin de navigation permet de consulter « Arts culinaires » ?</w:t>
      </w:r>
    </w:p>
    <w:p>
      <w:pPr>
        <w:pStyle w:val="AnswerGSE"/>
        <w:shd w:fill="F3F4F6"/>
        <w:rPr/>
      </w:pPr>
      <w:r>
        <w:rPr>
          <w:b/>
          <w:color w:val="2F6B3F"/>
        </w:rPr>
        <w:t xml:space="preserve">Réponse de référence : </w:t>
      </w:r>
      <w:r>
        <w:rPr/>
        <w:t>VIE SCOLAIRE &gt; ARTS, CULTURE ET TALENTS &gt; Arts culinaires</w:t>
      </w:r>
    </w:p>
    <w:p>
      <w:pPr>
        <w:pStyle w:val="QuestionGSE"/>
        <w:rPr/>
      </w:pPr>
      <w:r>
        <w:rPr/>
        <w:t>Q27. Quel chemin de navigation permet de consulter « Danse éducative » ?</w:t>
      </w:r>
    </w:p>
    <w:p>
      <w:pPr>
        <w:pStyle w:val="AnswerGSE"/>
        <w:shd w:fill="F3F4F6"/>
        <w:rPr/>
      </w:pPr>
      <w:r>
        <w:rPr>
          <w:b/>
          <w:color w:val="2F6B3F"/>
        </w:rPr>
        <w:t xml:space="preserve">Réponse de référence : </w:t>
      </w:r>
      <w:r>
        <w:rPr/>
        <w:t>VIE SCOLAIRE &gt; ARTS, CULTURE ET TALENTS &gt; Danse éducative</w:t>
      </w:r>
    </w:p>
    <w:p>
      <w:pPr>
        <w:pStyle w:val="QuestionGSE"/>
        <w:rPr/>
      </w:pPr>
      <w:r>
        <w:rPr/>
        <w:t>Q28. Quel chemin de navigation permet de consulter « Photographie » ?</w:t>
      </w:r>
    </w:p>
    <w:p>
      <w:pPr>
        <w:pStyle w:val="AnswerGSE"/>
        <w:shd w:fill="F3F4F6"/>
        <w:rPr/>
      </w:pPr>
      <w:r>
        <w:rPr>
          <w:b/>
          <w:color w:val="2F6B3F"/>
        </w:rPr>
        <w:t xml:space="preserve">Réponse de référence : </w:t>
      </w:r>
      <w:r>
        <w:rPr/>
        <w:t>VIE SCOLAIRE &gt; ARTS, CULTURE ET TALENTS &gt; Photographie</w:t>
      </w:r>
    </w:p>
    <w:p>
      <w:pPr>
        <w:pStyle w:val="QuestionGSE"/>
        <w:rPr/>
      </w:pPr>
      <w:r>
        <w:rPr/>
        <w:t>Q29. Quel chemin de navigation permet de consulter « Journal scolaire » ?</w:t>
      </w:r>
    </w:p>
    <w:p>
      <w:pPr>
        <w:pStyle w:val="AnswerGSE"/>
        <w:shd w:fill="F3F4F6"/>
        <w:rPr/>
      </w:pPr>
      <w:r>
        <w:rPr>
          <w:b/>
          <w:color w:val="2F6B3F"/>
        </w:rPr>
        <w:t xml:space="preserve">Réponse de référence : </w:t>
      </w:r>
      <w:r>
        <w:rPr/>
        <w:t>VIE SCOLAIRE &gt; ARTS, CULTURE ET TALENTS &gt; Journal scolaire</w:t>
      </w:r>
    </w:p>
    <w:p>
      <w:pPr>
        <w:pStyle w:val="QuestionGSE"/>
        <w:rPr/>
      </w:pPr>
      <w:r>
        <w:rPr/>
        <w:t>Q30. Quel chemin de navigation permet de consulter « Culture congolaise et africaine » ?</w:t>
      </w:r>
    </w:p>
    <w:p>
      <w:pPr>
        <w:pStyle w:val="AnswerGSE"/>
        <w:shd w:fill="F3F4F6"/>
        <w:rPr/>
      </w:pPr>
      <w:r>
        <w:rPr>
          <w:b/>
          <w:color w:val="2F6B3F"/>
        </w:rPr>
        <w:t xml:space="preserve">Réponse de référence : </w:t>
      </w:r>
      <w:r>
        <w:rPr/>
        <w:t>VIE SCOLAIRE &gt; ARTS, CULTURE ET TALENTS &gt; Culture congolaise et africaine</w:t>
      </w:r>
    </w:p>
    <w:p>
      <w:pPr>
        <w:pStyle w:val="QuestionGSE"/>
        <w:rPr/>
      </w:pPr>
      <w:r>
        <w:rPr/>
        <w:t>Q31. Quel chemin de navigation permet de consulter « Festivals et expositions » ?</w:t>
      </w:r>
    </w:p>
    <w:p>
      <w:pPr>
        <w:pStyle w:val="AnswerGSE"/>
        <w:shd w:fill="F3F4F6"/>
        <w:rPr/>
      </w:pPr>
      <w:r>
        <w:rPr>
          <w:b/>
          <w:color w:val="2F6B3F"/>
        </w:rPr>
        <w:t xml:space="preserve">Réponse de référence : </w:t>
      </w:r>
      <w:r>
        <w:rPr/>
        <w:t>VIE SCOLAIRE &gt; ARTS, CULTURE ET TALENTS &gt; Festivals et expositions</w:t>
      </w:r>
    </w:p>
    <w:p>
      <w:pPr>
        <w:pStyle w:val="QuestionGSE"/>
        <w:rPr/>
      </w:pPr>
      <w:r>
        <w:rPr/>
        <w:t>Q32. Quel chemin de navigation permet de consulter « Détection des talents » ?</w:t>
      </w:r>
    </w:p>
    <w:p>
      <w:pPr>
        <w:pStyle w:val="AnswerGSE"/>
        <w:shd w:fill="F3F4F6"/>
        <w:rPr/>
      </w:pPr>
      <w:r>
        <w:rPr>
          <w:b/>
          <w:color w:val="2F6B3F"/>
        </w:rPr>
        <w:t xml:space="preserve">Réponse de référence : </w:t>
      </w:r>
      <w:r>
        <w:rPr/>
        <w:t>VIE SCOLAIRE &gt; ARTS, CULTURE ET TALENTS &gt; Détection des talents</w:t>
      </w:r>
    </w:p>
    <w:p>
      <w:pPr>
        <w:pStyle w:val="QuestionGSE"/>
        <w:rPr/>
      </w:pPr>
      <w:r>
        <w:rPr/>
        <w:t>Q33. Quel chemin de navigation permet de consulter « RÉSULTATS ET DISTINCTIONS » ?</w:t>
      </w:r>
    </w:p>
    <w:p>
      <w:pPr>
        <w:pStyle w:val="AnswerGSE"/>
        <w:shd w:fill="F3F4F6"/>
        <w:rPr/>
      </w:pPr>
      <w:r>
        <w:rPr>
          <w:b/>
          <w:color w:val="2F6B3F"/>
        </w:rPr>
        <w:t xml:space="preserve">Réponse de référence : </w:t>
      </w:r>
      <w:r>
        <w:rPr/>
        <w:t>VIE SCOLAIRE &gt; RÉSULTATS ET DISTINCTIONS</w:t>
      </w:r>
    </w:p>
    <w:p>
      <w:pPr>
        <w:pStyle w:val="QuestionGSE"/>
        <w:rPr/>
      </w:pPr>
      <w:r>
        <w:rPr/>
        <w:t>Q34. Quel chemin de navigation permet de consulter « TÉMOIGNAGES » ?</w:t>
      </w:r>
    </w:p>
    <w:p>
      <w:pPr>
        <w:pStyle w:val="AnswerGSE"/>
        <w:shd w:fill="F3F4F6"/>
        <w:rPr/>
      </w:pPr>
      <w:r>
        <w:rPr>
          <w:b/>
          <w:color w:val="2F6B3F"/>
        </w:rPr>
        <w:t xml:space="preserve">Réponse de référence : </w:t>
      </w:r>
      <w:r>
        <w:rPr/>
        <w:t>VIE SCOLAIRE &gt; TÉMOIGNAGES</w:t>
      </w:r>
    </w:p>
    <w:p>
      <w:pPr>
        <w:pStyle w:val="Normal"/>
        <w:rPr/>
      </w:pPr>
      <w:r>
        <w:rPr/>
      </w:r>
      <w:r>
        <w:br w:type="page"/>
      </w:r>
    </w:p>
    <w:p>
      <w:pPr>
        <w:pStyle w:val="Heading2"/>
        <w:spacing w:before="0" w:after="100"/>
        <w:rPr/>
      </w:pPr>
      <w:r>
        <w:rPr/>
        <w:t>8. GALERIE</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GALERIE</w:t>
        <w:br/>
        <w:t>• GALERIE &gt; GALERIE PHOTOS</w:t>
        <w:br/>
        <w:t>• GALERIE &gt; GALERIE PHOTOS &gt; École</w:t>
        <w:br/>
        <w:t>• GALERIE &gt; GALERIE PHOTOS &gt; Classes</w:t>
        <w:br/>
        <w:t>• GALERIE &gt; GALERIE PHOTOS &gt; Activités</w:t>
        <w:br/>
        <w:t>• GALERIE &gt; GALERIE PHOTOS &gt; Spectacles</w:t>
        <w:br/>
        <w:t>• GALERIE &gt; GALERIE PHOTOS &gt; Journées culturelles</w:t>
        <w:br/>
        <w:t>• GALERIE &gt; GALERIE VIDÉOS</w:t>
        <w:br/>
        <w:t>• GALERIE &gt; GALERIE VIDÉOS &gt; École</w:t>
        <w:br/>
        <w:t>• GALERIE &gt; GALERIE VIDÉOS &gt; Classes</w:t>
        <w:br/>
        <w:t>• GALERIE &gt; GALERIE VIDÉOS &gt; Activités</w:t>
        <w:br/>
        <w:t>• GALERIE &gt; GALERIE VIDÉOS &gt; Spectacles</w:t>
        <w:br/>
        <w:t>• GALERIE &gt; GALERIE VIDÉOS &gt; Journées culturelles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La galerie donne une preuve visuelle des espaces, classes, activités, spectacles et journées culturelles.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renforce la transparence, l’attractivité et la confiance en montrant concrètement la vie de l’établissement.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liée aux infrastructures, à la vie scolaire, aux arts et talents, aux actualités et aux témoignages.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15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GALERIE</w:t>
      </w:r>
    </w:p>
    <w:p>
      <w:pPr>
        <w:pStyle w:val="QuestionGSE"/>
        <w:rPr/>
      </w:pPr>
      <w:r>
        <w:rPr/>
        <w:t>Q2. Quelle rubrique du menu permet d’accéder aux contenus liés à « GALERIE » ?</w:t>
      </w:r>
    </w:p>
    <w:p>
      <w:pPr>
        <w:pStyle w:val="AnswerGSE"/>
        <w:shd w:fill="F3F4F6"/>
        <w:rPr/>
      </w:pPr>
      <w:r>
        <w:rPr>
          <w:b/>
          <w:color w:val="2F6B3F"/>
        </w:rPr>
        <w:t xml:space="preserve">Réponse de référence : </w:t>
      </w:r>
      <w:r>
        <w:rPr/>
        <w:t>GALERIE</w:t>
      </w:r>
    </w:p>
    <w:p>
      <w:pPr>
        <w:pStyle w:val="QuestionGSE"/>
        <w:rPr/>
      </w:pPr>
      <w:r>
        <w:rPr/>
        <w:t>Q3. Quels grands accès sont regroupés sous « GALERIE » ?</w:t>
      </w:r>
    </w:p>
    <w:p>
      <w:pPr>
        <w:pStyle w:val="AnswerGSE"/>
        <w:shd w:fill="F3F4F6"/>
        <w:rPr/>
      </w:pPr>
      <w:r>
        <w:rPr>
          <w:b/>
          <w:color w:val="2F6B3F"/>
        </w:rPr>
        <w:t xml:space="preserve">Réponse de référence : </w:t>
      </w:r>
      <w:r>
        <w:rPr/>
        <w:t>GALERIE PHOTOS ; GALERIE VIDÉOS.</w:t>
      </w:r>
    </w:p>
    <w:p>
      <w:pPr>
        <w:pStyle w:val="QuestionGSE"/>
        <w:rPr/>
      </w:pPr>
      <w:r>
        <w:rPr/>
        <w:t>Q4. Quel chemin de navigation permet de consulter « GALERIE PHOTOS » ?</w:t>
      </w:r>
    </w:p>
    <w:p>
      <w:pPr>
        <w:pStyle w:val="AnswerGSE"/>
        <w:shd w:fill="F3F4F6"/>
        <w:rPr/>
      </w:pPr>
      <w:r>
        <w:rPr>
          <w:b/>
          <w:color w:val="2F6B3F"/>
        </w:rPr>
        <w:t xml:space="preserve">Réponse de référence : </w:t>
      </w:r>
      <w:r>
        <w:rPr/>
        <w:t>GALERIE &gt; GALERIE PHOTOS</w:t>
      </w:r>
    </w:p>
    <w:p>
      <w:pPr>
        <w:pStyle w:val="QuestionGSE"/>
        <w:rPr/>
      </w:pPr>
      <w:r>
        <w:rPr/>
        <w:t>Q5. Quel chemin de navigation permet de consulter « École — photos » ?</w:t>
      </w:r>
    </w:p>
    <w:p>
      <w:pPr>
        <w:pStyle w:val="AnswerGSE"/>
        <w:shd w:fill="F3F4F6"/>
        <w:rPr/>
      </w:pPr>
      <w:r>
        <w:rPr>
          <w:b/>
          <w:color w:val="2F6B3F"/>
        </w:rPr>
        <w:t xml:space="preserve">Réponse de référence : </w:t>
      </w:r>
      <w:r>
        <w:rPr/>
        <w:t>GALERIE &gt; GALERIE PHOTOS &gt; École</w:t>
      </w:r>
    </w:p>
    <w:p>
      <w:pPr>
        <w:pStyle w:val="QuestionGSE"/>
        <w:rPr/>
      </w:pPr>
      <w:r>
        <w:rPr/>
        <w:t>Q6. Quel chemin de navigation permet de consulter « Classes — photos » ?</w:t>
      </w:r>
    </w:p>
    <w:p>
      <w:pPr>
        <w:pStyle w:val="AnswerGSE"/>
        <w:shd w:fill="F3F4F6"/>
        <w:rPr/>
      </w:pPr>
      <w:r>
        <w:rPr>
          <w:b/>
          <w:color w:val="2F6B3F"/>
        </w:rPr>
        <w:t xml:space="preserve">Réponse de référence : </w:t>
      </w:r>
      <w:r>
        <w:rPr/>
        <w:t>GALERIE &gt; GALERIE PHOTOS &gt; Classes</w:t>
      </w:r>
    </w:p>
    <w:p>
      <w:pPr>
        <w:pStyle w:val="QuestionGSE"/>
        <w:rPr/>
      </w:pPr>
      <w:r>
        <w:rPr/>
        <w:t>Q7. Quel chemin de navigation permet de consulter « Activités — photos » ?</w:t>
      </w:r>
    </w:p>
    <w:p>
      <w:pPr>
        <w:pStyle w:val="AnswerGSE"/>
        <w:shd w:fill="F3F4F6"/>
        <w:rPr/>
      </w:pPr>
      <w:r>
        <w:rPr>
          <w:b/>
          <w:color w:val="2F6B3F"/>
        </w:rPr>
        <w:t xml:space="preserve">Réponse de référence : </w:t>
      </w:r>
      <w:r>
        <w:rPr/>
        <w:t>GALERIE &gt; GALERIE PHOTOS &gt; Activités</w:t>
      </w:r>
    </w:p>
    <w:p>
      <w:pPr>
        <w:pStyle w:val="QuestionGSE"/>
        <w:rPr/>
      </w:pPr>
      <w:r>
        <w:rPr/>
        <w:t>Q8. Quel chemin de navigation permet de consulter « Spectacles — photos » ?</w:t>
      </w:r>
    </w:p>
    <w:p>
      <w:pPr>
        <w:pStyle w:val="AnswerGSE"/>
        <w:shd w:fill="F3F4F6"/>
        <w:rPr/>
      </w:pPr>
      <w:r>
        <w:rPr>
          <w:b/>
          <w:color w:val="2F6B3F"/>
        </w:rPr>
        <w:t xml:space="preserve">Réponse de référence : </w:t>
      </w:r>
      <w:r>
        <w:rPr/>
        <w:t>GALERIE &gt; GALERIE PHOTOS &gt; Spectacles</w:t>
      </w:r>
    </w:p>
    <w:p>
      <w:pPr>
        <w:pStyle w:val="QuestionGSE"/>
        <w:rPr/>
      </w:pPr>
      <w:r>
        <w:rPr/>
        <w:t>Q9. Quel chemin de navigation permet de consulter « Journées culturelles — photos » ?</w:t>
      </w:r>
    </w:p>
    <w:p>
      <w:pPr>
        <w:pStyle w:val="AnswerGSE"/>
        <w:shd w:fill="F3F4F6"/>
        <w:rPr/>
      </w:pPr>
      <w:r>
        <w:rPr>
          <w:b/>
          <w:color w:val="2F6B3F"/>
        </w:rPr>
        <w:t xml:space="preserve">Réponse de référence : </w:t>
      </w:r>
      <w:r>
        <w:rPr/>
        <w:t>GALERIE &gt; GALERIE PHOTOS &gt; Journées culturelles</w:t>
      </w:r>
    </w:p>
    <w:p>
      <w:pPr>
        <w:pStyle w:val="QuestionGSE"/>
        <w:rPr/>
      </w:pPr>
      <w:r>
        <w:rPr/>
        <w:t>Q10. Quel chemin de navigation permet de consulter « GALERIE VIDÉOS » ?</w:t>
      </w:r>
    </w:p>
    <w:p>
      <w:pPr>
        <w:pStyle w:val="AnswerGSE"/>
        <w:shd w:fill="F3F4F6"/>
        <w:rPr/>
      </w:pPr>
      <w:r>
        <w:rPr>
          <w:b/>
          <w:color w:val="2F6B3F"/>
        </w:rPr>
        <w:t xml:space="preserve">Réponse de référence : </w:t>
      </w:r>
      <w:r>
        <w:rPr/>
        <w:t>GALERIE &gt; GALERIE VIDÉOS</w:t>
      </w:r>
    </w:p>
    <w:p>
      <w:pPr>
        <w:pStyle w:val="QuestionGSE"/>
        <w:rPr/>
      </w:pPr>
      <w:r>
        <w:rPr/>
        <w:t>Q11. Quel chemin de navigation permet de consulter « École — vidéos » ?</w:t>
      </w:r>
    </w:p>
    <w:p>
      <w:pPr>
        <w:pStyle w:val="AnswerGSE"/>
        <w:shd w:fill="F3F4F6"/>
        <w:rPr/>
      </w:pPr>
      <w:r>
        <w:rPr>
          <w:b/>
          <w:color w:val="2F6B3F"/>
        </w:rPr>
        <w:t xml:space="preserve">Réponse de référence : </w:t>
      </w:r>
      <w:r>
        <w:rPr/>
        <w:t>GALERIE &gt; GALERIE VIDÉOS &gt; École</w:t>
      </w:r>
    </w:p>
    <w:p>
      <w:pPr>
        <w:pStyle w:val="QuestionGSE"/>
        <w:rPr/>
      </w:pPr>
      <w:r>
        <w:rPr/>
        <w:t>Q12. Quel chemin de navigation permet de consulter « Classes — vidéos » ?</w:t>
      </w:r>
    </w:p>
    <w:p>
      <w:pPr>
        <w:pStyle w:val="AnswerGSE"/>
        <w:shd w:fill="F3F4F6"/>
        <w:rPr/>
      </w:pPr>
      <w:r>
        <w:rPr>
          <w:b/>
          <w:color w:val="2F6B3F"/>
        </w:rPr>
        <w:t xml:space="preserve">Réponse de référence : </w:t>
      </w:r>
      <w:r>
        <w:rPr/>
        <w:t>GALERIE &gt; GALERIE VIDÉOS &gt; Classes</w:t>
      </w:r>
    </w:p>
    <w:p>
      <w:pPr>
        <w:pStyle w:val="QuestionGSE"/>
        <w:rPr/>
      </w:pPr>
      <w:r>
        <w:rPr/>
        <w:t>Q13. Quel chemin de navigation permet de consulter « Activités — vidéos » ?</w:t>
      </w:r>
    </w:p>
    <w:p>
      <w:pPr>
        <w:pStyle w:val="AnswerGSE"/>
        <w:shd w:fill="F3F4F6"/>
        <w:rPr/>
      </w:pPr>
      <w:r>
        <w:rPr>
          <w:b/>
          <w:color w:val="2F6B3F"/>
        </w:rPr>
        <w:t xml:space="preserve">Réponse de référence : </w:t>
      </w:r>
      <w:r>
        <w:rPr/>
        <w:t>GALERIE &gt; GALERIE VIDÉOS &gt; Activités</w:t>
      </w:r>
    </w:p>
    <w:p>
      <w:pPr>
        <w:pStyle w:val="QuestionGSE"/>
        <w:rPr/>
      </w:pPr>
      <w:r>
        <w:rPr/>
        <w:t>Q14. Quel chemin de navigation permet de consulter « Spectacles — vidéos » ?</w:t>
      </w:r>
    </w:p>
    <w:p>
      <w:pPr>
        <w:pStyle w:val="AnswerGSE"/>
        <w:shd w:fill="F3F4F6"/>
        <w:rPr/>
      </w:pPr>
      <w:r>
        <w:rPr>
          <w:b/>
          <w:color w:val="2F6B3F"/>
        </w:rPr>
        <w:t xml:space="preserve">Réponse de référence : </w:t>
      </w:r>
      <w:r>
        <w:rPr/>
        <w:t>GALERIE &gt; GALERIE VIDÉOS &gt; Spectacles</w:t>
      </w:r>
    </w:p>
    <w:p>
      <w:pPr>
        <w:pStyle w:val="QuestionGSE"/>
        <w:rPr/>
      </w:pPr>
      <w:r>
        <w:rPr/>
        <w:t>Q15. Quel chemin de navigation permet de consulter « Journées culturelles — vidéos » ?</w:t>
      </w:r>
    </w:p>
    <w:p>
      <w:pPr>
        <w:pStyle w:val="AnswerGSE"/>
        <w:shd w:fill="F3F4F6"/>
        <w:rPr/>
      </w:pPr>
      <w:r>
        <w:rPr>
          <w:b/>
          <w:color w:val="2F6B3F"/>
        </w:rPr>
        <w:t xml:space="preserve">Réponse de référence : </w:t>
      </w:r>
      <w:r>
        <w:rPr/>
        <w:t>GALERIE &gt; GALERIE VIDÉOS &gt; Journées culturelles</w:t>
      </w:r>
    </w:p>
    <w:p>
      <w:pPr>
        <w:pStyle w:val="Normal"/>
        <w:rPr/>
      </w:pPr>
      <w:r>
        <w:rPr/>
      </w:r>
      <w:r>
        <w:br w:type="page"/>
      </w:r>
    </w:p>
    <w:p>
      <w:pPr>
        <w:pStyle w:val="Heading2"/>
        <w:spacing w:before="0" w:after="100"/>
        <w:rPr/>
      </w:pPr>
      <w:r>
        <w:rPr/>
        <w:t>9. ACTUALITÉS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ACTUALITÉS</w:t>
        <w:br/>
        <w:t>• ACTUALITÉS &gt; ACTUALITÉS DE L’ÉCOLE</w:t>
        <w:br/>
        <w:t>• ACTUALITÉS &gt; AUTRES ACTUALITÉS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signale l’espace consacré aux informations nouvelles et aux événements récents.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maintient les familles, partenaires et visiteurs informés de la dynamique de l’établissement.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peut relayer les activités de la vie scolaire, les résultats, les partenariats, les admissions et les contenus de la galerie.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ACTUALITÉS</w:t>
      </w:r>
    </w:p>
    <w:p>
      <w:pPr>
        <w:pStyle w:val="QuestionGSE"/>
        <w:rPr/>
      </w:pPr>
      <w:r>
        <w:rPr/>
        <w:t>Q2. Quelle rubrique du menu permet d’accéder aux contenus liés à « ACTUALITÉS » ?</w:t>
      </w:r>
    </w:p>
    <w:p>
      <w:pPr>
        <w:pStyle w:val="AnswerGSE"/>
        <w:shd w:fill="F3F4F6"/>
        <w:rPr/>
      </w:pPr>
      <w:r>
        <w:rPr>
          <w:b/>
          <w:color w:val="2F6B3F"/>
        </w:rPr>
        <w:t xml:space="preserve">Réponse de référence : </w:t>
      </w:r>
      <w:r>
        <w:rPr/>
        <w:t>ACTUALITÉS</w:t>
      </w:r>
    </w:p>
    <w:p>
      <w:pPr>
        <w:pStyle w:val="QuestionGSE"/>
        <w:rPr/>
      </w:pPr>
      <w:r>
        <w:rPr/>
        <w:t>Q3. Quels grands accès sont regroupés sous « ACTUALITÉS » ?</w:t>
      </w:r>
    </w:p>
    <w:p>
      <w:pPr>
        <w:pStyle w:val="AnswerGSE"/>
        <w:shd w:fill="F3F4F6"/>
        <w:rPr/>
      </w:pPr>
      <w:r>
        <w:rPr>
          <w:b/>
          <w:color w:val="2F6B3F"/>
        </w:rPr>
        <w:t xml:space="preserve">Réponse de référence : </w:t>
      </w:r>
      <w:r>
        <w:rPr/>
        <w:t>ACTUALITÉS DE L’ÉCOLE ; AUTRES ACTUALITÉS.</w:t>
      </w:r>
    </w:p>
    <w:p>
      <w:pPr>
        <w:pStyle w:val="QuestionGSE"/>
        <w:rPr/>
      </w:pPr>
      <w:r>
        <w:rPr/>
        <w:t>Q4. Quel chemin de navigation permet de consulter « ACTUALITÉS DE L’ÉCOLE » ?</w:t>
      </w:r>
    </w:p>
    <w:p>
      <w:pPr>
        <w:pStyle w:val="AnswerGSE"/>
        <w:shd w:fill="F3F4F6"/>
        <w:rPr/>
      </w:pPr>
      <w:r>
        <w:rPr>
          <w:b/>
          <w:color w:val="2F6B3F"/>
        </w:rPr>
        <w:t xml:space="preserve">Réponse de référence : </w:t>
      </w:r>
      <w:r>
        <w:rPr/>
        <w:t>ACTUALITÉS &gt; ACTUALITÉS DE L’ÉCOLE</w:t>
      </w:r>
    </w:p>
    <w:p>
      <w:pPr>
        <w:pStyle w:val="QuestionGSE"/>
        <w:rPr/>
      </w:pPr>
      <w:r>
        <w:rPr/>
        <w:t>Q5. Quel chemin de navigation permet de consulter « AUTRES ACTUALITÉS » ?</w:t>
      </w:r>
    </w:p>
    <w:p>
      <w:pPr>
        <w:pStyle w:val="AnswerGSE"/>
        <w:shd w:fill="F3F4F6"/>
        <w:rPr/>
      </w:pPr>
      <w:r>
        <w:rPr>
          <w:b/>
          <w:color w:val="2F6B3F"/>
        </w:rPr>
        <w:t xml:space="preserve">Réponse de référence : </w:t>
      </w:r>
      <w:r>
        <w:rPr/>
        <w:t>ACTUALITÉS &gt; AUTRES ACTUALITÉS</w:t>
      </w:r>
    </w:p>
    <w:p>
      <w:pPr>
        <w:pStyle w:val="QuestionGSE"/>
        <w:rPr/>
      </w:pPr>
      <w:r>
        <w:rPr/>
        <w:t>Q6. Quel message la page d’accueil associe-t-elle au titre « ACTUALITÉS » ?</w:t>
      </w:r>
    </w:p>
    <w:p>
      <w:pPr>
        <w:pStyle w:val="AnswerGSE"/>
        <w:shd w:fill="F3F4F6"/>
        <w:rPr/>
      </w:pPr>
      <w:r>
        <w:rPr>
          <w:b/>
          <w:color w:val="2F6B3F"/>
        </w:rPr>
        <w:t xml:space="preserve">Réponse de référence : </w:t>
      </w:r>
      <w:r>
        <w:rPr/>
        <w:t>ACTUALITÉS</w:t>
        <w:br/>
        <w:t>• ACTUALITÉS &gt; ACTUALITÉS DE L’ÉCOLE</w:t>
        <w:br/>
        <w:t>• ACTUALITÉS &gt; AUTRES ACTUALITÉS</w:t>
      </w:r>
    </w:p>
    <w:p>
      <w:pPr>
        <w:pStyle w:val="QuestionGSE"/>
        <w:rPr/>
      </w:pPr>
      <w:r>
        <w:rPr/>
        <w:t>Q7. Que doit répondre un agent lorsqu’un visiteur demande ce que dit la section « ACTUALITÉS » ?</w:t>
      </w:r>
    </w:p>
    <w:p>
      <w:pPr>
        <w:pStyle w:val="AnswerGSE"/>
        <w:shd w:fill="F3F4F6"/>
        <w:rPr/>
      </w:pPr>
      <w:r>
        <w:rPr>
          <w:b/>
          <w:color w:val="2F6B3F"/>
        </w:rPr>
        <w:t xml:space="preserve">Réponse de référence : </w:t>
      </w:r>
      <w:r>
        <w:rPr/>
        <w:t>ACTUALITÉS</w:t>
        <w:br/>
        <w:t>• ACTUALITÉS &gt; ACTUALITÉS DE L’ÉCOLE</w:t>
        <w:br/>
        <w:t>• ACTUALITÉS &gt; AUTRES ACTUALITÉS</w:t>
      </w:r>
    </w:p>
    <w:p>
      <w:pPr>
        <w:pStyle w:val="QuestionGSE"/>
        <w:rPr/>
      </w:pPr>
      <w:r>
        <w:rPr/>
        <w:t>Q8. Quelle formulation de la page d’accueil permet de présenter fidèlement « ACTUALITÉS » ?</w:t>
      </w:r>
    </w:p>
    <w:p>
      <w:pPr>
        <w:pStyle w:val="AnswerGSE"/>
        <w:shd w:fill="F3F4F6"/>
        <w:rPr/>
      </w:pPr>
      <w:r>
        <w:rPr>
          <w:b/>
          <w:color w:val="2F6B3F"/>
        </w:rPr>
        <w:t xml:space="preserve">Réponse de référence : </w:t>
      </w:r>
      <w:r>
        <w:rPr/>
        <w:t>ACTUALITÉS</w:t>
        <w:br/>
        <w:t>• ACTUALITÉS &gt; ACTUALITÉS DE L’ÉCOLE</w:t>
        <w:br/>
        <w:t>• ACTUALITÉS &gt; AUTRES ACTUALITÉS</w:t>
      </w:r>
    </w:p>
    <w:p>
      <w:pPr>
        <w:pStyle w:val="QuestionGSE"/>
        <w:rPr/>
      </w:pPr>
      <w:r>
        <w:rPr/>
        <w:t>Q9. Que doit retenir un parent après lecture de la section « ACTUALITÉS » ?</w:t>
      </w:r>
    </w:p>
    <w:p>
      <w:pPr>
        <w:pStyle w:val="AnswerGSE"/>
        <w:shd w:fill="F3F4F6"/>
        <w:rPr/>
      </w:pPr>
      <w:r>
        <w:rPr>
          <w:b/>
          <w:color w:val="2F6B3F"/>
        </w:rPr>
        <w:t xml:space="preserve">Réponse de référence : </w:t>
      </w:r>
      <w:r>
        <w:rPr/>
        <w:t>ACTUALITÉS</w:t>
        <w:br/>
        <w:t>• ACTUALITÉS &gt; ACTUALITÉS DE L’ÉCOLE</w:t>
        <w:br/>
        <w:t>• ACTUALITÉS &gt; AUTRES ACTUALITÉS</w:t>
      </w:r>
    </w:p>
    <w:p>
      <w:pPr>
        <w:pStyle w:val="QuestionGSE"/>
        <w:rPr/>
      </w:pPr>
      <w:r>
        <w:rPr/>
        <w:t>Q10. Quelle réponse de référence doit rester strictement liée au contenu publié sous « ACTUALITÉS » ?</w:t>
      </w:r>
    </w:p>
    <w:p>
      <w:pPr>
        <w:pStyle w:val="AnswerGSE"/>
        <w:shd w:fill="F3F4F6"/>
        <w:rPr/>
      </w:pPr>
      <w:r>
        <w:rPr>
          <w:b/>
          <w:color w:val="2F6B3F"/>
        </w:rPr>
        <w:t xml:space="preserve">Réponse de référence : </w:t>
      </w:r>
      <w:r>
        <w:rPr/>
        <w:t>ACTUALITÉS</w:t>
        <w:br/>
        <w:t>• ACTUALITÉS &gt; ACTUALITÉS DE L’ÉCOLE</w:t>
        <w:br/>
        <w:t>• ACTUALITÉS &gt; AUTRES ACTUALITÉS</w:t>
      </w:r>
    </w:p>
    <w:p>
      <w:pPr>
        <w:pStyle w:val="Normal"/>
        <w:rPr/>
      </w:pPr>
      <w:r>
        <w:rPr/>
      </w:r>
      <w:r>
        <w:br w:type="page"/>
      </w:r>
    </w:p>
    <w:p>
      <w:pPr>
        <w:pStyle w:val="Heading2"/>
        <w:spacing w:before="0" w:after="100"/>
        <w:rPr/>
      </w:pPr>
      <w:r>
        <w:rPr/>
        <w:t>10. NOS PARTENARIATS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NOS PARTENARIATS</w:t>
        <w:br/>
        <w:t>• NOS PARTENARIATS &gt; PARTENAIRES ACADÉMIQUES</w:t>
        <w:br/>
        <w:t>• NOS PARTENARIATS &gt; PARTENAIRES CULTURELS</w:t>
        <w:br/>
        <w:t>• NOS PARTENARIATS &gt; PARTENAIRES INTERNATIONAUX</w:t>
        <w:br/>
        <w:t>• NOS PARTENARIATS &gt; PARTENAIRES CHRÉTIENS</w:t>
        <w:br/>
        <w:t>• NOS PARTENARIATS &gt; PARTENAIRES STRATÉGIQUES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présente les catégories d’organisations avec lesquelles l’école peut coopérer.</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rend visible l’ouverture institutionnelle et facilite la recherche de collaborations utiles aux élèves et au développement de l’école.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l’ouverture internationale, aux programmes, à la culture, aux valeurs chrétiennes, aux actualités et au contact.</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NOS PARTENARIATS</w:t>
      </w:r>
    </w:p>
    <w:p>
      <w:pPr>
        <w:pStyle w:val="QuestionGSE"/>
        <w:rPr/>
      </w:pPr>
      <w:r>
        <w:rPr/>
        <w:t>Q2. Quelle rubrique du menu permet d’accéder aux contenus liés à « NOS PARTENARIATS » ?</w:t>
      </w:r>
    </w:p>
    <w:p>
      <w:pPr>
        <w:pStyle w:val="AnswerGSE"/>
        <w:shd w:fill="F3F4F6"/>
        <w:rPr/>
      </w:pPr>
      <w:r>
        <w:rPr>
          <w:b/>
          <w:color w:val="2F6B3F"/>
        </w:rPr>
        <w:t xml:space="preserve">Réponse de référence : </w:t>
      </w:r>
      <w:r>
        <w:rPr/>
        <w:t>NOS PARTENARIATS</w:t>
      </w:r>
    </w:p>
    <w:p>
      <w:pPr>
        <w:pStyle w:val="QuestionGSE"/>
        <w:rPr/>
      </w:pPr>
      <w:r>
        <w:rPr/>
        <w:t>Q3. Quels grands accès sont regroupés sous « NOS PARTENARIATS » ?</w:t>
      </w:r>
    </w:p>
    <w:p>
      <w:pPr>
        <w:pStyle w:val="AnswerGSE"/>
        <w:shd w:fill="F3F4F6"/>
        <w:rPr/>
      </w:pPr>
      <w:r>
        <w:rPr>
          <w:b/>
          <w:color w:val="2F6B3F"/>
        </w:rPr>
        <w:t xml:space="preserve">Réponse de référence : </w:t>
      </w:r>
      <w:r>
        <w:rPr/>
        <w:t>PARTENAIRES ACADÉMIQUES ; PARTENAIRES CULTURELS ; PARTENAIRES INTERNATIONAUX ; PARTENAIRES CHRÉTIENS ; PARTENAIRES STRATÉGIQUES.</w:t>
      </w:r>
    </w:p>
    <w:p>
      <w:pPr>
        <w:pStyle w:val="QuestionGSE"/>
        <w:rPr/>
      </w:pPr>
      <w:r>
        <w:rPr/>
        <w:t>Q4. Quel chemin de navigation permet de consulter « PARTENAIRES ACADÉMIQUES » ?</w:t>
      </w:r>
    </w:p>
    <w:p>
      <w:pPr>
        <w:pStyle w:val="AnswerGSE"/>
        <w:shd w:fill="F3F4F6"/>
        <w:rPr/>
      </w:pPr>
      <w:r>
        <w:rPr>
          <w:b/>
          <w:color w:val="2F6B3F"/>
        </w:rPr>
        <w:t xml:space="preserve">Réponse de référence : </w:t>
      </w:r>
      <w:r>
        <w:rPr/>
        <w:t>NOS PARTENARIATS &gt; PARTENAIRES ACADÉMIQUES</w:t>
      </w:r>
    </w:p>
    <w:p>
      <w:pPr>
        <w:pStyle w:val="QuestionGSE"/>
        <w:rPr/>
      </w:pPr>
      <w:r>
        <w:rPr/>
        <w:t>Q5. Quel chemin de navigation permet de consulter « PARTENAIRES CULTURELS » ?</w:t>
      </w:r>
    </w:p>
    <w:p>
      <w:pPr>
        <w:pStyle w:val="AnswerGSE"/>
        <w:shd w:fill="F3F4F6"/>
        <w:rPr/>
      </w:pPr>
      <w:r>
        <w:rPr>
          <w:b/>
          <w:color w:val="2F6B3F"/>
        </w:rPr>
        <w:t xml:space="preserve">Réponse de référence : </w:t>
      </w:r>
      <w:r>
        <w:rPr/>
        <w:t>NOS PARTENARIATS &gt; PARTENAIRES CULTURELS</w:t>
      </w:r>
    </w:p>
    <w:p>
      <w:pPr>
        <w:pStyle w:val="QuestionGSE"/>
        <w:rPr/>
      </w:pPr>
      <w:r>
        <w:rPr/>
        <w:t>Q6. Quel chemin de navigation permet de consulter « PARTENAIRES INTERNATIONAUX » ?</w:t>
      </w:r>
    </w:p>
    <w:p>
      <w:pPr>
        <w:pStyle w:val="AnswerGSE"/>
        <w:shd w:fill="F3F4F6"/>
        <w:rPr/>
      </w:pPr>
      <w:r>
        <w:rPr>
          <w:b/>
          <w:color w:val="2F6B3F"/>
        </w:rPr>
        <w:t xml:space="preserve">Réponse de référence : </w:t>
      </w:r>
      <w:r>
        <w:rPr/>
        <w:t>NOS PARTENARIATS &gt; PARTENAIRES INTERNATIONAUX</w:t>
      </w:r>
    </w:p>
    <w:p>
      <w:pPr>
        <w:pStyle w:val="QuestionGSE"/>
        <w:rPr/>
      </w:pPr>
      <w:r>
        <w:rPr/>
        <w:t>Q7. Quel chemin de navigation permet de consulter « PARTENAIRES CHRÉTIENS » ?</w:t>
      </w:r>
    </w:p>
    <w:p>
      <w:pPr>
        <w:pStyle w:val="AnswerGSE"/>
        <w:shd w:fill="F3F4F6"/>
        <w:rPr/>
      </w:pPr>
      <w:r>
        <w:rPr>
          <w:b/>
          <w:color w:val="2F6B3F"/>
        </w:rPr>
        <w:t xml:space="preserve">Réponse de référence : </w:t>
      </w:r>
      <w:r>
        <w:rPr/>
        <w:t>NOS PARTENARIATS &gt; PARTENAIRES CHRÉTIENS</w:t>
      </w:r>
    </w:p>
    <w:p>
      <w:pPr>
        <w:pStyle w:val="QuestionGSE"/>
        <w:rPr/>
      </w:pPr>
      <w:r>
        <w:rPr/>
        <w:t>Q8. Quel chemin de navigation permet de consulter « PARTENAIRES STRATÉGIQUES » ?</w:t>
      </w:r>
    </w:p>
    <w:p>
      <w:pPr>
        <w:pStyle w:val="AnswerGSE"/>
        <w:shd w:fill="F3F4F6"/>
        <w:rPr/>
      </w:pPr>
      <w:r>
        <w:rPr>
          <w:b/>
          <w:color w:val="2F6B3F"/>
        </w:rPr>
        <w:t xml:space="preserve">Réponse de référence : </w:t>
      </w:r>
      <w:r>
        <w:rPr/>
        <w:t>NOS PARTENARIATS &gt; PARTENAIRES STRATÉGIQUES</w:t>
      </w:r>
    </w:p>
    <w:p>
      <w:pPr>
        <w:pStyle w:val="QuestionGSE"/>
        <w:rPr/>
      </w:pPr>
      <w:r>
        <w:rPr/>
        <w:t>Q9. Quel message la page d’accueil associe-t-elle au titre « NOS PARTENARIATS » ?</w:t>
      </w:r>
    </w:p>
    <w:p>
      <w:pPr>
        <w:pStyle w:val="AnswerGSE"/>
        <w:shd w:fill="F3F4F6"/>
        <w:rPr/>
      </w:pPr>
      <w:r>
        <w:rPr>
          <w:b/>
          <w:color w:val="2F6B3F"/>
        </w:rPr>
        <w:t xml:space="preserve">Réponse de référence : </w:t>
      </w:r>
      <w:r>
        <w:rPr/>
        <w:t>NOS PARTENARIATS</w:t>
        <w:br/>
        <w:t>• NOS PARTENARIATS &gt; PARTENAIRES ACADÉMIQUES</w:t>
        <w:br/>
        <w:t>• NOS PARTENARIATS &gt; PARTENAIRES CULTURELS</w:t>
        <w:br/>
        <w:t>• NOS PARTENARIATS &gt; PARTENAIRES INTERNATIONAUX</w:t>
        <w:br/>
        <w:t>• NOS PARTENARIATS &gt; PARTENAIRES CHRÉTIENS</w:t>
        <w:br/>
        <w:t>• NOS PARTENARIATS &gt; PARTENAIRES STRATÉGIQUES</w:t>
      </w:r>
    </w:p>
    <w:p>
      <w:pPr>
        <w:pStyle w:val="QuestionGSE"/>
        <w:rPr/>
      </w:pPr>
      <w:r>
        <w:rPr/>
        <w:t>Q10. Que doit répondre un agent lorsqu’un visiteur demande ce que dit la section « NOS PARTENARIATS » ?</w:t>
      </w:r>
    </w:p>
    <w:p>
      <w:pPr>
        <w:pStyle w:val="AnswerGSE"/>
        <w:shd w:fill="F3F4F6"/>
        <w:rPr/>
      </w:pPr>
      <w:r>
        <w:rPr>
          <w:b/>
          <w:color w:val="2F6B3F"/>
        </w:rPr>
        <w:t xml:space="preserve">Réponse de référence : </w:t>
      </w:r>
      <w:r>
        <w:rPr/>
        <w:t>NOS PARTENARIATS</w:t>
        <w:br/>
        <w:t>• NOS PARTENARIATS &gt; PARTENAIRES ACADÉMIQUES</w:t>
        <w:br/>
        <w:t>• NOS PARTENARIATS &gt; PARTENAIRES CULTURELS</w:t>
        <w:br/>
        <w:t>• NOS PARTENARIATS &gt; PARTENAIRES INTERNATIONAUX</w:t>
        <w:br/>
        <w:t>• NOS PARTENARIATS &gt; PARTENAIRES CHRÉTIENS</w:t>
        <w:br/>
        <w:t>• NOS PARTENARIATS &gt; PARTENAIRES STRATÉGIQUES</w:t>
      </w:r>
    </w:p>
    <w:p>
      <w:pPr>
        <w:pStyle w:val="Normal"/>
        <w:rPr/>
      </w:pPr>
      <w:r>
        <w:rPr/>
      </w:r>
      <w:r>
        <w:br w:type="page"/>
      </w:r>
    </w:p>
    <w:p>
      <w:pPr>
        <w:pStyle w:val="Heading2"/>
        <w:spacing w:before="0" w:after="100"/>
        <w:rPr/>
      </w:pPr>
      <w:r>
        <w:rPr/>
        <w:t>11. CONTACT</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CONTACT</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indique le point d’accès destiné à joindre directement l’établissement.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essentiel pour convertir une question, une demande d’admission ou une proposition de partenariat en échange concret.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relié au bloc « Contact us », aux admissions, aux partenariats, à l’Espace Parents et aux liens utiles.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CONTACT</w:t>
      </w:r>
    </w:p>
    <w:p>
      <w:pPr>
        <w:pStyle w:val="QuestionGSE"/>
        <w:rPr/>
      </w:pPr>
      <w:r>
        <w:rPr/>
        <w:t>Q2. Quelle rubrique du menu permet d’accéder aux contenus liés à « CONTACT » ?</w:t>
      </w:r>
    </w:p>
    <w:p>
      <w:pPr>
        <w:pStyle w:val="AnswerGSE"/>
        <w:shd w:fill="F3F4F6"/>
        <w:rPr/>
      </w:pPr>
      <w:r>
        <w:rPr>
          <w:b/>
          <w:color w:val="2F6B3F"/>
        </w:rPr>
        <w:t xml:space="preserve">Réponse de référence : </w:t>
      </w:r>
      <w:r>
        <w:rPr/>
        <w:t>CONTACT</w:t>
      </w:r>
    </w:p>
    <w:p>
      <w:pPr>
        <w:pStyle w:val="QuestionGSE"/>
        <w:rPr/>
      </w:pPr>
      <w:r>
        <w:rPr/>
        <w:t>Q3. Quel message la page d’accueil associe-t-elle au titre « CONTACT » ?</w:t>
      </w:r>
    </w:p>
    <w:p>
      <w:pPr>
        <w:pStyle w:val="AnswerGSE"/>
        <w:shd w:fill="F3F4F6"/>
        <w:rPr/>
      </w:pPr>
      <w:r>
        <w:rPr>
          <w:b/>
          <w:color w:val="2F6B3F"/>
        </w:rPr>
        <w:t xml:space="preserve">Réponse de référence : </w:t>
      </w:r>
      <w:r>
        <w:rPr/>
        <w:t>CONTACT</w:t>
      </w:r>
    </w:p>
    <w:p>
      <w:pPr>
        <w:pStyle w:val="QuestionGSE"/>
        <w:rPr/>
      </w:pPr>
      <w:r>
        <w:rPr/>
        <w:t>Q4. Que doit répondre un agent lorsqu’un visiteur demande ce que dit la section « CONTACT » ?</w:t>
      </w:r>
    </w:p>
    <w:p>
      <w:pPr>
        <w:pStyle w:val="AnswerGSE"/>
        <w:shd w:fill="F3F4F6"/>
        <w:rPr/>
      </w:pPr>
      <w:r>
        <w:rPr>
          <w:b/>
          <w:color w:val="2F6B3F"/>
        </w:rPr>
        <w:t xml:space="preserve">Réponse de référence : </w:t>
      </w:r>
      <w:r>
        <w:rPr/>
        <w:t>CONTACT</w:t>
      </w:r>
    </w:p>
    <w:p>
      <w:pPr>
        <w:pStyle w:val="QuestionGSE"/>
        <w:rPr/>
      </w:pPr>
      <w:r>
        <w:rPr/>
        <w:t>Q5. Quelle formulation de la page d’accueil permet de présenter fidèlement « CONTACT » ?</w:t>
      </w:r>
    </w:p>
    <w:p>
      <w:pPr>
        <w:pStyle w:val="AnswerGSE"/>
        <w:shd w:fill="F3F4F6"/>
        <w:rPr/>
      </w:pPr>
      <w:r>
        <w:rPr>
          <w:b/>
          <w:color w:val="2F6B3F"/>
        </w:rPr>
        <w:t xml:space="preserve">Réponse de référence : </w:t>
      </w:r>
      <w:r>
        <w:rPr/>
        <w:t>CONTACT</w:t>
      </w:r>
    </w:p>
    <w:p>
      <w:pPr>
        <w:pStyle w:val="QuestionGSE"/>
        <w:rPr/>
      </w:pPr>
      <w:r>
        <w:rPr/>
        <w:t>Q6. Que doit retenir un parent après lecture de la section « CONTACT » ?</w:t>
      </w:r>
    </w:p>
    <w:p>
      <w:pPr>
        <w:pStyle w:val="AnswerGSE"/>
        <w:shd w:fill="F3F4F6"/>
        <w:rPr/>
      </w:pPr>
      <w:r>
        <w:rPr>
          <w:b/>
          <w:color w:val="2F6B3F"/>
        </w:rPr>
        <w:t xml:space="preserve">Réponse de référence : </w:t>
      </w:r>
      <w:r>
        <w:rPr/>
        <w:t>CONTACT</w:t>
      </w:r>
    </w:p>
    <w:p>
      <w:pPr>
        <w:pStyle w:val="QuestionGSE"/>
        <w:rPr/>
      </w:pPr>
      <w:r>
        <w:rPr/>
        <w:t>Q7. Quelle réponse de référence doit rester strictement liée au contenu publié sous « CONTACT » ?</w:t>
      </w:r>
    </w:p>
    <w:p>
      <w:pPr>
        <w:pStyle w:val="AnswerGSE"/>
        <w:shd w:fill="F3F4F6"/>
        <w:rPr/>
      </w:pPr>
      <w:r>
        <w:rPr>
          <w:b/>
          <w:color w:val="2F6B3F"/>
        </w:rPr>
        <w:t xml:space="preserve">Réponse de référence : </w:t>
      </w:r>
      <w:r>
        <w:rPr/>
        <w:t>CONTACT</w:t>
      </w:r>
    </w:p>
    <w:p>
      <w:pPr>
        <w:pStyle w:val="QuestionGSE"/>
        <w:rPr/>
      </w:pPr>
      <w:r>
        <w:rPr/>
        <w:t>Q8. Comment résumer la section « CONTACT » sans ajouter d’information extérieure ?</w:t>
      </w:r>
    </w:p>
    <w:p>
      <w:pPr>
        <w:pStyle w:val="AnswerGSE"/>
        <w:shd w:fill="F3F4F6"/>
        <w:rPr/>
      </w:pPr>
      <w:r>
        <w:rPr>
          <w:b/>
          <w:color w:val="2F6B3F"/>
        </w:rPr>
        <w:t xml:space="preserve">Réponse de référence : </w:t>
      </w:r>
      <w:r>
        <w:rPr/>
        <w:t>CONTACT</w:t>
      </w:r>
    </w:p>
    <w:p>
      <w:pPr>
        <w:pStyle w:val="QuestionGSE"/>
        <w:rPr/>
      </w:pPr>
      <w:r>
        <w:rPr/>
        <w:t>Q9. Quel contenu publié justifie le titre « CONTACT » ?</w:t>
      </w:r>
    </w:p>
    <w:p>
      <w:pPr>
        <w:pStyle w:val="AnswerGSE"/>
        <w:shd w:fill="F3F4F6"/>
        <w:rPr/>
      </w:pPr>
      <w:r>
        <w:rPr>
          <w:b/>
          <w:color w:val="2F6B3F"/>
        </w:rPr>
        <w:t xml:space="preserve">Réponse de référence : </w:t>
      </w:r>
      <w:r>
        <w:rPr/>
        <w:t>CONTACT</w:t>
      </w:r>
    </w:p>
    <w:p>
      <w:pPr>
        <w:pStyle w:val="QuestionGSE"/>
        <w:rPr/>
      </w:pPr>
      <w:r>
        <w:rPr/>
        <w:t>Q10. Quelle phrase peut être utilisée par la FAQ pour répondre à une question sur « CONTACT » ?</w:t>
      </w:r>
    </w:p>
    <w:p>
      <w:pPr>
        <w:pStyle w:val="AnswerGSE"/>
        <w:shd w:fill="F3F4F6"/>
        <w:rPr/>
      </w:pPr>
      <w:r>
        <w:rPr>
          <w:b/>
          <w:color w:val="2F6B3F"/>
        </w:rPr>
        <w:t xml:space="preserve">Réponse de référence : </w:t>
      </w:r>
      <w:r>
        <w:rPr/>
        <w:t>CONTACT</w:t>
      </w:r>
    </w:p>
    <w:p>
      <w:pPr>
        <w:pStyle w:val="Normal"/>
        <w:rPr/>
      </w:pPr>
      <w:r>
        <w:rPr/>
      </w:r>
      <w:r>
        <w:br w:type="page"/>
      </w:r>
    </w:p>
    <w:p>
      <w:pPr>
        <w:pStyle w:val="Heading2"/>
        <w:spacing w:before="0" w:after="100"/>
        <w:rPr/>
      </w:pPr>
      <w:r>
        <w:rPr/>
        <w:t>12. ESPACE PARENTS</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ESPACE PARENTS</w:t>
        <w:br/>
        <w:t>• ESPACE PARENTS &gt; FAQ</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réserve un espace d’information et de service aux parents ou responsables des élèves.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facilite l’accompagnement familial, l’accès aux réponses fréquentes et la relation continue avec l’école.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aux admissions, au suivi de l’enfant, à la sécurité et au bien-être, aux actualités, au contact et à la connexion.</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ESPACE PARENTS</w:t>
      </w:r>
    </w:p>
    <w:p>
      <w:pPr>
        <w:pStyle w:val="QuestionGSE"/>
        <w:rPr/>
      </w:pPr>
      <w:r>
        <w:rPr/>
        <w:t>Q2. Quelle rubrique du menu permet d’accéder aux contenus liés à « ESPACE PARENTS » ?</w:t>
      </w:r>
    </w:p>
    <w:p>
      <w:pPr>
        <w:pStyle w:val="AnswerGSE"/>
        <w:shd w:fill="F3F4F6"/>
        <w:rPr/>
      </w:pPr>
      <w:r>
        <w:rPr>
          <w:b/>
          <w:color w:val="2F6B3F"/>
        </w:rPr>
        <w:t xml:space="preserve">Réponse de référence : </w:t>
      </w:r>
      <w:r>
        <w:rPr/>
        <w:t>ESPACE PARENTS</w:t>
      </w:r>
    </w:p>
    <w:p>
      <w:pPr>
        <w:pStyle w:val="QuestionGSE"/>
        <w:rPr/>
      </w:pPr>
      <w:r>
        <w:rPr/>
        <w:t>Q3. Quels grands accès sont regroupés sous « ESPACE PARENTS » ?</w:t>
      </w:r>
    </w:p>
    <w:p>
      <w:pPr>
        <w:pStyle w:val="AnswerGSE"/>
        <w:shd w:fill="F3F4F6"/>
        <w:rPr/>
      </w:pPr>
      <w:r>
        <w:rPr>
          <w:b/>
          <w:color w:val="2F6B3F"/>
        </w:rPr>
        <w:t xml:space="preserve">Réponse de référence : </w:t>
      </w:r>
      <w:r>
        <w:rPr/>
        <w:t>FAQ.</w:t>
      </w:r>
    </w:p>
    <w:p>
      <w:pPr>
        <w:pStyle w:val="QuestionGSE"/>
        <w:rPr/>
      </w:pPr>
      <w:r>
        <w:rPr/>
        <w:t>Q4. Quel chemin de navigation permet de consulter « FAQ » ?</w:t>
      </w:r>
    </w:p>
    <w:p>
      <w:pPr>
        <w:pStyle w:val="AnswerGSE"/>
        <w:shd w:fill="F3F4F6"/>
        <w:rPr/>
      </w:pPr>
      <w:r>
        <w:rPr>
          <w:b/>
          <w:color w:val="2F6B3F"/>
        </w:rPr>
        <w:t xml:space="preserve">Réponse de référence : </w:t>
      </w:r>
      <w:r>
        <w:rPr/>
        <w:t>ESPACE PARENTS &gt; FAQ</w:t>
      </w:r>
    </w:p>
    <w:p>
      <w:pPr>
        <w:pStyle w:val="QuestionGSE"/>
        <w:rPr/>
      </w:pPr>
      <w:r>
        <w:rPr/>
        <w:t>Q5. Quel message la page d’accueil associe-t-elle au titre « ESPACE PARENTS » ?</w:t>
      </w:r>
    </w:p>
    <w:p>
      <w:pPr>
        <w:pStyle w:val="AnswerGSE"/>
        <w:shd w:fill="F3F4F6"/>
        <w:rPr/>
      </w:pPr>
      <w:r>
        <w:rPr>
          <w:b/>
          <w:color w:val="2F6B3F"/>
        </w:rPr>
        <w:t xml:space="preserve">Réponse de référence : </w:t>
      </w:r>
      <w:r>
        <w:rPr/>
        <w:t>ESPACE PARENTS</w:t>
        <w:br/>
        <w:t>• ESPACE PARENTS &gt; FAQ</w:t>
      </w:r>
    </w:p>
    <w:p>
      <w:pPr>
        <w:pStyle w:val="QuestionGSE"/>
        <w:rPr/>
      </w:pPr>
      <w:r>
        <w:rPr/>
        <w:t>Q6. Que doit répondre un agent lorsqu’un visiteur demande ce que dit la section « ESPACE PARENTS » ?</w:t>
      </w:r>
    </w:p>
    <w:p>
      <w:pPr>
        <w:pStyle w:val="AnswerGSE"/>
        <w:shd w:fill="F3F4F6"/>
        <w:rPr/>
      </w:pPr>
      <w:r>
        <w:rPr>
          <w:b/>
          <w:color w:val="2F6B3F"/>
        </w:rPr>
        <w:t xml:space="preserve">Réponse de référence : </w:t>
      </w:r>
      <w:r>
        <w:rPr/>
        <w:t>ESPACE PARENTS</w:t>
        <w:br/>
        <w:t>• ESPACE PARENTS &gt; FAQ</w:t>
      </w:r>
    </w:p>
    <w:p>
      <w:pPr>
        <w:pStyle w:val="QuestionGSE"/>
        <w:rPr/>
      </w:pPr>
      <w:r>
        <w:rPr/>
        <w:t>Q7. Quelle formulation de la page d’accueil permet de présenter fidèlement « ESPACE PARENTS » ?</w:t>
      </w:r>
    </w:p>
    <w:p>
      <w:pPr>
        <w:pStyle w:val="AnswerGSE"/>
        <w:shd w:fill="F3F4F6"/>
        <w:rPr/>
      </w:pPr>
      <w:r>
        <w:rPr>
          <w:b/>
          <w:color w:val="2F6B3F"/>
        </w:rPr>
        <w:t xml:space="preserve">Réponse de référence : </w:t>
      </w:r>
      <w:r>
        <w:rPr/>
        <w:t>ESPACE PARENTS</w:t>
        <w:br/>
        <w:t>• ESPACE PARENTS &gt; FAQ</w:t>
      </w:r>
    </w:p>
    <w:p>
      <w:pPr>
        <w:pStyle w:val="QuestionGSE"/>
        <w:rPr/>
      </w:pPr>
      <w:r>
        <w:rPr/>
        <w:t>Q8. Que doit retenir un parent après lecture de la section « ESPACE PARENTS » ?</w:t>
      </w:r>
    </w:p>
    <w:p>
      <w:pPr>
        <w:pStyle w:val="AnswerGSE"/>
        <w:shd w:fill="F3F4F6"/>
        <w:rPr/>
      </w:pPr>
      <w:r>
        <w:rPr>
          <w:b/>
          <w:color w:val="2F6B3F"/>
        </w:rPr>
        <w:t xml:space="preserve">Réponse de référence : </w:t>
      </w:r>
      <w:r>
        <w:rPr/>
        <w:t>ESPACE PARENTS</w:t>
        <w:br/>
        <w:t>• ESPACE PARENTS &gt; FAQ</w:t>
      </w:r>
    </w:p>
    <w:p>
      <w:pPr>
        <w:pStyle w:val="QuestionGSE"/>
        <w:rPr/>
      </w:pPr>
      <w:r>
        <w:rPr/>
        <w:t>Q9. Quelle réponse de référence doit rester strictement liée au contenu publié sous « ESPACE PARENTS » ?</w:t>
      </w:r>
    </w:p>
    <w:p>
      <w:pPr>
        <w:pStyle w:val="AnswerGSE"/>
        <w:shd w:fill="F3F4F6"/>
        <w:rPr/>
      </w:pPr>
      <w:r>
        <w:rPr>
          <w:b/>
          <w:color w:val="2F6B3F"/>
        </w:rPr>
        <w:t xml:space="preserve">Réponse de référence : </w:t>
      </w:r>
      <w:r>
        <w:rPr/>
        <w:t>ESPACE PARENTS</w:t>
        <w:br/>
        <w:t>• ESPACE PARENTS &gt; FAQ</w:t>
      </w:r>
    </w:p>
    <w:p>
      <w:pPr>
        <w:pStyle w:val="QuestionGSE"/>
        <w:rPr/>
      </w:pPr>
      <w:r>
        <w:rPr/>
        <w:t>Q10. Comment résumer la section « ESPACE PARENTS » sans ajouter d’information extérieure ?</w:t>
      </w:r>
    </w:p>
    <w:p>
      <w:pPr>
        <w:pStyle w:val="AnswerGSE"/>
        <w:shd w:fill="F3F4F6"/>
        <w:rPr/>
      </w:pPr>
      <w:r>
        <w:rPr>
          <w:b/>
          <w:color w:val="2F6B3F"/>
        </w:rPr>
        <w:t xml:space="preserve">Réponse de référence : </w:t>
      </w:r>
      <w:r>
        <w:rPr/>
        <w:t>ESPACE PARENTS</w:t>
        <w:br/>
        <w:t>• ESPACE PARENTS &gt; FAQ</w:t>
      </w:r>
    </w:p>
    <w:p>
      <w:pPr>
        <w:pStyle w:val="Normal"/>
        <w:rPr/>
      </w:pPr>
      <w:r>
        <w:rPr/>
      </w:r>
      <w:r>
        <w:br w:type="page"/>
      </w:r>
    </w:p>
    <w:p>
      <w:pPr>
        <w:pStyle w:val="Heading2"/>
        <w:spacing w:before="0" w:after="100"/>
        <w:rPr/>
      </w:pPr>
      <w:r>
        <w:rPr/>
        <w:t>13. SE CONNECTER</w:t>
      </w:r>
    </w:p>
    <w:p>
      <w:pPr>
        <w:pStyle w:val="Normal"/>
        <w:rPr/>
      </w:pPr>
      <w:r>
        <w:rPr>
          <w:b/>
          <w:color w:val="D4AF37"/>
          <w:sz w:val="16"/>
        </w:rPr>
        <w:t>PARTIE I — NAVIGATION</w:t>
      </w:r>
    </w:p>
    <w:p>
      <w:pPr>
        <w:pStyle w:val="Heading3"/>
        <w:rPr/>
      </w:pPr>
      <w:r>
        <w:rPr/>
        <w:t>Texte-source ou intitulés relevés</w:t>
      </w:r>
    </w:p>
    <w:p>
      <w:pPr>
        <w:pStyle w:val="SourceGSE"/>
        <w:pBdr>
          <w:left w:val="single" w:sz="12" w:space="6" w:color="0B3D91"/>
        </w:pBdr>
        <w:shd w:fill="EAF2FB"/>
        <w:rPr/>
      </w:pPr>
      <w:r>
        <w:rPr/>
        <w:t>SE CONNECTER</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indique l’entrée vers un espace numérique nécessitant une identification.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prépare l’accès sécurisé à des services personnalisés qui ne doivent pas être ouverts indistinctement au public.</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naturellement lié à l’Espace Parents et, selon le développement du portail, aux services administratifs et pédagogiques.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3 du relevé — Intitulé(s) de navigation relevé(s)</w:t>
            </w:r>
          </w:p>
        </w:tc>
      </w:tr>
    </w:tbl>
    <w:p>
      <w:pPr>
        <w:pStyle w:val="Heading3"/>
        <w:rPr/>
      </w:pPr>
      <w:r>
        <w:rPr/>
        <w:t>Banque de questions — 10 questions</w:t>
      </w:r>
    </w:p>
    <w:p>
      <w:pPr>
        <w:pStyle w:val="QuestionGSE"/>
        <w:rPr/>
      </w:pPr>
      <w:r>
        <w:rPr/>
        <w:t>Q1. Quel est l’intitulé exact de cette rubrique de navigation ?</w:t>
      </w:r>
    </w:p>
    <w:p>
      <w:pPr>
        <w:pStyle w:val="AnswerGSE"/>
        <w:shd w:fill="F3F4F6"/>
        <w:rPr/>
      </w:pPr>
      <w:r>
        <w:rPr>
          <w:b/>
          <w:color w:val="2F6B3F"/>
        </w:rPr>
        <w:t xml:space="preserve">Réponse de référence : </w:t>
      </w:r>
      <w:r>
        <w:rPr/>
        <w:t>SE CONNECTER</w:t>
      </w:r>
    </w:p>
    <w:p>
      <w:pPr>
        <w:pStyle w:val="QuestionGSE"/>
        <w:rPr/>
      </w:pPr>
      <w:r>
        <w:rPr/>
        <w:t>Q2. Quelle rubrique du menu permet d’accéder aux contenus liés à « SE CONNECTER » ?</w:t>
      </w:r>
    </w:p>
    <w:p>
      <w:pPr>
        <w:pStyle w:val="AnswerGSE"/>
        <w:shd w:fill="F3F4F6"/>
        <w:rPr/>
      </w:pPr>
      <w:r>
        <w:rPr>
          <w:b/>
          <w:color w:val="2F6B3F"/>
        </w:rPr>
        <w:t xml:space="preserve">Réponse de référence : </w:t>
      </w:r>
      <w:r>
        <w:rPr/>
        <w:t>SE CONNECTER</w:t>
      </w:r>
    </w:p>
    <w:p>
      <w:pPr>
        <w:pStyle w:val="QuestionGSE"/>
        <w:rPr/>
      </w:pPr>
      <w:r>
        <w:rPr/>
        <w:t>Q3. Quel message la page d’accueil associe-t-elle au titre « SE CONNECTER » ?</w:t>
      </w:r>
    </w:p>
    <w:p>
      <w:pPr>
        <w:pStyle w:val="AnswerGSE"/>
        <w:shd w:fill="F3F4F6"/>
        <w:rPr/>
      </w:pPr>
      <w:r>
        <w:rPr>
          <w:b/>
          <w:color w:val="2F6B3F"/>
        </w:rPr>
        <w:t xml:space="preserve">Réponse de référence : </w:t>
      </w:r>
      <w:r>
        <w:rPr/>
        <w:t>SE CONNECTER</w:t>
      </w:r>
    </w:p>
    <w:p>
      <w:pPr>
        <w:pStyle w:val="QuestionGSE"/>
        <w:rPr/>
      </w:pPr>
      <w:r>
        <w:rPr/>
        <w:t>Q4. Que doit répondre un agent lorsqu’un visiteur demande ce que dit la section « SE CONNECTER » ?</w:t>
      </w:r>
    </w:p>
    <w:p>
      <w:pPr>
        <w:pStyle w:val="AnswerGSE"/>
        <w:shd w:fill="F3F4F6"/>
        <w:rPr/>
      </w:pPr>
      <w:r>
        <w:rPr>
          <w:b/>
          <w:color w:val="2F6B3F"/>
        </w:rPr>
        <w:t xml:space="preserve">Réponse de référence : </w:t>
      </w:r>
      <w:r>
        <w:rPr/>
        <w:t>SE CONNECTER</w:t>
      </w:r>
    </w:p>
    <w:p>
      <w:pPr>
        <w:pStyle w:val="QuestionGSE"/>
        <w:rPr/>
      </w:pPr>
      <w:r>
        <w:rPr/>
        <w:t>Q5. Quelle formulation de la page d’accueil permet de présenter fidèlement « SE CONNECTER » ?</w:t>
      </w:r>
    </w:p>
    <w:p>
      <w:pPr>
        <w:pStyle w:val="AnswerGSE"/>
        <w:shd w:fill="F3F4F6"/>
        <w:rPr/>
      </w:pPr>
      <w:r>
        <w:rPr>
          <w:b/>
          <w:color w:val="2F6B3F"/>
        </w:rPr>
        <w:t xml:space="preserve">Réponse de référence : </w:t>
      </w:r>
      <w:r>
        <w:rPr/>
        <w:t>SE CONNECTER</w:t>
      </w:r>
    </w:p>
    <w:p>
      <w:pPr>
        <w:pStyle w:val="QuestionGSE"/>
        <w:rPr/>
      </w:pPr>
      <w:r>
        <w:rPr/>
        <w:t>Q6. Que doit retenir un parent après lecture de la section « SE CONNECTER » ?</w:t>
      </w:r>
    </w:p>
    <w:p>
      <w:pPr>
        <w:pStyle w:val="AnswerGSE"/>
        <w:shd w:fill="F3F4F6"/>
        <w:rPr/>
      </w:pPr>
      <w:r>
        <w:rPr>
          <w:b/>
          <w:color w:val="2F6B3F"/>
        </w:rPr>
        <w:t xml:space="preserve">Réponse de référence : </w:t>
      </w:r>
      <w:r>
        <w:rPr/>
        <w:t>SE CONNECTER</w:t>
      </w:r>
    </w:p>
    <w:p>
      <w:pPr>
        <w:pStyle w:val="QuestionGSE"/>
        <w:rPr/>
      </w:pPr>
      <w:r>
        <w:rPr/>
        <w:t>Q7. Quelle réponse de référence doit rester strictement liée au contenu publié sous « SE CONNECTER » ?</w:t>
      </w:r>
    </w:p>
    <w:p>
      <w:pPr>
        <w:pStyle w:val="AnswerGSE"/>
        <w:shd w:fill="F3F4F6"/>
        <w:rPr/>
      </w:pPr>
      <w:r>
        <w:rPr>
          <w:b/>
          <w:color w:val="2F6B3F"/>
        </w:rPr>
        <w:t xml:space="preserve">Réponse de référence : </w:t>
      </w:r>
      <w:r>
        <w:rPr/>
        <w:t>SE CONNECTER</w:t>
      </w:r>
    </w:p>
    <w:p>
      <w:pPr>
        <w:pStyle w:val="QuestionGSE"/>
        <w:rPr/>
      </w:pPr>
      <w:r>
        <w:rPr/>
        <w:t>Q8. Comment résumer la section « SE CONNECTER » sans ajouter d’information extérieure ?</w:t>
      </w:r>
    </w:p>
    <w:p>
      <w:pPr>
        <w:pStyle w:val="AnswerGSE"/>
        <w:shd w:fill="F3F4F6"/>
        <w:rPr/>
      </w:pPr>
      <w:r>
        <w:rPr>
          <w:b/>
          <w:color w:val="2F6B3F"/>
        </w:rPr>
        <w:t xml:space="preserve">Réponse de référence : </w:t>
      </w:r>
      <w:r>
        <w:rPr/>
        <w:t>SE CONNECTER</w:t>
      </w:r>
    </w:p>
    <w:p>
      <w:pPr>
        <w:pStyle w:val="QuestionGSE"/>
        <w:rPr/>
      </w:pPr>
      <w:r>
        <w:rPr/>
        <w:t>Q9. Quel contenu publié justifie le titre « SE CONNECTER » ?</w:t>
      </w:r>
    </w:p>
    <w:p>
      <w:pPr>
        <w:pStyle w:val="AnswerGSE"/>
        <w:shd w:fill="F3F4F6"/>
        <w:rPr/>
      </w:pPr>
      <w:r>
        <w:rPr>
          <w:b/>
          <w:color w:val="2F6B3F"/>
        </w:rPr>
        <w:t xml:space="preserve">Réponse de référence : </w:t>
      </w:r>
      <w:r>
        <w:rPr/>
        <w:t>SE CONNECTER</w:t>
      </w:r>
    </w:p>
    <w:p>
      <w:pPr>
        <w:pStyle w:val="QuestionGSE"/>
        <w:rPr/>
      </w:pPr>
      <w:r>
        <w:rPr/>
        <w:t>Q10. Quelle phrase peut être utilisée par la FAQ pour répondre à une question sur « SE CONNECTER » ?</w:t>
      </w:r>
    </w:p>
    <w:p>
      <w:pPr>
        <w:pStyle w:val="AnswerGSE"/>
        <w:shd w:fill="F3F4F6"/>
        <w:rPr/>
      </w:pPr>
      <w:r>
        <w:rPr>
          <w:b/>
          <w:color w:val="2F6B3F"/>
        </w:rPr>
        <w:t xml:space="preserve">Réponse de référence : </w:t>
      </w:r>
      <w:r>
        <w:rPr/>
        <w:t>SE CONNECTER</w:t>
      </w:r>
    </w:p>
    <w:p>
      <w:pPr>
        <w:pStyle w:val="Normal"/>
        <w:rPr/>
      </w:pPr>
      <w:r>
        <w:rPr/>
      </w:r>
      <w:r>
        <w:br w:type="page"/>
      </w:r>
    </w:p>
    <w:p>
      <w:pPr>
        <w:pStyle w:val="Normal"/>
        <w:spacing w:before="0" w:after="80"/>
        <w:jc w:val="center"/>
        <w:rPr/>
      </w:pPr>
      <w:r>
        <w:rPr>
          <w:b/>
          <w:color w:val="0B3D91"/>
          <w:sz w:val="46"/>
        </w:rPr>
        <w:t>PARTIE II</w:t>
      </w:r>
    </w:p>
    <w:p>
      <w:pPr>
        <w:pStyle w:val="Normal"/>
        <w:jc w:val="center"/>
        <w:rPr/>
      </w:pPr>
      <w:r>
        <w:rPr>
          <w:i/>
          <w:color w:val="253247"/>
          <w:sz w:val="24"/>
        </w:rPr>
        <w:t>Messages institutionnels, programmes et confiance</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Normal"/>
        <w:jc w:val="center"/>
        <w:rPr/>
      </w:pPr>
      <w:r>
        <w:rPr/>
        <w:drawing>
          <wp:inline distT="0" distB="0" distL="0" distR="0">
            <wp:extent cx="5831840" cy="3280410"/>
            <wp:effectExtent l="0" t="0" r="0" b="0"/>
            <wp:docPr id="4"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title=""/>
                    <pic:cNvPicPr>
                      <a:picLocks noChangeAspect="1" noChangeArrowheads="1"/>
                    </pic:cNvPicPr>
                  </pic:nvPicPr>
                  <pic:blipFill>
                    <a:blip r:embed="rId5"/>
                    <a:stretch>
                      <a:fillRect/>
                    </a:stretch>
                  </pic:blipFill>
                  <pic:spPr bwMode="auto">
                    <a:xfrm>
                      <a:off x="0" y="0"/>
                      <a:ext cx="5831840" cy="3280410"/>
                    </a:xfrm>
                    <a:prstGeom prst="rect">
                      <a:avLst/>
                    </a:prstGeom>
                    <a:noFill/>
                  </pic:spPr>
                </pic:pic>
              </a:graphicData>
            </a:graphic>
          </wp:inline>
        </w:drawing>
      </w:r>
    </w:p>
    <w:p>
      <w:pPr>
        <w:pStyle w:val="Normal"/>
        <w:rPr/>
      </w:pPr>
      <w:r>
        <w:rPr/>
      </w:r>
      <w:r>
        <w:br w:type="page"/>
      </w:r>
    </w:p>
    <w:p>
      <w:pPr>
        <w:pStyle w:val="Heading2"/>
        <w:spacing w:before="0" w:after="100"/>
        <w:rPr/>
      </w:pPr>
      <w:r>
        <w:rPr/>
        <w:t>14. POURQUOI CHOISIR LE GROUPE SCOLAIRE LES ÉMINENTS ?</w:t>
      </w:r>
    </w:p>
    <w:p>
      <w:pPr>
        <w:pStyle w:val="Normal"/>
        <w:rPr/>
      </w:pPr>
      <w:r>
        <w:rPr>
          <w:b/>
          <w:color w:val="D4AF37"/>
          <w:sz w:val="16"/>
        </w:rPr>
        <w:t>PARTIE II — CONTENUS DE LA PAGE</w:t>
      </w:r>
    </w:p>
    <w:p>
      <w:pPr>
        <w:pStyle w:val="Normal"/>
        <w:jc w:val="center"/>
        <w:rPr/>
      </w:pPr>
      <w:r>
        <w:rPr/>
        <w:drawing>
          <wp:inline distT="0" distB="0" distL="0" distR="0">
            <wp:extent cx="5687695" cy="3199765"/>
            <wp:effectExtent l="0" t="0" r="0" b="0"/>
            <wp:docPr id="5"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title=""/>
                    <pic:cNvPicPr>
                      <a:picLocks noChangeAspect="1" noChangeArrowheads="1"/>
                    </pic:cNvPicPr>
                  </pic:nvPicPr>
                  <pic:blipFill>
                    <a:blip r:embed="rId6"/>
                    <a:stretch>
                      <a:fillRect/>
                    </a:stretch>
                  </pic:blipFill>
                  <pic:spPr bwMode="auto">
                    <a:xfrm>
                      <a:off x="0" y="0"/>
                      <a:ext cx="5687695" cy="3199765"/>
                    </a:xfrm>
                    <a:prstGeom prst="rect">
                      <a:avLst/>
                    </a:prstGeom>
                    <a:noFill/>
                  </pic:spPr>
                </pic:pic>
              </a:graphicData>
            </a:graphic>
          </wp:inline>
        </w:drawing>
      </w:r>
    </w:p>
    <w:p>
      <w:pPr>
        <w:pStyle w:val="SmallGSE"/>
        <w:jc w:val="center"/>
        <w:rPr/>
      </w:pPr>
      <w:r>
        <w:rPr/>
        <w:t>Visuel de référence intégré au document source.</w:t>
      </w:r>
    </w:p>
    <w:p>
      <w:pPr>
        <w:pStyle w:val="Heading3"/>
        <w:rPr/>
      </w:pPr>
      <w:r>
        <w:rPr/>
        <w:t>Texte-source ou intitulés relevés</w:t>
      </w:r>
    </w:p>
    <w:p>
      <w:pPr>
        <w:pStyle w:val="SourceGSE"/>
        <w:pBdr>
          <w:left w:val="single" w:sz="12" w:space="6" w:color="0B3D91"/>
        </w:pBdr>
        <w:shd w:fill="EAF2FB"/>
        <w:rPr/>
      </w:pPr>
      <w:r>
        <w:rPr/>
        <w:t>Le Groupe Scolaire LES ÉMINENTS offre un environnement d’apprentissage sécurisé, bilingue et chrétien, où chaque enfant est accompagné vers l’excellence académique, le leadership, l’innovation et l’épanouissement personnel.</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répond directement à la question centrale d’un parent qui compare plusieurs établissements scolaires.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condense la proposition de valeur de l’école et donne des raisons immédiates de poursuivre la visite ou d’envisager une inscription.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introduit les six arguments suivants et se relie aux programmes, aux admissions, à la confiance des parents et à la vie scolaire.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Quel type d’environnement d’apprentissage l’école annonce-t-elle ?</w:t>
      </w:r>
    </w:p>
    <w:p>
      <w:pPr>
        <w:pStyle w:val="AnswerGSE"/>
        <w:shd w:fill="F3F4F6"/>
        <w:rPr/>
      </w:pPr>
      <w:r>
        <w:rPr>
          <w:b/>
          <w:color w:val="2F6B3F"/>
        </w:rPr>
        <w:t xml:space="preserve">Réponse de référence : </w:t>
      </w:r>
      <w:r>
        <w:rPr/>
        <w:t>Un environnement d’apprentissage sécurisé, bilingue et chrétien.</w:t>
      </w:r>
    </w:p>
    <w:p>
      <w:pPr>
        <w:pStyle w:val="QuestionGSE"/>
        <w:rPr/>
      </w:pPr>
      <w:r>
        <w:rPr/>
        <w:t>Q2. Qui est accompagné dans cet environnement ?</w:t>
      </w:r>
    </w:p>
    <w:p>
      <w:pPr>
        <w:pStyle w:val="AnswerGSE"/>
        <w:shd w:fill="F3F4F6"/>
        <w:rPr/>
      </w:pPr>
      <w:r>
        <w:rPr>
          <w:b/>
          <w:color w:val="2F6B3F"/>
        </w:rPr>
        <w:t xml:space="preserve">Réponse de référence : </w:t>
      </w:r>
      <w:r>
        <w:rPr/>
        <w:t>Chaque enfant.</w:t>
      </w:r>
    </w:p>
    <w:p>
      <w:pPr>
        <w:pStyle w:val="QuestionGSE"/>
        <w:rPr/>
      </w:pPr>
      <w:r>
        <w:rPr/>
        <w:t>Q3. Vers quel objectif académique chaque enfant est-il accompagné ?</w:t>
      </w:r>
    </w:p>
    <w:p>
      <w:pPr>
        <w:pStyle w:val="AnswerGSE"/>
        <w:shd w:fill="F3F4F6"/>
        <w:rPr/>
      </w:pPr>
      <w:r>
        <w:rPr>
          <w:b/>
          <w:color w:val="2F6B3F"/>
        </w:rPr>
        <w:t xml:space="preserve">Réponse de référence : </w:t>
      </w:r>
      <w:r>
        <w:rPr/>
        <w:t>L’excellence académique.</w:t>
      </w:r>
    </w:p>
    <w:p>
      <w:pPr>
        <w:pStyle w:val="QuestionGSE"/>
        <w:rPr/>
      </w:pPr>
      <w:r>
        <w:rPr/>
        <w:t>Q4. Quelle aptitude de direction est citée parmi les objectifs ?</w:t>
      </w:r>
    </w:p>
    <w:p>
      <w:pPr>
        <w:pStyle w:val="AnswerGSE"/>
        <w:shd w:fill="F3F4F6"/>
        <w:rPr/>
      </w:pPr>
      <w:r>
        <w:rPr>
          <w:b/>
          <w:color w:val="2F6B3F"/>
        </w:rPr>
        <w:t xml:space="preserve">Réponse de référence : </w:t>
      </w:r>
      <w:r>
        <w:rPr/>
        <w:t>Le leadership.</w:t>
      </w:r>
    </w:p>
    <w:p>
      <w:pPr>
        <w:pStyle w:val="QuestionGSE"/>
        <w:rPr/>
      </w:pPr>
      <w:r>
        <w:rPr/>
        <w:t>Q5. Quelle dimension de modernisation est mentionnée ?</w:t>
      </w:r>
    </w:p>
    <w:p>
      <w:pPr>
        <w:pStyle w:val="AnswerGSE"/>
        <w:shd w:fill="F3F4F6"/>
        <w:rPr/>
      </w:pPr>
      <w:r>
        <w:rPr>
          <w:b/>
          <w:color w:val="2F6B3F"/>
        </w:rPr>
        <w:t xml:space="preserve">Réponse de référence : </w:t>
      </w:r>
      <w:r>
        <w:rPr/>
        <w:t>L’innovation.</w:t>
      </w:r>
    </w:p>
    <w:p>
      <w:pPr>
        <w:pStyle w:val="QuestionGSE"/>
        <w:rPr/>
      </w:pPr>
      <w:r>
        <w:rPr/>
        <w:t>Q6. Quel objectif de développement individuel est visé ?</w:t>
      </w:r>
    </w:p>
    <w:p>
      <w:pPr>
        <w:pStyle w:val="AnswerGSE"/>
        <w:shd w:fill="F3F4F6"/>
        <w:rPr/>
      </w:pPr>
      <w:r>
        <w:rPr>
          <w:b/>
          <w:color w:val="2F6B3F"/>
        </w:rPr>
        <w:t xml:space="preserve">Réponse de référence : </w:t>
      </w:r>
      <w:r>
        <w:rPr/>
        <w:t>L’épanouissement personnel.</w:t>
      </w:r>
    </w:p>
    <w:p>
      <w:pPr>
        <w:pStyle w:val="QuestionGSE"/>
        <w:rPr/>
      </w:pPr>
      <w:r>
        <w:rPr/>
        <w:t>Q7. Quelles sont les trois caractéristiques immédiates de l’environnement ?</w:t>
      </w:r>
    </w:p>
    <w:p>
      <w:pPr>
        <w:pStyle w:val="AnswerGSE"/>
        <w:shd w:fill="F3F4F6"/>
        <w:rPr/>
      </w:pPr>
      <w:r>
        <w:rPr>
          <w:b/>
          <w:color w:val="2F6B3F"/>
        </w:rPr>
        <w:t xml:space="preserve">Réponse de référence : </w:t>
      </w:r>
      <w:r>
        <w:rPr/>
        <w:t>Sécurisé, bilingue et chrétien.</w:t>
      </w:r>
    </w:p>
    <w:p>
      <w:pPr>
        <w:pStyle w:val="QuestionGSE"/>
        <w:rPr/>
      </w:pPr>
      <w:r>
        <w:rPr/>
        <w:t>Q8. Quel message la page d’accueil associe-t-elle au titre « POURQUOI CHOISIR LE GROUPE SCOLAIRE LES ÉMINENTS ? » ?</w:t>
      </w:r>
    </w:p>
    <w:p>
      <w:pPr>
        <w:pStyle w:val="AnswerGSE"/>
        <w:shd w:fill="F3F4F6"/>
        <w:rPr/>
      </w:pPr>
      <w:r>
        <w:rPr>
          <w:b/>
          <w:color w:val="2F6B3F"/>
        </w:rPr>
        <w:t xml:space="preserve">Réponse de référence : </w:t>
      </w:r>
      <w:r>
        <w:rPr/>
        <w:t>Le Groupe Scolaire LES ÉMINENTS offre un environnement d’apprentissage sécurisé, bilingue et chrétien, où chaque enfant est accompagné vers l’excellence académique, le leadership, l’innovation et l’épanouissement personnel.</w:t>
      </w:r>
    </w:p>
    <w:p>
      <w:pPr>
        <w:pStyle w:val="QuestionGSE"/>
        <w:rPr/>
      </w:pPr>
      <w:r>
        <w:rPr/>
        <w:t>Q9. Que doit répondre un agent lorsqu’un visiteur demande ce que dit la section « POURQUOI CHOISIR LE GROUPE SCOLAIRE LES ÉMINENTS ? » ?</w:t>
      </w:r>
    </w:p>
    <w:p>
      <w:pPr>
        <w:pStyle w:val="AnswerGSE"/>
        <w:shd w:fill="F3F4F6"/>
        <w:rPr/>
      </w:pPr>
      <w:r>
        <w:rPr>
          <w:b/>
          <w:color w:val="2F6B3F"/>
        </w:rPr>
        <w:t xml:space="preserve">Réponse de référence : </w:t>
      </w:r>
      <w:r>
        <w:rPr/>
        <w:t>Le Groupe Scolaire LES ÉMINENTS offre un environnement d’apprentissage sécurisé, bilingue et chrétien, où chaque enfant est accompagné vers l’excellence académique, le leadership, l’innovation et l’épanouissement personnel.</w:t>
      </w:r>
    </w:p>
    <w:p>
      <w:pPr>
        <w:pStyle w:val="QuestionGSE"/>
        <w:rPr/>
      </w:pPr>
      <w:r>
        <w:rPr/>
        <w:t>Q10. Quelle formulation de la page d’accueil permet de présenter fidèlement « POURQUOI CHOISIR LE GROUPE SCOLAIRE LES ÉMINENTS ? » ?</w:t>
      </w:r>
    </w:p>
    <w:p>
      <w:pPr>
        <w:pStyle w:val="AnswerGSE"/>
        <w:shd w:fill="F3F4F6"/>
        <w:rPr/>
      </w:pPr>
      <w:r>
        <w:rPr>
          <w:b/>
          <w:color w:val="2F6B3F"/>
        </w:rPr>
        <w:t xml:space="preserve">Réponse de référence : </w:t>
      </w:r>
      <w:r>
        <w:rPr/>
        <w:t>Le Groupe Scolaire LES ÉMINENTS offre un environnement d’apprentissage sécurisé, bilingue et chrétien, où chaque enfant est accompagné vers l’excellence académique, le leadership, l’innovation et l’épanouissement personnel.</w:t>
      </w:r>
    </w:p>
    <w:p>
      <w:pPr>
        <w:pStyle w:val="Normal"/>
        <w:rPr/>
      </w:pPr>
      <w:r>
        <w:rPr/>
      </w:r>
      <w:r>
        <w:br w:type="page"/>
      </w:r>
    </w:p>
    <w:p>
      <w:pPr>
        <w:pStyle w:val="Heading2"/>
        <w:spacing w:before="0" w:after="100"/>
        <w:rPr/>
      </w:pPr>
      <w:r>
        <w:rPr/>
        <w:t>15. Excellence académique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 enseignement rigoureux favorisant la réussite et le développement du potentiel de chaque élève.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met en avant la qualité et l’exigence du travail scolaire.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L’excellence académique constitue l’une des attentes majeures des familles et une finalité centrale du projet éducatif.</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liée aux programmes, à la pédagogie, à l’innovation, à l’encadrement personnalisé et aux résultats.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Comment l’enseignement est-il qualifié ?</w:t>
      </w:r>
    </w:p>
    <w:p>
      <w:pPr>
        <w:pStyle w:val="AnswerGSE"/>
        <w:shd w:fill="F3F4F6"/>
        <w:rPr/>
      </w:pPr>
      <w:r>
        <w:rPr>
          <w:b/>
          <w:color w:val="2F6B3F"/>
        </w:rPr>
        <w:t xml:space="preserve">Réponse de référence : </w:t>
      </w:r>
      <w:r>
        <w:rPr/>
        <w:t>Rigoureux.</w:t>
      </w:r>
    </w:p>
    <w:p>
      <w:pPr>
        <w:pStyle w:val="QuestionGSE"/>
        <w:rPr/>
      </w:pPr>
      <w:r>
        <w:rPr/>
        <w:t>Q2. Que favorise cet enseignement ?</w:t>
      </w:r>
    </w:p>
    <w:p>
      <w:pPr>
        <w:pStyle w:val="AnswerGSE"/>
        <w:shd w:fill="F3F4F6"/>
        <w:rPr/>
      </w:pPr>
      <w:r>
        <w:rPr>
          <w:b/>
          <w:color w:val="2F6B3F"/>
        </w:rPr>
        <w:t xml:space="preserve">Réponse de référence : </w:t>
      </w:r>
      <w:r>
        <w:rPr/>
        <w:t>La réussite.</w:t>
      </w:r>
    </w:p>
    <w:p>
      <w:pPr>
        <w:pStyle w:val="QuestionGSE"/>
        <w:rPr/>
      </w:pPr>
      <w:r>
        <w:rPr/>
        <w:t>Q3. Quel aspect de l’élève doit être développé ?</w:t>
      </w:r>
    </w:p>
    <w:p>
      <w:pPr>
        <w:pStyle w:val="AnswerGSE"/>
        <w:shd w:fill="F3F4F6"/>
        <w:rPr/>
      </w:pPr>
      <w:r>
        <w:rPr>
          <w:b/>
          <w:color w:val="2F6B3F"/>
        </w:rPr>
        <w:t xml:space="preserve">Réponse de référence : </w:t>
      </w:r>
      <w:r>
        <w:rPr/>
        <w:t>Le potentiel de chaque élève.</w:t>
      </w:r>
    </w:p>
    <w:p>
      <w:pPr>
        <w:pStyle w:val="QuestionGSE"/>
        <w:rPr/>
      </w:pPr>
      <w:r>
        <w:rPr/>
        <w:t>Q4. À qui le développement du potentiel s’applique-t-il ?</w:t>
      </w:r>
    </w:p>
    <w:p>
      <w:pPr>
        <w:pStyle w:val="AnswerGSE"/>
        <w:shd w:fill="F3F4F6"/>
        <w:rPr/>
      </w:pPr>
      <w:r>
        <w:rPr>
          <w:b/>
          <w:color w:val="2F6B3F"/>
        </w:rPr>
        <w:t xml:space="preserve">Réponse de référence : </w:t>
      </w:r>
      <w:r>
        <w:rPr/>
        <w:t>À chaque élève.</w:t>
      </w:r>
    </w:p>
    <w:p>
      <w:pPr>
        <w:pStyle w:val="QuestionGSE"/>
        <w:rPr/>
      </w:pPr>
      <w:r>
        <w:rPr/>
        <w:t>Q5. Quels sont les deux effets explicitement attendus ?</w:t>
      </w:r>
    </w:p>
    <w:p>
      <w:pPr>
        <w:pStyle w:val="AnswerGSE"/>
        <w:shd w:fill="F3F4F6"/>
        <w:rPr/>
      </w:pPr>
      <w:r>
        <w:rPr>
          <w:b/>
          <w:color w:val="2F6B3F"/>
        </w:rPr>
        <w:t xml:space="preserve">Réponse de référence : </w:t>
      </w:r>
      <w:r>
        <w:rPr/>
        <w:t>La réussite et le développement du potentiel de chaque élève.</w:t>
      </w:r>
    </w:p>
    <w:p>
      <w:pPr>
        <w:pStyle w:val="QuestionGSE"/>
        <w:rPr/>
      </w:pPr>
      <w:r>
        <w:rPr/>
        <w:t>Q6. Quelle expression résume l’exigence pédagogique ?</w:t>
      </w:r>
    </w:p>
    <w:p>
      <w:pPr>
        <w:pStyle w:val="AnswerGSE"/>
        <w:shd w:fill="F3F4F6"/>
        <w:rPr/>
      </w:pPr>
      <w:r>
        <w:rPr>
          <w:b/>
          <w:color w:val="2F6B3F"/>
        </w:rPr>
        <w:t xml:space="preserve">Réponse de référence : </w:t>
      </w:r>
      <w:r>
        <w:rPr/>
        <w:t>Un enseignement rigoureux.</w:t>
      </w:r>
    </w:p>
    <w:p>
      <w:pPr>
        <w:pStyle w:val="QuestionGSE"/>
        <w:rPr/>
      </w:pPr>
      <w:r>
        <w:rPr/>
        <w:t>Q7. Quel message la page d’accueil associe-t-elle au titre « Excellence académique — argument de choix » ?</w:t>
      </w:r>
    </w:p>
    <w:p>
      <w:pPr>
        <w:pStyle w:val="AnswerGSE"/>
        <w:shd w:fill="F3F4F6"/>
        <w:rPr/>
      </w:pPr>
      <w:r>
        <w:rPr>
          <w:b/>
          <w:color w:val="2F6B3F"/>
        </w:rPr>
        <w:t xml:space="preserve">Réponse de référence : </w:t>
      </w:r>
      <w:r>
        <w:rPr/>
        <w:t>Un enseignement rigoureux favorisant la réussite et le développement du potentiel de chaque élève.</w:t>
      </w:r>
    </w:p>
    <w:p>
      <w:pPr>
        <w:pStyle w:val="QuestionGSE"/>
        <w:rPr/>
      </w:pPr>
      <w:r>
        <w:rPr/>
        <w:t>Q8. Que doit répondre un agent lorsqu’un visiteur demande ce que dit la section « Excellence académique — argument de choix » ?</w:t>
      </w:r>
    </w:p>
    <w:p>
      <w:pPr>
        <w:pStyle w:val="AnswerGSE"/>
        <w:shd w:fill="F3F4F6"/>
        <w:rPr/>
      </w:pPr>
      <w:r>
        <w:rPr>
          <w:b/>
          <w:color w:val="2F6B3F"/>
        </w:rPr>
        <w:t xml:space="preserve">Réponse de référence : </w:t>
      </w:r>
      <w:r>
        <w:rPr/>
        <w:t>Un enseignement rigoureux favorisant la réussite et le développement du potentiel de chaque élève.</w:t>
      </w:r>
    </w:p>
    <w:p>
      <w:pPr>
        <w:pStyle w:val="QuestionGSE"/>
        <w:rPr/>
      </w:pPr>
      <w:r>
        <w:rPr/>
        <w:t>Q9. Quelle formulation de la page d’accueil permet de présenter fidèlement « Excellence académique — argument de choix » ?</w:t>
      </w:r>
    </w:p>
    <w:p>
      <w:pPr>
        <w:pStyle w:val="AnswerGSE"/>
        <w:shd w:fill="F3F4F6"/>
        <w:rPr/>
      </w:pPr>
      <w:r>
        <w:rPr>
          <w:b/>
          <w:color w:val="2F6B3F"/>
        </w:rPr>
        <w:t xml:space="preserve">Réponse de référence : </w:t>
      </w:r>
      <w:r>
        <w:rPr/>
        <w:t>Un enseignement rigoureux favorisant la réussite et le développement du potentiel de chaque élève.</w:t>
      </w:r>
    </w:p>
    <w:p>
      <w:pPr>
        <w:pStyle w:val="QuestionGSE"/>
        <w:rPr/>
      </w:pPr>
      <w:r>
        <w:rPr/>
        <w:t>Q10. Que doit retenir un parent après lecture de la section « Excellence académique — argument de choix » ?</w:t>
      </w:r>
    </w:p>
    <w:p>
      <w:pPr>
        <w:pStyle w:val="AnswerGSE"/>
        <w:shd w:fill="F3F4F6"/>
        <w:rPr/>
      </w:pPr>
      <w:r>
        <w:rPr>
          <w:b/>
          <w:color w:val="2F6B3F"/>
        </w:rPr>
        <w:t xml:space="preserve">Réponse de référence : </w:t>
      </w:r>
      <w:r>
        <w:rPr/>
        <w:t>Un enseignement rigoureux favorisant la réussite et le développement du potentiel de chaque élève.</w:t>
      </w:r>
    </w:p>
    <w:p>
      <w:pPr>
        <w:pStyle w:val="Normal"/>
        <w:rPr/>
      </w:pPr>
      <w:r>
        <w:rPr/>
      </w:r>
      <w:r>
        <w:br w:type="page"/>
      </w:r>
    </w:p>
    <w:p>
      <w:pPr>
        <w:pStyle w:val="Heading2"/>
        <w:spacing w:before="0" w:after="100"/>
        <w:rPr/>
      </w:pPr>
      <w:r>
        <w:rPr/>
        <w:t>16. Bilinguisme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 programme bilingue permettant aux élèves de maîtriser le français et l’anglais.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souligne l’usage de deux langues dans le parcours éducatif.</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bilinguisme prépare les élèves à communiquer dans les deux langues annoncées et soutient l’ouverture internationale.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relié à la section bilingue, à l’éducation bilingue, aux programmes et à l’ouverture internationale.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Quel type de programme est annoncé ?</w:t>
      </w:r>
    </w:p>
    <w:p>
      <w:pPr>
        <w:pStyle w:val="AnswerGSE"/>
        <w:shd w:fill="F3F4F6"/>
        <w:rPr/>
      </w:pPr>
      <w:r>
        <w:rPr>
          <w:b/>
          <w:color w:val="2F6B3F"/>
        </w:rPr>
        <w:t xml:space="preserve">Réponse de référence : </w:t>
      </w:r>
      <w:r>
        <w:rPr/>
        <w:t>Un programme bilingue.</w:t>
      </w:r>
    </w:p>
    <w:p>
      <w:pPr>
        <w:pStyle w:val="QuestionGSE"/>
        <w:rPr/>
      </w:pPr>
      <w:r>
        <w:rPr/>
        <w:t>Q2. À qui ce programme s’adresse-t-il ?</w:t>
      </w:r>
    </w:p>
    <w:p>
      <w:pPr>
        <w:pStyle w:val="AnswerGSE"/>
        <w:shd w:fill="F3F4F6"/>
        <w:rPr/>
      </w:pPr>
      <w:r>
        <w:rPr>
          <w:b/>
          <w:color w:val="2F6B3F"/>
        </w:rPr>
        <w:t xml:space="preserve">Réponse de référence : </w:t>
      </w:r>
      <w:r>
        <w:rPr/>
        <w:t>Aux élèves.</w:t>
      </w:r>
    </w:p>
    <w:p>
      <w:pPr>
        <w:pStyle w:val="QuestionGSE"/>
        <w:rPr/>
      </w:pPr>
      <w:r>
        <w:rPr/>
        <w:t>Q3. Quelles langues les élèves doivent-ils maîtriser ?</w:t>
      </w:r>
    </w:p>
    <w:p>
      <w:pPr>
        <w:pStyle w:val="AnswerGSE"/>
        <w:shd w:fill="F3F4F6"/>
        <w:rPr/>
      </w:pPr>
      <w:r>
        <w:rPr>
          <w:b/>
          <w:color w:val="2F6B3F"/>
        </w:rPr>
        <w:t xml:space="preserve">Réponse de référence : </w:t>
      </w:r>
      <w:r>
        <w:rPr/>
        <w:t>Le français et l’anglais.</w:t>
      </w:r>
    </w:p>
    <w:p>
      <w:pPr>
        <w:pStyle w:val="QuestionGSE"/>
        <w:rPr/>
      </w:pPr>
      <w:r>
        <w:rPr/>
        <w:t>Q4. Quel résultat linguistique est visé ?</w:t>
      </w:r>
    </w:p>
    <w:p>
      <w:pPr>
        <w:pStyle w:val="AnswerGSE"/>
        <w:shd w:fill="F3F4F6"/>
        <w:rPr/>
      </w:pPr>
      <w:r>
        <w:rPr>
          <w:b/>
          <w:color w:val="2F6B3F"/>
        </w:rPr>
        <w:t xml:space="preserve">Réponse de référence : </w:t>
      </w:r>
      <w:r>
        <w:rPr/>
        <w:t>La maîtrise du français et de l’anglais.</w:t>
      </w:r>
    </w:p>
    <w:p>
      <w:pPr>
        <w:pStyle w:val="QuestionGSE"/>
        <w:rPr/>
      </w:pPr>
      <w:r>
        <w:rPr/>
        <w:t>Q5. Quel mot qualifie le programme linguistique ?</w:t>
      </w:r>
    </w:p>
    <w:p>
      <w:pPr>
        <w:pStyle w:val="AnswerGSE"/>
        <w:shd w:fill="F3F4F6"/>
        <w:rPr/>
      </w:pPr>
      <w:r>
        <w:rPr>
          <w:b/>
          <w:color w:val="2F6B3F"/>
        </w:rPr>
        <w:t xml:space="preserve">Réponse de référence : </w:t>
      </w:r>
      <w:r>
        <w:rPr/>
        <w:t>Bilingue.</w:t>
      </w:r>
    </w:p>
    <w:p>
      <w:pPr>
        <w:pStyle w:val="QuestionGSE"/>
        <w:rPr/>
      </w:pPr>
      <w:r>
        <w:rPr/>
        <w:t>Q6. Combien de langues sont explicitement citées ?</w:t>
      </w:r>
    </w:p>
    <w:p>
      <w:pPr>
        <w:pStyle w:val="AnswerGSE"/>
        <w:shd w:fill="F3F4F6"/>
        <w:rPr/>
      </w:pPr>
      <w:r>
        <w:rPr>
          <w:b/>
          <w:color w:val="2F6B3F"/>
        </w:rPr>
        <w:t xml:space="preserve">Réponse de référence : </w:t>
      </w:r>
      <w:r>
        <w:rPr/>
        <w:t>Deux : le français et l’anglais.</w:t>
      </w:r>
    </w:p>
    <w:p>
      <w:pPr>
        <w:pStyle w:val="QuestionGSE"/>
        <w:rPr/>
      </w:pPr>
      <w:r>
        <w:rPr/>
        <w:t>Q7. Quel message la page d’accueil associe-t-elle au titre « Bilinguisme — argument de choix » ?</w:t>
      </w:r>
    </w:p>
    <w:p>
      <w:pPr>
        <w:pStyle w:val="AnswerGSE"/>
        <w:shd w:fill="F3F4F6"/>
        <w:rPr/>
      </w:pPr>
      <w:r>
        <w:rPr>
          <w:b/>
          <w:color w:val="2F6B3F"/>
        </w:rPr>
        <w:t xml:space="preserve">Réponse de référence : </w:t>
      </w:r>
      <w:r>
        <w:rPr/>
        <w:t>Un programme bilingue permettant aux élèves de maîtriser le français et l’anglais.</w:t>
      </w:r>
    </w:p>
    <w:p>
      <w:pPr>
        <w:pStyle w:val="QuestionGSE"/>
        <w:rPr/>
      </w:pPr>
      <w:r>
        <w:rPr/>
        <w:t>Q8. Que doit répondre un agent lorsqu’un visiteur demande ce que dit la section « Bilinguisme — argument de choix » ?</w:t>
      </w:r>
    </w:p>
    <w:p>
      <w:pPr>
        <w:pStyle w:val="AnswerGSE"/>
        <w:shd w:fill="F3F4F6"/>
        <w:rPr/>
      </w:pPr>
      <w:r>
        <w:rPr>
          <w:b/>
          <w:color w:val="2F6B3F"/>
        </w:rPr>
        <w:t xml:space="preserve">Réponse de référence : </w:t>
      </w:r>
      <w:r>
        <w:rPr/>
        <w:t>Un programme bilingue permettant aux élèves de maîtriser le français et l’anglais.</w:t>
      </w:r>
    </w:p>
    <w:p>
      <w:pPr>
        <w:pStyle w:val="QuestionGSE"/>
        <w:rPr/>
      </w:pPr>
      <w:r>
        <w:rPr/>
        <w:t>Q9. Quelle formulation de la page d’accueil permet de présenter fidèlement « Bilinguisme — argument de choix » ?</w:t>
      </w:r>
    </w:p>
    <w:p>
      <w:pPr>
        <w:pStyle w:val="AnswerGSE"/>
        <w:shd w:fill="F3F4F6"/>
        <w:rPr/>
      </w:pPr>
      <w:r>
        <w:rPr>
          <w:b/>
          <w:color w:val="2F6B3F"/>
        </w:rPr>
        <w:t xml:space="preserve">Réponse de référence : </w:t>
      </w:r>
      <w:r>
        <w:rPr/>
        <w:t>Un programme bilingue permettant aux élèves de maîtriser le français et l’anglais.</w:t>
      </w:r>
    </w:p>
    <w:p>
      <w:pPr>
        <w:pStyle w:val="QuestionGSE"/>
        <w:rPr/>
      </w:pPr>
      <w:r>
        <w:rPr/>
        <w:t>Q10. Que doit retenir un parent après lecture de la section « Bilinguisme — argument de choix » ?</w:t>
      </w:r>
    </w:p>
    <w:p>
      <w:pPr>
        <w:pStyle w:val="AnswerGSE"/>
        <w:shd w:fill="F3F4F6"/>
        <w:rPr/>
      </w:pPr>
      <w:r>
        <w:rPr>
          <w:b/>
          <w:color w:val="2F6B3F"/>
        </w:rPr>
        <w:t xml:space="preserve">Réponse de référence : </w:t>
      </w:r>
      <w:r>
        <w:rPr/>
        <w:t>Un programme bilingue permettant aux élèves de maîtriser le français et l’anglais.</w:t>
      </w:r>
    </w:p>
    <w:p>
      <w:pPr>
        <w:pStyle w:val="Normal"/>
        <w:rPr/>
      </w:pPr>
      <w:r>
        <w:rPr/>
      </w:r>
      <w:r>
        <w:br w:type="page"/>
      </w:r>
    </w:p>
    <w:p>
      <w:pPr>
        <w:pStyle w:val="Heading2"/>
        <w:spacing w:before="0" w:after="100"/>
        <w:rPr/>
      </w:pPr>
      <w:r>
        <w:rPr/>
        <w:t>17. Valeurs chrétiennes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Une formation fondée sur la foi, l’intégrité, la discipline et le respect.</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explicite le fondement spirituel et moral de la formation.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clarifie aux familles les repères éthiques que l’école souhaite transmettre au-delà des apprentissages académiques.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se relie à l’éducation chrétienne, au programme spirituel, à la discipline, à la vie scolaire et à la confiance des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Sur quoi la formation est-elle fondée ?</w:t>
      </w:r>
    </w:p>
    <w:p>
      <w:pPr>
        <w:pStyle w:val="AnswerGSE"/>
        <w:shd w:fill="F3F4F6"/>
        <w:rPr/>
      </w:pPr>
      <w:r>
        <w:rPr>
          <w:b/>
          <w:color w:val="2F6B3F"/>
        </w:rPr>
        <w:t xml:space="preserve">Réponse de référence : </w:t>
      </w:r>
      <w:r>
        <w:rPr/>
        <w:t>Sur la foi, l’intégrité, la discipline et le respect.</w:t>
      </w:r>
    </w:p>
    <w:p>
      <w:pPr>
        <w:pStyle w:val="QuestionGSE"/>
        <w:rPr/>
      </w:pPr>
      <w:r>
        <w:rPr/>
        <w:t>Q2. Quelle dimension spirituelle est citée ?</w:t>
      </w:r>
    </w:p>
    <w:p>
      <w:pPr>
        <w:pStyle w:val="AnswerGSE"/>
        <w:shd w:fill="F3F4F6"/>
        <w:rPr/>
      </w:pPr>
      <w:r>
        <w:rPr>
          <w:b/>
          <w:color w:val="2F6B3F"/>
        </w:rPr>
        <w:t xml:space="preserve">Réponse de référence : </w:t>
      </w:r>
      <w:r>
        <w:rPr/>
        <w:t>La foi.</w:t>
      </w:r>
    </w:p>
    <w:p>
      <w:pPr>
        <w:pStyle w:val="QuestionGSE"/>
        <w:rPr/>
      </w:pPr>
      <w:r>
        <w:rPr/>
        <w:t>Q3. Quelle qualité morale liée à l’honnêteté est mentionnée ?</w:t>
      </w:r>
    </w:p>
    <w:p>
      <w:pPr>
        <w:pStyle w:val="AnswerGSE"/>
        <w:shd w:fill="F3F4F6"/>
        <w:rPr/>
      </w:pPr>
      <w:r>
        <w:rPr>
          <w:b/>
          <w:color w:val="2F6B3F"/>
        </w:rPr>
        <w:t xml:space="preserve">Réponse de référence : </w:t>
      </w:r>
      <w:r>
        <w:rPr/>
        <w:t>L’intégrité.</w:t>
      </w:r>
    </w:p>
    <w:p>
      <w:pPr>
        <w:pStyle w:val="QuestionGSE"/>
        <w:rPr/>
      </w:pPr>
      <w:r>
        <w:rPr/>
        <w:t>Q4. Quelle exigence de comportement est mentionnée ?</w:t>
      </w:r>
    </w:p>
    <w:p>
      <w:pPr>
        <w:pStyle w:val="AnswerGSE"/>
        <w:shd w:fill="F3F4F6"/>
        <w:rPr/>
      </w:pPr>
      <w:r>
        <w:rPr>
          <w:b/>
          <w:color w:val="2F6B3F"/>
        </w:rPr>
        <w:t xml:space="preserve">Réponse de référence : </w:t>
      </w:r>
      <w:r>
        <w:rPr/>
        <w:t>La discipline.</w:t>
      </w:r>
    </w:p>
    <w:p>
      <w:pPr>
        <w:pStyle w:val="QuestionGSE"/>
        <w:rPr/>
      </w:pPr>
      <w:r>
        <w:rPr/>
        <w:t>Q5. Quelle attitude envers autrui est mentionnée ?</w:t>
      </w:r>
    </w:p>
    <w:p>
      <w:pPr>
        <w:pStyle w:val="AnswerGSE"/>
        <w:shd w:fill="F3F4F6"/>
        <w:rPr/>
      </w:pPr>
      <w:r>
        <w:rPr>
          <w:b/>
          <w:color w:val="2F6B3F"/>
        </w:rPr>
        <w:t xml:space="preserve">Réponse de référence : </w:t>
      </w:r>
      <w:r>
        <w:rPr/>
        <w:t>Le respect.</w:t>
      </w:r>
    </w:p>
    <w:p>
      <w:pPr>
        <w:pStyle w:val="QuestionGSE"/>
        <w:rPr/>
      </w:pPr>
      <w:r>
        <w:rPr/>
        <w:t>Q6. Combien de fondements sont explicitement énumérés ?</w:t>
      </w:r>
    </w:p>
    <w:p>
      <w:pPr>
        <w:pStyle w:val="AnswerGSE"/>
        <w:shd w:fill="F3F4F6"/>
        <w:rPr/>
      </w:pPr>
      <w:r>
        <w:rPr>
          <w:b/>
          <w:color w:val="2F6B3F"/>
        </w:rPr>
        <w:t xml:space="preserve">Réponse de référence : </w:t>
      </w:r>
      <w:r>
        <w:rPr/>
        <w:t>Quatre : la foi, l’intégrité, la discipline et le respect.</w:t>
      </w:r>
    </w:p>
    <w:p>
      <w:pPr>
        <w:pStyle w:val="QuestionGSE"/>
        <w:rPr/>
      </w:pPr>
      <w:r>
        <w:rPr/>
        <w:t>Q7. Quel message la page d’accueil associe-t-elle au titre « Valeurs chrétiennes — argument de choix » ?</w:t>
      </w:r>
    </w:p>
    <w:p>
      <w:pPr>
        <w:pStyle w:val="AnswerGSE"/>
        <w:shd w:fill="F3F4F6"/>
        <w:rPr/>
      </w:pPr>
      <w:r>
        <w:rPr>
          <w:b/>
          <w:color w:val="2F6B3F"/>
        </w:rPr>
        <w:t xml:space="preserve">Réponse de référence : </w:t>
      </w:r>
      <w:r>
        <w:rPr/>
        <w:t>Une formation fondée sur la foi, l’intégrité, la discipline et le respect.</w:t>
      </w:r>
    </w:p>
    <w:p>
      <w:pPr>
        <w:pStyle w:val="QuestionGSE"/>
        <w:rPr/>
      </w:pPr>
      <w:r>
        <w:rPr/>
        <w:t>Q8. Que doit répondre un agent lorsqu’un visiteur demande ce que dit la section « Valeurs chrétiennes — argument de choix » ?</w:t>
      </w:r>
    </w:p>
    <w:p>
      <w:pPr>
        <w:pStyle w:val="AnswerGSE"/>
        <w:shd w:fill="F3F4F6"/>
        <w:rPr/>
      </w:pPr>
      <w:r>
        <w:rPr>
          <w:b/>
          <w:color w:val="2F6B3F"/>
        </w:rPr>
        <w:t xml:space="preserve">Réponse de référence : </w:t>
      </w:r>
      <w:r>
        <w:rPr/>
        <w:t>Une formation fondée sur la foi, l’intégrité, la discipline et le respect.</w:t>
      </w:r>
    </w:p>
    <w:p>
      <w:pPr>
        <w:pStyle w:val="QuestionGSE"/>
        <w:rPr/>
      </w:pPr>
      <w:r>
        <w:rPr/>
        <w:t>Q9. Quelle formulation de la page d’accueil permet de présenter fidèlement « Valeurs chrétiennes — argument de choix » ?</w:t>
      </w:r>
    </w:p>
    <w:p>
      <w:pPr>
        <w:pStyle w:val="AnswerGSE"/>
        <w:shd w:fill="F3F4F6"/>
        <w:rPr/>
      </w:pPr>
      <w:r>
        <w:rPr>
          <w:b/>
          <w:color w:val="2F6B3F"/>
        </w:rPr>
        <w:t xml:space="preserve">Réponse de référence : </w:t>
      </w:r>
      <w:r>
        <w:rPr/>
        <w:t>Une formation fondée sur la foi, l’intégrité, la discipline et le respect.</w:t>
      </w:r>
    </w:p>
    <w:p>
      <w:pPr>
        <w:pStyle w:val="QuestionGSE"/>
        <w:rPr/>
      </w:pPr>
      <w:r>
        <w:rPr/>
        <w:t>Q10. Que doit retenir un parent après lecture de la section « Valeurs chrétiennes — argument de choix » ?</w:t>
      </w:r>
    </w:p>
    <w:p>
      <w:pPr>
        <w:pStyle w:val="AnswerGSE"/>
        <w:shd w:fill="F3F4F6"/>
        <w:rPr/>
      </w:pPr>
      <w:r>
        <w:rPr>
          <w:b/>
          <w:color w:val="2F6B3F"/>
        </w:rPr>
        <w:t xml:space="preserve">Réponse de référence : </w:t>
      </w:r>
      <w:r>
        <w:rPr/>
        <w:t>Une formation fondée sur la foi, l’intégrité, la discipline et le respect.</w:t>
      </w:r>
    </w:p>
    <w:p>
      <w:pPr>
        <w:pStyle w:val="Normal"/>
        <w:rPr/>
      </w:pPr>
      <w:r>
        <w:rPr/>
      </w:r>
      <w:r>
        <w:br w:type="page"/>
      </w:r>
    </w:p>
    <w:p>
      <w:pPr>
        <w:pStyle w:val="Heading2"/>
        <w:spacing w:before="0" w:after="100"/>
        <w:rPr/>
      </w:pPr>
      <w:r>
        <w:rPr/>
        <w:t>18. Innovation pédagogique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Des méthodes modernes et des technologies éducatives au service de la réussite.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indique que l’école entend renouveler ses manières d’enseigner et utiliser des outils adaptés.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L’innovation pédagogique soutient l’efficacité des apprentissages et montre que l’école veut répondre aux besoins éducatifs contemporains.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liée aux technologies éducatives, à l’excellence académique, aux programmes et à la confiance des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Quel type de méthodes est annoncé ?</w:t>
      </w:r>
    </w:p>
    <w:p>
      <w:pPr>
        <w:pStyle w:val="AnswerGSE"/>
        <w:shd w:fill="F3F4F6"/>
        <w:rPr/>
      </w:pPr>
      <w:r>
        <w:rPr>
          <w:b/>
          <w:color w:val="2F6B3F"/>
        </w:rPr>
        <w:t xml:space="preserve">Réponse de référence : </w:t>
      </w:r>
      <w:r>
        <w:rPr/>
        <w:t>Des méthodes modernes.</w:t>
      </w:r>
    </w:p>
    <w:p>
      <w:pPr>
        <w:pStyle w:val="QuestionGSE"/>
        <w:rPr/>
      </w:pPr>
      <w:r>
        <w:rPr/>
        <w:t>Q2. Quel type de technologies est mentionné ?</w:t>
      </w:r>
    </w:p>
    <w:p>
      <w:pPr>
        <w:pStyle w:val="AnswerGSE"/>
        <w:shd w:fill="F3F4F6"/>
        <w:rPr/>
      </w:pPr>
      <w:r>
        <w:rPr>
          <w:b/>
          <w:color w:val="2F6B3F"/>
        </w:rPr>
        <w:t xml:space="preserve">Réponse de référence : </w:t>
      </w:r>
      <w:r>
        <w:rPr/>
        <w:t>Des technologies éducatives.</w:t>
      </w:r>
    </w:p>
    <w:p>
      <w:pPr>
        <w:pStyle w:val="QuestionGSE"/>
        <w:rPr/>
      </w:pPr>
      <w:r>
        <w:rPr/>
        <w:t>Q3. Au service de quoi ces méthodes et technologies sont-elles placées ?</w:t>
      </w:r>
    </w:p>
    <w:p>
      <w:pPr>
        <w:pStyle w:val="AnswerGSE"/>
        <w:shd w:fill="F3F4F6"/>
        <w:rPr/>
      </w:pPr>
      <w:r>
        <w:rPr>
          <w:b/>
          <w:color w:val="2F6B3F"/>
        </w:rPr>
        <w:t xml:space="preserve">Réponse de référence : </w:t>
      </w:r>
      <w:r>
        <w:rPr/>
        <w:t>De la réussite.</w:t>
      </w:r>
    </w:p>
    <w:p>
      <w:pPr>
        <w:pStyle w:val="QuestionGSE"/>
        <w:rPr/>
      </w:pPr>
      <w:r>
        <w:rPr/>
        <w:t>Q4. Quels sont les deux moyens cités ?</w:t>
      </w:r>
    </w:p>
    <w:p>
      <w:pPr>
        <w:pStyle w:val="AnswerGSE"/>
        <w:shd w:fill="F3F4F6"/>
        <w:rPr/>
      </w:pPr>
      <w:r>
        <w:rPr>
          <w:b/>
          <w:color w:val="2F6B3F"/>
        </w:rPr>
        <w:t xml:space="preserve">Réponse de référence : </w:t>
      </w:r>
      <w:r>
        <w:rPr/>
        <w:t>Des méthodes modernes et des technologies éducatives.</w:t>
      </w:r>
    </w:p>
    <w:p>
      <w:pPr>
        <w:pStyle w:val="QuestionGSE"/>
        <w:rPr/>
      </w:pPr>
      <w:r>
        <w:rPr/>
        <w:t>Q5. Quel objectif final justifie l’innovation ?</w:t>
      </w:r>
    </w:p>
    <w:p>
      <w:pPr>
        <w:pStyle w:val="AnswerGSE"/>
        <w:shd w:fill="F3F4F6"/>
        <w:rPr/>
      </w:pPr>
      <w:r>
        <w:rPr>
          <w:b/>
          <w:color w:val="2F6B3F"/>
        </w:rPr>
        <w:t xml:space="preserve">Réponse de référence : </w:t>
      </w:r>
      <w:r>
        <w:rPr/>
        <w:t>La réussite.</w:t>
      </w:r>
    </w:p>
    <w:p>
      <w:pPr>
        <w:pStyle w:val="QuestionGSE"/>
        <w:rPr/>
      </w:pPr>
      <w:r>
        <w:rPr/>
        <w:t>Q6. Quelle expression associe modernité et enseignement ?</w:t>
      </w:r>
    </w:p>
    <w:p>
      <w:pPr>
        <w:pStyle w:val="AnswerGSE"/>
        <w:shd w:fill="F3F4F6"/>
        <w:rPr/>
      </w:pPr>
      <w:r>
        <w:rPr>
          <w:b/>
          <w:color w:val="2F6B3F"/>
        </w:rPr>
        <w:t xml:space="preserve">Réponse de référence : </w:t>
      </w:r>
      <w:r>
        <w:rPr/>
        <w:t>Innovation pédagogique.</w:t>
      </w:r>
    </w:p>
    <w:p>
      <w:pPr>
        <w:pStyle w:val="QuestionGSE"/>
        <w:rPr/>
      </w:pPr>
      <w:r>
        <w:rPr/>
        <w:t>Q7. Quel message la page d’accueil associe-t-elle au titre « Innovation pédagogique — argument de choix » ?</w:t>
      </w:r>
    </w:p>
    <w:p>
      <w:pPr>
        <w:pStyle w:val="AnswerGSE"/>
        <w:shd w:fill="F3F4F6"/>
        <w:rPr/>
      </w:pPr>
      <w:r>
        <w:rPr>
          <w:b/>
          <w:color w:val="2F6B3F"/>
        </w:rPr>
        <w:t xml:space="preserve">Réponse de référence : </w:t>
      </w:r>
      <w:r>
        <w:rPr/>
        <w:t>Des méthodes modernes et des technologies éducatives au service de la réussite.</w:t>
      </w:r>
    </w:p>
    <w:p>
      <w:pPr>
        <w:pStyle w:val="QuestionGSE"/>
        <w:rPr/>
      </w:pPr>
      <w:r>
        <w:rPr/>
        <w:t>Q8. Que doit répondre un agent lorsqu’un visiteur demande ce que dit la section « Innovation pédagogique — argument de choix » ?</w:t>
      </w:r>
    </w:p>
    <w:p>
      <w:pPr>
        <w:pStyle w:val="AnswerGSE"/>
        <w:shd w:fill="F3F4F6"/>
        <w:rPr/>
      </w:pPr>
      <w:r>
        <w:rPr>
          <w:b/>
          <w:color w:val="2F6B3F"/>
        </w:rPr>
        <w:t xml:space="preserve">Réponse de référence : </w:t>
      </w:r>
      <w:r>
        <w:rPr/>
        <w:t>Des méthodes modernes et des technologies éducatives au service de la réussite.</w:t>
      </w:r>
    </w:p>
    <w:p>
      <w:pPr>
        <w:pStyle w:val="QuestionGSE"/>
        <w:rPr/>
      </w:pPr>
      <w:r>
        <w:rPr/>
        <w:t>Q9. Quelle formulation de la page d’accueil permet de présenter fidèlement « Innovation pédagogique — argument de choix » ?</w:t>
      </w:r>
    </w:p>
    <w:p>
      <w:pPr>
        <w:pStyle w:val="AnswerGSE"/>
        <w:shd w:fill="F3F4F6"/>
        <w:rPr/>
      </w:pPr>
      <w:r>
        <w:rPr>
          <w:b/>
          <w:color w:val="2F6B3F"/>
        </w:rPr>
        <w:t xml:space="preserve">Réponse de référence : </w:t>
      </w:r>
      <w:r>
        <w:rPr/>
        <w:t>Des méthodes modernes et des technologies éducatives au service de la réussite.</w:t>
      </w:r>
    </w:p>
    <w:p>
      <w:pPr>
        <w:pStyle w:val="QuestionGSE"/>
        <w:rPr/>
      </w:pPr>
      <w:r>
        <w:rPr/>
        <w:t>Q10. Que doit retenir un parent après lecture de la section « Innovation pédagogique — argument de choix » ?</w:t>
      </w:r>
    </w:p>
    <w:p>
      <w:pPr>
        <w:pStyle w:val="AnswerGSE"/>
        <w:shd w:fill="F3F4F6"/>
        <w:rPr/>
      </w:pPr>
      <w:r>
        <w:rPr>
          <w:b/>
          <w:color w:val="2F6B3F"/>
        </w:rPr>
        <w:t xml:space="preserve">Réponse de référence : </w:t>
      </w:r>
      <w:r>
        <w:rPr/>
        <w:t>Des méthodes modernes et des technologies éducatives au service de la réussite.</w:t>
      </w:r>
    </w:p>
    <w:p>
      <w:pPr>
        <w:pStyle w:val="Normal"/>
        <w:rPr/>
      </w:pPr>
      <w:r>
        <w:rPr/>
      </w:r>
      <w:r>
        <w:br w:type="page"/>
      </w:r>
    </w:p>
    <w:p>
      <w:pPr>
        <w:pStyle w:val="Heading2"/>
        <w:spacing w:before="0" w:after="100"/>
        <w:rPr/>
      </w:pPr>
      <w:r>
        <w:rPr/>
        <w:t>19. Encadrement personnalisé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Chaque élève bénéficie d’un suivi attentif favorisant sa réussite et son épanouissement.</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met l’accent sur l’attention portée à l’élève individuellement.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rassure les parents sur le fait que l’enfant ne sera pas considéré uniquement comme un membre anonyme d’un groupe.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la confiance des parents, à la sécurité et au bien-être, à la réussite, à la vie scolaire et à l’Espace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Qui bénéficie d’un suivi attentif ?</w:t>
      </w:r>
    </w:p>
    <w:p>
      <w:pPr>
        <w:pStyle w:val="AnswerGSE"/>
        <w:shd w:fill="F3F4F6"/>
        <w:rPr/>
      </w:pPr>
      <w:r>
        <w:rPr>
          <w:b/>
          <w:color w:val="2F6B3F"/>
        </w:rPr>
        <w:t xml:space="preserve">Réponse de référence : </w:t>
      </w:r>
      <w:r>
        <w:rPr/>
        <w:t>Chaque élève.</w:t>
      </w:r>
    </w:p>
    <w:p>
      <w:pPr>
        <w:pStyle w:val="QuestionGSE"/>
        <w:rPr/>
      </w:pPr>
      <w:r>
        <w:rPr/>
        <w:t>Q2. Comment le suivi est-il qualifié ?</w:t>
      </w:r>
    </w:p>
    <w:p>
      <w:pPr>
        <w:pStyle w:val="AnswerGSE"/>
        <w:shd w:fill="F3F4F6"/>
        <w:rPr/>
      </w:pPr>
      <w:r>
        <w:rPr>
          <w:b/>
          <w:color w:val="2F6B3F"/>
        </w:rPr>
        <w:t xml:space="preserve">Réponse de référence : </w:t>
      </w:r>
      <w:r>
        <w:rPr/>
        <w:t>Attentif.</w:t>
      </w:r>
    </w:p>
    <w:p>
      <w:pPr>
        <w:pStyle w:val="QuestionGSE"/>
        <w:rPr/>
      </w:pPr>
      <w:r>
        <w:rPr/>
        <w:t>Q3. Que favorise ce suivi ?</w:t>
      </w:r>
    </w:p>
    <w:p>
      <w:pPr>
        <w:pStyle w:val="AnswerGSE"/>
        <w:shd w:fill="F3F4F6"/>
        <w:rPr/>
      </w:pPr>
      <w:r>
        <w:rPr>
          <w:b/>
          <w:color w:val="2F6B3F"/>
        </w:rPr>
        <w:t xml:space="preserve">Réponse de référence : </w:t>
      </w:r>
      <w:r>
        <w:rPr/>
        <w:t>La réussite et l’épanouissement de l’élève.</w:t>
      </w:r>
    </w:p>
    <w:p>
      <w:pPr>
        <w:pStyle w:val="QuestionGSE"/>
        <w:rPr/>
      </w:pPr>
      <w:r>
        <w:rPr/>
        <w:t>Q4. Quels sont les deux résultats visés ?</w:t>
      </w:r>
    </w:p>
    <w:p>
      <w:pPr>
        <w:pStyle w:val="AnswerGSE"/>
        <w:shd w:fill="F3F4F6"/>
        <w:rPr/>
      </w:pPr>
      <w:r>
        <w:rPr>
          <w:b/>
          <w:color w:val="2F6B3F"/>
        </w:rPr>
        <w:t xml:space="preserve">Réponse de référence : </w:t>
      </w:r>
      <w:r>
        <w:rPr/>
        <w:t>La réussite et l’épanouissement.</w:t>
      </w:r>
    </w:p>
    <w:p>
      <w:pPr>
        <w:pStyle w:val="QuestionGSE"/>
        <w:rPr/>
      </w:pPr>
      <w:r>
        <w:rPr/>
        <w:t>Q5. Quelle expression traduit l’attention individuelle ?</w:t>
      </w:r>
    </w:p>
    <w:p>
      <w:pPr>
        <w:pStyle w:val="AnswerGSE"/>
        <w:shd w:fill="F3F4F6"/>
        <w:rPr/>
      </w:pPr>
      <w:r>
        <w:rPr>
          <w:b/>
          <w:color w:val="2F6B3F"/>
        </w:rPr>
        <w:t xml:space="preserve">Réponse de référence : </w:t>
      </w:r>
      <w:r>
        <w:rPr/>
        <w:t>Un suivi attentif.</w:t>
      </w:r>
    </w:p>
    <w:p>
      <w:pPr>
        <w:pStyle w:val="QuestionGSE"/>
        <w:rPr/>
      </w:pPr>
      <w:r>
        <w:rPr/>
        <w:t>Q6. Le suivi concerne-t-il certains élèves seulement ?</w:t>
      </w:r>
    </w:p>
    <w:p>
      <w:pPr>
        <w:pStyle w:val="AnswerGSE"/>
        <w:shd w:fill="F3F4F6"/>
        <w:rPr/>
      </w:pPr>
      <w:r>
        <w:rPr>
          <w:b/>
          <w:color w:val="2F6B3F"/>
        </w:rPr>
        <w:t xml:space="preserve">Réponse de référence : </w:t>
      </w:r>
      <w:r>
        <w:rPr/>
        <w:t>Non. Le texte indique : « Chaque élève ».</w:t>
      </w:r>
    </w:p>
    <w:p>
      <w:pPr>
        <w:pStyle w:val="QuestionGSE"/>
        <w:rPr/>
      </w:pPr>
      <w:r>
        <w:rPr/>
        <w:t>Q7. Quel message la page d’accueil associe-t-elle au titre « Encadrement personnalisé — argument de choix » ?</w:t>
      </w:r>
    </w:p>
    <w:p>
      <w:pPr>
        <w:pStyle w:val="AnswerGSE"/>
        <w:shd w:fill="F3F4F6"/>
        <w:rPr/>
      </w:pPr>
      <w:r>
        <w:rPr>
          <w:b/>
          <w:color w:val="2F6B3F"/>
        </w:rPr>
        <w:t xml:space="preserve">Réponse de référence : </w:t>
      </w:r>
      <w:r>
        <w:rPr/>
        <w:t>Chaque élève bénéficie d’un suivi attentif favorisant sa réussite et son épanouissement.</w:t>
      </w:r>
    </w:p>
    <w:p>
      <w:pPr>
        <w:pStyle w:val="QuestionGSE"/>
        <w:rPr/>
      </w:pPr>
      <w:r>
        <w:rPr/>
        <w:t>Q8. Que doit répondre un agent lorsqu’un visiteur demande ce que dit la section « Encadrement personnalisé — argument de choix » ?</w:t>
      </w:r>
    </w:p>
    <w:p>
      <w:pPr>
        <w:pStyle w:val="AnswerGSE"/>
        <w:shd w:fill="F3F4F6"/>
        <w:rPr/>
      </w:pPr>
      <w:r>
        <w:rPr>
          <w:b/>
          <w:color w:val="2F6B3F"/>
        </w:rPr>
        <w:t xml:space="preserve">Réponse de référence : </w:t>
      </w:r>
      <w:r>
        <w:rPr/>
        <w:t>Chaque élève bénéficie d’un suivi attentif favorisant sa réussite et son épanouissement.</w:t>
      </w:r>
    </w:p>
    <w:p>
      <w:pPr>
        <w:pStyle w:val="QuestionGSE"/>
        <w:rPr/>
      </w:pPr>
      <w:r>
        <w:rPr/>
        <w:t>Q9. Quelle formulation de la page d’accueil permet de présenter fidèlement « Encadrement personnalisé — argument de choix » ?</w:t>
      </w:r>
    </w:p>
    <w:p>
      <w:pPr>
        <w:pStyle w:val="AnswerGSE"/>
        <w:shd w:fill="F3F4F6"/>
        <w:rPr/>
      </w:pPr>
      <w:r>
        <w:rPr>
          <w:b/>
          <w:color w:val="2F6B3F"/>
        </w:rPr>
        <w:t xml:space="preserve">Réponse de référence : </w:t>
      </w:r>
      <w:r>
        <w:rPr/>
        <w:t>Chaque élève bénéficie d’un suivi attentif favorisant sa réussite et son épanouissement.</w:t>
      </w:r>
    </w:p>
    <w:p>
      <w:pPr>
        <w:pStyle w:val="QuestionGSE"/>
        <w:rPr/>
      </w:pPr>
      <w:r>
        <w:rPr/>
        <w:t>Q10. Que doit retenir un parent après lecture de la section « Encadrement personnalisé — argument de choix » ?</w:t>
      </w:r>
    </w:p>
    <w:p>
      <w:pPr>
        <w:pStyle w:val="AnswerGSE"/>
        <w:shd w:fill="F3F4F6"/>
        <w:rPr/>
      </w:pPr>
      <w:r>
        <w:rPr>
          <w:b/>
          <w:color w:val="2F6B3F"/>
        </w:rPr>
        <w:t xml:space="preserve">Réponse de référence : </w:t>
      </w:r>
      <w:r>
        <w:rPr/>
        <w:t>Chaque élève bénéficie d’un suivi attentif favorisant sa réussite et son épanouissement.</w:t>
      </w:r>
    </w:p>
    <w:p>
      <w:pPr>
        <w:pStyle w:val="Normal"/>
        <w:rPr/>
      </w:pPr>
      <w:r>
        <w:rPr/>
      </w:r>
      <w:r>
        <w:br w:type="page"/>
      </w:r>
    </w:p>
    <w:p>
      <w:pPr>
        <w:pStyle w:val="Heading2"/>
        <w:spacing w:before="0" w:after="100"/>
        <w:rPr/>
      </w:pPr>
      <w:r>
        <w:rPr/>
        <w:t>20. Ouverture internationale — argument de choix</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Une formation préparant les élèves à évoluer dans un monde globalisé et multiculturel.</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élargit l’horizon de la formation au-delà du contexte immédiat de l’école.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indique que les apprentissages doivent préparer les élèves à comprendre la diversité et à agir dans un environnement mondial.</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 bilinguisme, à la section bilingue, aux partenariats internationaux et à la préparation à l’avenir.</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4 du relevé — Texte publié sur la page d’accueil</w:t>
            </w:r>
          </w:p>
        </w:tc>
      </w:tr>
    </w:tbl>
    <w:p>
      <w:pPr>
        <w:pStyle w:val="Heading3"/>
        <w:rPr/>
      </w:pPr>
      <w:r>
        <w:rPr/>
        <w:t>Banque de questions — 10 questions</w:t>
      </w:r>
    </w:p>
    <w:p>
      <w:pPr>
        <w:pStyle w:val="QuestionGSE"/>
        <w:rPr/>
      </w:pPr>
      <w:r>
        <w:rPr/>
        <w:t>Q1. À quoi la formation prépare-t-elle les élèves ?</w:t>
      </w:r>
    </w:p>
    <w:p>
      <w:pPr>
        <w:pStyle w:val="AnswerGSE"/>
        <w:shd w:fill="F3F4F6"/>
        <w:rPr/>
      </w:pPr>
      <w:r>
        <w:rPr>
          <w:b/>
          <w:color w:val="2F6B3F"/>
        </w:rPr>
        <w:t xml:space="preserve">Réponse de référence : </w:t>
      </w:r>
      <w:r>
        <w:rPr/>
        <w:t>À évoluer dans un monde globalisé et multiculturel.</w:t>
      </w:r>
    </w:p>
    <w:p>
      <w:pPr>
        <w:pStyle w:val="QuestionGSE"/>
        <w:rPr/>
      </w:pPr>
      <w:r>
        <w:rPr/>
        <w:t>Q2. Comment le monde est-il qualifié ?</w:t>
      </w:r>
    </w:p>
    <w:p>
      <w:pPr>
        <w:pStyle w:val="AnswerGSE"/>
        <w:shd w:fill="F3F4F6"/>
        <w:rPr/>
      </w:pPr>
      <w:r>
        <w:rPr>
          <w:b/>
          <w:color w:val="2F6B3F"/>
        </w:rPr>
        <w:t xml:space="preserve">Réponse de référence : </w:t>
      </w:r>
      <w:r>
        <w:rPr/>
        <w:t>Globalisé et multiculturel.</w:t>
      </w:r>
    </w:p>
    <w:p>
      <w:pPr>
        <w:pStyle w:val="QuestionGSE"/>
        <w:rPr/>
      </w:pPr>
      <w:r>
        <w:rPr/>
        <w:t>Q3. Qui est préparé à évoluer dans ce monde ?</w:t>
      </w:r>
    </w:p>
    <w:p>
      <w:pPr>
        <w:pStyle w:val="AnswerGSE"/>
        <w:shd w:fill="F3F4F6"/>
        <w:rPr/>
      </w:pPr>
      <w:r>
        <w:rPr>
          <w:b/>
          <w:color w:val="2F6B3F"/>
        </w:rPr>
        <w:t xml:space="preserve">Réponse de référence : </w:t>
      </w:r>
      <w:r>
        <w:rPr/>
        <w:t>Les élèves.</w:t>
      </w:r>
    </w:p>
    <w:p>
      <w:pPr>
        <w:pStyle w:val="QuestionGSE"/>
        <w:rPr/>
      </w:pPr>
      <w:r>
        <w:rPr/>
        <w:t>Q4. Quel type de formation est présenté ?</w:t>
      </w:r>
    </w:p>
    <w:p>
      <w:pPr>
        <w:pStyle w:val="AnswerGSE"/>
        <w:shd w:fill="F3F4F6"/>
        <w:rPr/>
      </w:pPr>
      <w:r>
        <w:rPr>
          <w:b/>
          <w:color w:val="2F6B3F"/>
        </w:rPr>
        <w:t xml:space="preserve">Réponse de référence : </w:t>
      </w:r>
      <w:r>
        <w:rPr/>
        <w:t>Une formation préparant les élèves à évoluer dans un monde globalisé et multiculturel.</w:t>
      </w:r>
    </w:p>
    <w:p>
      <w:pPr>
        <w:pStyle w:val="QuestionGSE"/>
        <w:rPr/>
      </w:pPr>
      <w:r>
        <w:rPr/>
        <w:t>Q5. Quelles deux caractéristiques du monde sont citées ?</w:t>
      </w:r>
    </w:p>
    <w:p>
      <w:pPr>
        <w:pStyle w:val="AnswerGSE"/>
        <w:shd w:fill="F3F4F6"/>
        <w:rPr/>
      </w:pPr>
      <w:r>
        <w:rPr>
          <w:b/>
          <w:color w:val="2F6B3F"/>
        </w:rPr>
        <w:t xml:space="preserve">Réponse de référence : </w:t>
      </w:r>
      <w:r>
        <w:rPr/>
        <w:t>Globalisé et multiculturel.</w:t>
      </w:r>
    </w:p>
    <w:p>
      <w:pPr>
        <w:pStyle w:val="QuestionGSE"/>
        <w:rPr/>
      </w:pPr>
      <w:r>
        <w:rPr/>
        <w:t>Q6. Quelle perspective dépasse le cadre local ?</w:t>
      </w:r>
    </w:p>
    <w:p>
      <w:pPr>
        <w:pStyle w:val="AnswerGSE"/>
        <w:shd w:fill="F3F4F6"/>
        <w:rPr/>
      </w:pPr>
      <w:r>
        <w:rPr>
          <w:b/>
          <w:color w:val="2F6B3F"/>
        </w:rPr>
        <w:t xml:space="preserve">Réponse de référence : </w:t>
      </w:r>
      <w:r>
        <w:rPr/>
        <w:t>L’ouverture internationale.</w:t>
      </w:r>
    </w:p>
    <w:p>
      <w:pPr>
        <w:pStyle w:val="QuestionGSE"/>
        <w:rPr/>
      </w:pPr>
      <w:r>
        <w:rPr/>
        <w:t>Q7. Quel message la page d’accueil associe-t-elle au titre « Ouverture internationale — argument de choix » ?</w:t>
      </w:r>
    </w:p>
    <w:p>
      <w:pPr>
        <w:pStyle w:val="AnswerGSE"/>
        <w:shd w:fill="F3F4F6"/>
        <w:rPr/>
      </w:pPr>
      <w:r>
        <w:rPr>
          <w:b/>
          <w:color w:val="2F6B3F"/>
        </w:rPr>
        <w:t xml:space="preserve">Réponse de référence : </w:t>
      </w:r>
      <w:r>
        <w:rPr/>
        <w:t>Une formation préparant les élèves à évoluer dans un monde globalisé et multiculturel.</w:t>
      </w:r>
    </w:p>
    <w:p>
      <w:pPr>
        <w:pStyle w:val="QuestionGSE"/>
        <w:rPr/>
      </w:pPr>
      <w:r>
        <w:rPr/>
        <w:t>Q8. Que doit répondre un agent lorsqu’un visiteur demande ce que dit la section « Ouverture internationale — argument de choix » ?</w:t>
      </w:r>
    </w:p>
    <w:p>
      <w:pPr>
        <w:pStyle w:val="AnswerGSE"/>
        <w:shd w:fill="F3F4F6"/>
        <w:rPr/>
      </w:pPr>
      <w:r>
        <w:rPr>
          <w:b/>
          <w:color w:val="2F6B3F"/>
        </w:rPr>
        <w:t xml:space="preserve">Réponse de référence : </w:t>
      </w:r>
      <w:r>
        <w:rPr/>
        <w:t>Une formation préparant les élèves à évoluer dans un monde globalisé et multiculturel.</w:t>
      </w:r>
    </w:p>
    <w:p>
      <w:pPr>
        <w:pStyle w:val="QuestionGSE"/>
        <w:rPr/>
      </w:pPr>
      <w:r>
        <w:rPr/>
        <w:t>Q9. Quelle formulation de la page d’accueil permet de présenter fidèlement « Ouverture internationale — argument de choix » ?</w:t>
      </w:r>
    </w:p>
    <w:p>
      <w:pPr>
        <w:pStyle w:val="AnswerGSE"/>
        <w:shd w:fill="F3F4F6"/>
        <w:rPr/>
      </w:pPr>
      <w:r>
        <w:rPr>
          <w:b/>
          <w:color w:val="2F6B3F"/>
        </w:rPr>
        <w:t xml:space="preserve">Réponse de référence : </w:t>
      </w:r>
      <w:r>
        <w:rPr/>
        <w:t>Une formation préparant les élèves à évoluer dans un monde globalisé et multiculturel.</w:t>
      </w:r>
    </w:p>
    <w:p>
      <w:pPr>
        <w:pStyle w:val="QuestionGSE"/>
        <w:rPr/>
      </w:pPr>
      <w:r>
        <w:rPr/>
        <w:t>Q10. Que doit retenir un parent après lecture de la section « Ouverture internationale — argument de choix » ?</w:t>
      </w:r>
    </w:p>
    <w:p>
      <w:pPr>
        <w:pStyle w:val="AnswerGSE"/>
        <w:shd w:fill="F3F4F6"/>
        <w:rPr/>
      </w:pPr>
      <w:r>
        <w:rPr>
          <w:b/>
          <w:color w:val="2F6B3F"/>
        </w:rPr>
        <w:t xml:space="preserve">Réponse de référence : </w:t>
      </w:r>
      <w:r>
        <w:rPr/>
        <w:t>Une formation préparant les élèves à évoluer dans un monde globalisé et multiculturel.</w:t>
      </w:r>
    </w:p>
    <w:p>
      <w:pPr>
        <w:pStyle w:val="Normal"/>
        <w:rPr/>
      </w:pPr>
      <w:r>
        <w:rPr/>
      </w:r>
      <w:r>
        <w:br w:type="page"/>
      </w:r>
    </w:p>
    <w:p>
      <w:pPr>
        <w:pStyle w:val="Heading2"/>
        <w:spacing w:before="0" w:after="100"/>
        <w:rPr/>
      </w:pPr>
      <w:r>
        <w:rPr/>
        <w:t>21. NOS PROGRAMMES SCOLAIRES — message introductif</w:t>
      </w:r>
    </w:p>
    <w:p>
      <w:pPr>
        <w:pStyle w:val="Normal"/>
        <w:rPr/>
      </w:pPr>
      <w:r>
        <w:rPr>
          <w:b/>
          <w:color w:val="D4AF37"/>
          <w:sz w:val="16"/>
        </w:rPr>
        <w:t>PARTIE II — CONTENUS DE LA PAGE</w:t>
      </w:r>
    </w:p>
    <w:p>
      <w:pPr>
        <w:pStyle w:val="Normal"/>
        <w:jc w:val="center"/>
        <w:rPr/>
      </w:pPr>
      <w:r>
        <w:rPr/>
        <w:drawing>
          <wp:inline distT="0" distB="0" distL="0" distR="0">
            <wp:extent cx="5687695" cy="3199765"/>
            <wp:effectExtent l="0" t="0" r="0" b="0"/>
            <wp:docPr id="6"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title=""/>
                    <pic:cNvPicPr>
                      <a:picLocks noChangeAspect="1" noChangeArrowheads="1"/>
                    </pic:cNvPicPr>
                  </pic:nvPicPr>
                  <pic:blipFill>
                    <a:blip r:embed="rId7"/>
                    <a:stretch>
                      <a:fillRect/>
                    </a:stretch>
                  </pic:blipFill>
                  <pic:spPr bwMode="auto">
                    <a:xfrm>
                      <a:off x="0" y="0"/>
                      <a:ext cx="5687695" cy="3199765"/>
                    </a:xfrm>
                    <a:prstGeom prst="rect">
                      <a:avLst/>
                    </a:prstGeom>
                    <a:noFill/>
                  </pic:spPr>
                </pic:pic>
              </a:graphicData>
            </a:graphic>
          </wp:inline>
        </w:drawing>
      </w:r>
    </w:p>
    <w:p>
      <w:pPr>
        <w:pStyle w:val="SmallGSE"/>
        <w:jc w:val="center"/>
        <w:rPr/>
      </w:pPr>
      <w:r>
        <w:rPr/>
        <w:t>Visuel de référence intégré au document source.</w:t>
      </w:r>
    </w:p>
    <w:p>
      <w:pPr>
        <w:pStyle w:val="Heading3"/>
        <w:rPr/>
      </w:pPr>
      <w:r>
        <w:rPr/>
        <w:t>Texte-source ou intitulés relevés</w:t>
      </w:r>
    </w:p>
    <w:p>
      <w:pPr>
        <w:pStyle w:val="SourceGSE"/>
        <w:pBdr>
          <w:left w:val="single" w:sz="12" w:space="6" w:color="0B3D91"/>
        </w:pBdr>
        <w:shd w:fill="EAF2FB"/>
        <w:rPr/>
      </w:pPr>
      <w:r>
        <w:rPr/>
        <w:t>De la maternelle au secondaire, le Groupe Scolaire LES ÉMINENTS accompagne chaque élève dans un parcours éducatif d’excellence, alliant rigueur académique, valeurs humaines et ouverture sur le monde.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annonce l’organisation de l’offre éducative et la continuité du parcours scolaire.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permet aux familles de situer les niveaux proposés et les principes communs qui doivent guider chaque étape.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introduit la maternelle, le primaire, le secondaire annoncé et la section bilingue, puis renvoie au bouton de découverte détaillée.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pp. 5 et 6 du relevé — Texte publié sur la page d’accueil</w:t>
            </w:r>
          </w:p>
        </w:tc>
      </w:tr>
    </w:tbl>
    <w:p>
      <w:pPr>
        <w:pStyle w:val="Heading3"/>
        <w:rPr/>
      </w:pPr>
      <w:r>
        <w:rPr/>
        <w:t>Banque de questions — 10 questions</w:t>
      </w:r>
    </w:p>
    <w:p>
      <w:pPr>
        <w:pStyle w:val="QuestionGSE"/>
        <w:rPr/>
      </w:pPr>
      <w:r>
        <w:rPr/>
        <w:t>Q1. Entre quels niveaux le parcours est-il présenté ?</w:t>
      </w:r>
    </w:p>
    <w:p>
      <w:pPr>
        <w:pStyle w:val="AnswerGSE"/>
        <w:shd w:fill="F3F4F6"/>
        <w:rPr/>
      </w:pPr>
      <w:r>
        <w:rPr>
          <w:b/>
          <w:color w:val="2F6B3F"/>
        </w:rPr>
        <w:t xml:space="preserve">Réponse de référence : </w:t>
      </w:r>
      <w:r>
        <w:rPr/>
        <w:t>De la maternelle au secondaire.</w:t>
      </w:r>
    </w:p>
    <w:p>
      <w:pPr>
        <w:pStyle w:val="QuestionGSE"/>
        <w:rPr/>
      </w:pPr>
      <w:r>
        <w:rPr/>
        <w:t>Q2. Qui accompagne chaque élève ?</w:t>
      </w:r>
    </w:p>
    <w:p>
      <w:pPr>
        <w:pStyle w:val="AnswerGSE"/>
        <w:shd w:fill="F3F4F6"/>
        <w:rPr/>
      </w:pPr>
      <w:r>
        <w:rPr>
          <w:b/>
          <w:color w:val="2F6B3F"/>
        </w:rPr>
        <w:t xml:space="preserve">Réponse de référence : </w:t>
      </w:r>
      <w:r>
        <w:rPr/>
        <w:t>Le Groupe Scolaire LES ÉMINENTS.</w:t>
      </w:r>
    </w:p>
    <w:p>
      <w:pPr>
        <w:pStyle w:val="QuestionGSE"/>
        <w:rPr/>
      </w:pPr>
      <w:r>
        <w:rPr/>
        <w:t>Q3. Dans quel type de parcours l’élève est-il accompagné ?</w:t>
      </w:r>
    </w:p>
    <w:p>
      <w:pPr>
        <w:pStyle w:val="AnswerGSE"/>
        <w:shd w:fill="F3F4F6"/>
        <w:rPr/>
      </w:pPr>
      <w:r>
        <w:rPr>
          <w:b/>
          <w:color w:val="2F6B3F"/>
        </w:rPr>
        <w:t xml:space="preserve">Réponse de référence : </w:t>
      </w:r>
      <w:r>
        <w:rPr/>
        <w:t>Dans un parcours éducatif d’excellence.</w:t>
      </w:r>
    </w:p>
    <w:p>
      <w:pPr>
        <w:pStyle w:val="QuestionGSE"/>
        <w:rPr/>
      </w:pPr>
      <w:r>
        <w:rPr/>
        <w:t>Q4. Quelles trois dimensions sont alliées dans ce parcours ?</w:t>
      </w:r>
    </w:p>
    <w:p>
      <w:pPr>
        <w:pStyle w:val="AnswerGSE"/>
        <w:shd w:fill="F3F4F6"/>
        <w:rPr/>
      </w:pPr>
      <w:r>
        <w:rPr>
          <w:b/>
          <w:color w:val="2F6B3F"/>
        </w:rPr>
        <w:t xml:space="preserve">Réponse de référence : </w:t>
      </w:r>
      <w:r>
        <w:rPr/>
        <w:t>La rigueur académique, les valeurs humaines et l’ouverture sur le monde.</w:t>
      </w:r>
    </w:p>
    <w:p>
      <w:pPr>
        <w:pStyle w:val="QuestionGSE"/>
        <w:rPr/>
      </w:pPr>
      <w:r>
        <w:rPr/>
        <w:t>Q5. Quelle dimension concerne les exigences scolaires ?</w:t>
      </w:r>
    </w:p>
    <w:p>
      <w:pPr>
        <w:pStyle w:val="AnswerGSE"/>
        <w:shd w:fill="F3F4F6"/>
        <w:rPr/>
      </w:pPr>
      <w:r>
        <w:rPr>
          <w:b/>
          <w:color w:val="2F6B3F"/>
        </w:rPr>
        <w:t xml:space="preserve">Réponse de référence : </w:t>
      </w:r>
      <w:r>
        <w:rPr/>
        <w:t>La rigueur académique.</w:t>
      </w:r>
    </w:p>
    <w:p>
      <w:pPr>
        <w:pStyle w:val="QuestionGSE"/>
        <w:rPr/>
      </w:pPr>
      <w:r>
        <w:rPr/>
        <w:t>Q6. Quelle dimension concerne la formation de la personne ?</w:t>
      </w:r>
    </w:p>
    <w:p>
      <w:pPr>
        <w:pStyle w:val="AnswerGSE"/>
        <w:shd w:fill="F3F4F6"/>
        <w:rPr/>
      </w:pPr>
      <w:r>
        <w:rPr>
          <w:b/>
          <w:color w:val="2F6B3F"/>
        </w:rPr>
        <w:t xml:space="preserve">Réponse de référence : </w:t>
      </w:r>
      <w:r>
        <w:rPr/>
        <w:t>Les valeurs humaines.</w:t>
      </w:r>
    </w:p>
    <w:p>
      <w:pPr>
        <w:pStyle w:val="QuestionGSE"/>
        <w:rPr/>
      </w:pPr>
      <w:r>
        <w:rPr/>
        <w:t>Q7. Quelle dimension prépare à un environnement plus large ?</w:t>
      </w:r>
    </w:p>
    <w:p>
      <w:pPr>
        <w:pStyle w:val="AnswerGSE"/>
        <w:shd w:fill="F3F4F6"/>
        <w:rPr/>
      </w:pPr>
      <w:r>
        <w:rPr>
          <w:b/>
          <w:color w:val="2F6B3F"/>
        </w:rPr>
        <w:t xml:space="preserve">Réponse de référence : </w:t>
      </w:r>
      <w:r>
        <w:rPr/>
        <w:t>L’ouverture sur le monde.</w:t>
      </w:r>
    </w:p>
    <w:p>
      <w:pPr>
        <w:pStyle w:val="QuestionGSE"/>
        <w:rPr/>
      </w:pPr>
      <w:r>
        <w:rPr/>
        <w:t>Q8. Quel message la page d’accueil associe-t-elle au titre « NOS PROGRAMMES SCOLAIRES — message introductif » ?</w:t>
      </w:r>
    </w:p>
    <w:p>
      <w:pPr>
        <w:pStyle w:val="AnswerGSE"/>
        <w:shd w:fill="F3F4F6"/>
        <w:rPr/>
      </w:pPr>
      <w:r>
        <w:rPr>
          <w:b/>
          <w:color w:val="2F6B3F"/>
        </w:rPr>
        <w:t xml:space="preserve">Réponse de référence : </w:t>
      </w:r>
      <w:r>
        <w:rPr/>
        <w:t>De la maternelle au secondaire, le Groupe Scolaire LES ÉMINENTS accompagne chaque élève dans un parcours éducatif d’excellence, alliant rigueur académique, valeurs humaines et ouverture sur le monde.</w:t>
      </w:r>
    </w:p>
    <w:p>
      <w:pPr>
        <w:pStyle w:val="QuestionGSE"/>
        <w:rPr/>
      </w:pPr>
      <w:r>
        <w:rPr/>
        <w:t>Q9. Que doit répondre un agent lorsqu’un visiteur demande ce que dit la section « NOS PROGRAMMES SCOLAIRES — message introductif » ?</w:t>
      </w:r>
    </w:p>
    <w:p>
      <w:pPr>
        <w:pStyle w:val="AnswerGSE"/>
        <w:shd w:fill="F3F4F6"/>
        <w:rPr/>
      </w:pPr>
      <w:r>
        <w:rPr>
          <w:b/>
          <w:color w:val="2F6B3F"/>
        </w:rPr>
        <w:t xml:space="preserve">Réponse de référence : </w:t>
      </w:r>
      <w:r>
        <w:rPr/>
        <w:t>De la maternelle au secondaire, le Groupe Scolaire LES ÉMINENTS accompagne chaque élève dans un parcours éducatif d’excellence, alliant rigueur académique, valeurs humaines et ouverture sur le monde.</w:t>
      </w:r>
    </w:p>
    <w:p>
      <w:pPr>
        <w:pStyle w:val="QuestionGSE"/>
        <w:rPr/>
      </w:pPr>
      <w:r>
        <w:rPr/>
        <w:t>Q10. Quelle formulation de la page d’accueil permet de présenter fidèlement « NOS PROGRAMMES SCOLAIRES — message introductif » ?</w:t>
      </w:r>
    </w:p>
    <w:p>
      <w:pPr>
        <w:pStyle w:val="AnswerGSE"/>
        <w:shd w:fill="F3F4F6"/>
        <w:rPr/>
      </w:pPr>
      <w:r>
        <w:rPr>
          <w:b/>
          <w:color w:val="2F6B3F"/>
        </w:rPr>
        <w:t xml:space="preserve">Réponse de référence : </w:t>
      </w:r>
      <w:r>
        <w:rPr/>
        <w:t>De la maternelle au secondaire, le Groupe Scolaire LES ÉMINENTS accompagne chaque élève dans un parcours éducatif d’excellence, alliant rigueur académique, valeurs humaines et ouverture sur le monde.</w:t>
      </w:r>
    </w:p>
    <w:p>
      <w:pPr>
        <w:pStyle w:val="Normal"/>
        <w:rPr/>
      </w:pPr>
      <w:r>
        <w:rPr/>
      </w:r>
      <w:r>
        <w:br w:type="page"/>
      </w:r>
    </w:p>
    <w:p>
      <w:pPr>
        <w:pStyle w:val="Heading2"/>
        <w:spacing w:before="0" w:after="100"/>
        <w:rPr/>
      </w:pPr>
      <w:r>
        <w:rPr/>
        <w:t>22. MATERNELLE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Promesse : « Éveil, découverte et socialisation ». Développement affiché : « Développer la créativité, l’autonomie et les premières compétences de l’enfant dans un environnement sécurisant.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identifie le premier niveau du parcours scolaire présenté sur la page.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La maternelle pose les bases du développement, de la socialisation et de l’entrée progressive dans les apprentissages.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liée à l’environnement sécurisé, à l’encadrement personnalisé, aux activités d’éveil et à la continuité vers le primaire.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6 du relevé — Texte publié sur la page d’accueil</w:t>
            </w:r>
          </w:p>
        </w:tc>
      </w:tr>
    </w:tbl>
    <w:p>
      <w:pPr>
        <w:pStyle w:val="Heading3"/>
        <w:rPr/>
      </w:pPr>
      <w:r>
        <w:rPr/>
        <w:t>Banque de questions — 10 questions</w:t>
      </w:r>
    </w:p>
    <w:p>
      <w:pPr>
        <w:pStyle w:val="QuestionGSE"/>
        <w:rPr/>
      </w:pPr>
      <w:r>
        <w:rPr/>
        <w:t>Q1. Quelle promesse accompagne la maternelle ?</w:t>
      </w:r>
    </w:p>
    <w:p>
      <w:pPr>
        <w:pStyle w:val="AnswerGSE"/>
        <w:shd w:fill="F3F4F6"/>
        <w:rPr/>
      </w:pPr>
      <w:r>
        <w:rPr>
          <w:b/>
          <w:color w:val="2F6B3F"/>
        </w:rPr>
        <w:t xml:space="preserve">Réponse de référence : </w:t>
      </w:r>
      <w:r>
        <w:rPr/>
        <w:t>Éveil, découverte et socialisation.</w:t>
      </w:r>
    </w:p>
    <w:p>
      <w:pPr>
        <w:pStyle w:val="QuestionGSE"/>
        <w:rPr/>
      </w:pPr>
      <w:r>
        <w:rPr/>
        <w:t>Q2. Quelle capacité créative doit être développée ?</w:t>
      </w:r>
    </w:p>
    <w:p>
      <w:pPr>
        <w:pStyle w:val="AnswerGSE"/>
        <w:shd w:fill="F3F4F6"/>
        <w:rPr/>
      </w:pPr>
      <w:r>
        <w:rPr>
          <w:b/>
          <w:color w:val="2F6B3F"/>
        </w:rPr>
        <w:t xml:space="preserve">Réponse de référence : </w:t>
      </w:r>
      <w:r>
        <w:rPr/>
        <w:t>La créativité.</w:t>
      </w:r>
    </w:p>
    <w:p>
      <w:pPr>
        <w:pStyle w:val="QuestionGSE"/>
        <w:rPr/>
      </w:pPr>
      <w:r>
        <w:rPr/>
        <w:t>Q3. Quelle capacité d’action personnelle est visée ?</w:t>
      </w:r>
    </w:p>
    <w:p>
      <w:pPr>
        <w:pStyle w:val="AnswerGSE"/>
        <w:shd w:fill="F3F4F6"/>
        <w:rPr/>
      </w:pPr>
      <w:r>
        <w:rPr>
          <w:b/>
          <w:color w:val="2F6B3F"/>
        </w:rPr>
        <w:t xml:space="preserve">Réponse de référence : </w:t>
      </w:r>
      <w:r>
        <w:rPr/>
        <w:t>L’autonomie.</w:t>
      </w:r>
    </w:p>
    <w:p>
      <w:pPr>
        <w:pStyle w:val="QuestionGSE"/>
        <w:rPr/>
      </w:pPr>
      <w:r>
        <w:rPr/>
        <w:t>Q4. Quelles compétences sont mentionnées ?</w:t>
      </w:r>
    </w:p>
    <w:p>
      <w:pPr>
        <w:pStyle w:val="AnswerGSE"/>
        <w:shd w:fill="F3F4F6"/>
        <w:rPr/>
      </w:pPr>
      <w:r>
        <w:rPr>
          <w:b/>
          <w:color w:val="2F6B3F"/>
        </w:rPr>
        <w:t xml:space="preserve">Réponse de référence : </w:t>
      </w:r>
      <w:r>
        <w:rPr/>
        <w:t>Les premières compétences de l’enfant.</w:t>
      </w:r>
    </w:p>
    <w:p>
      <w:pPr>
        <w:pStyle w:val="QuestionGSE"/>
        <w:rPr/>
      </w:pPr>
      <w:r>
        <w:rPr/>
        <w:t>Q5. Dans quel type d’environnement ce développement doit-il se faire ?</w:t>
      </w:r>
    </w:p>
    <w:p>
      <w:pPr>
        <w:pStyle w:val="AnswerGSE"/>
        <w:shd w:fill="F3F4F6"/>
        <w:rPr/>
      </w:pPr>
      <w:r>
        <w:rPr>
          <w:b/>
          <w:color w:val="2F6B3F"/>
        </w:rPr>
        <w:t xml:space="preserve">Réponse de référence : </w:t>
      </w:r>
      <w:r>
        <w:rPr/>
        <w:t>Dans un environnement sécurisant.</w:t>
      </w:r>
    </w:p>
    <w:p>
      <w:pPr>
        <w:pStyle w:val="QuestionGSE"/>
        <w:rPr/>
      </w:pPr>
      <w:r>
        <w:rPr/>
        <w:t>Q6. Quels trois mots résument la promesse ?</w:t>
      </w:r>
    </w:p>
    <w:p>
      <w:pPr>
        <w:pStyle w:val="AnswerGSE"/>
        <w:shd w:fill="F3F4F6"/>
        <w:rPr/>
      </w:pPr>
      <w:r>
        <w:rPr>
          <w:b/>
          <w:color w:val="2F6B3F"/>
        </w:rPr>
        <w:t xml:space="preserve">Réponse de référence : </w:t>
      </w:r>
      <w:r>
        <w:rPr/>
        <w:t>Éveil, découverte et socialisation.</w:t>
      </w:r>
    </w:p>
    <w:p>
      <w:pPr>
        <w:pStyle w:val="QuestionGSE"/>
        <w:rPr/>
      </w:pPr>
      <w:r>
        <w:rPr/>
        <w:t>Q7. Qui est concerné par ce développement ?</w:t>
      </w:r>
    </w:p>
    <w:p>
      <w:pPr>
        <w:pStyle w:val="AnswerGSE"/>
        <w:shd w:fill="F3F4F6"/>
        <w:rPr/>
      </w:pPr>
      <w:r>
        <w:rPr>
          <w:b/>
          <w:color w:val="2F6B3F"/>
        </w:rPr>
        <w:t xml:space="preserve">Réponse de référence : </w:t>
      </w:r>
      <w:r>
        <w:rPr/>
        <w:t>L’enfant.</w:t>
      </w:r>
    </w:p>
    <w:p>
      <w:pPr>
        <w:pStyle w:val="QuestionGSE"/>
        <w:rPr/>
      </w:pPr>
      <w:r>
        <w:rPr/>
        <w:t>Q8. Quel message la page d’accueil associe-t-elle au titre « MATERNELLE » ?</w:t>
      </w:r>
    </w:p>
    <w:p>
      <w:pPr>
        <w:pStyle w:val="AnswerGSE"/>
        <w:shd w:fill="F3F4F6"/>
        <w:rPr/>
      </w:pPr>
      <w:r>
        <w:rPr>
          <w:b/>
          <w:color w:val="2F6B3F"/>
        </w:rPr>
        <w:t xml:space="preserve">Réponse de référence : </w:t>
      </w:r>
      <w:r>
        <w:rPr/>
        <w:t>Promesse : « Éveil, découverte et socialisation ». Développement affiché : « Développer la créativité, l’autonomie et les premières compétences de l’enfant dans un environnement sécurisant. »</w:t>
      </w:r>
    </w:p>
    <w:p>
      <w:pPr>
        <w:pStyle w:val="QuestionGSE"/>
        <w:rPr/>
      </w:pPr>
      <w:r>
        <w:rPr/>
        <w:t>Q9. Que doit répondre un agent lorsqu’un visiteur demande ce que dit la section « MATERNELLE » ?</w:t>
      </w:r>
    </w:p>
    <w:p>
      <w:pPr>
        <w:pStyle w:val="AnswerGSE"/>
        <w:shd w:fill="F3F4F6"/>
        <w:rPr/>
      </w:pPr>
      <w:r>
        <w:rPr>
          <w:b/>
          <w:color w:val="2F6B3F"/>
        </w:rPr>
        <w:t xml:space="preserve">Réponse de référence : </w:t>
      </w:r>
      <w:r>
        <w:rPr/>
        <w:t>Promesse : « Éveil, découverte et socialisation ». Développement affiché : « Développer la créativité, l’autonomie et les premières compétences de l’enfant dans un environnement sécurisant. »</w:t>
      </w:r>
    </w:p>
    <w:p>
      <w:pPr>
        <w:pStyle w:val="QuestionGSE"/>
        <w:rPr/>
      </w:pPr>
      <w:r>
        <w:rPr/>
        <w:t>Q10. Quelle formulation de la page d’accueil permet de présenter fidèlement « MATERNELLE » ?</w:t>
      </w:r>
    </w:p>
    <w:p>
      <w:pPr>
        <w:pStyle w:val="AnswerGSE"/>
        <w:shd w:fill="F3F4F6"/>
        <w:rPr/>
      </w:pPr>
      <w:r>
        <w:rPr>
          <w:b/>
          <w:color w:val="2F6B3F"/>
        </w:rPr>
        <w:t xml:space="preserve">Réponse de référence : </w:t>
      </w:r>
      <w:r>
        <w:rPr/>
        <w:t>Promesse : « Éveil, découverte et socialisation ». Développement affiché : « Développer la créativité, l’autonomie et les premières compétences de l’enfant dans un environnement sécurisant. »</w:t>
      </w:r>
    </w:p>
    <w:p>
      <w:pPr>
        <w:pStyle w:val="Normal"/>
        <w:rPr/>
      </w:pPr>
      <w:r>
        <w:rPr/>
      </w:r>
      <w:r>
        <w:br w:type="page"/>
      </w:r>
    </w:p>
    <w:p>
      <w:pPr>
        <w:pStyle w:val="Heading2"/>
        <w:spacing w:before="0" w:after="100"/>
        <w:rPr/>
      </w:pPr>
      <w:r>
        <w:rPr/>
        <w:t>23. PRIMAIRE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Promesse : « Les fondations de la réussite ». Développement affiché : « Acquisition des connaissances fondamentales, développement de l’esprit critique et goût de l’apprentissage.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identifie le niveau où se construisent les apprentissages fondamentaux.</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primaire est présenté comme la base de la réussite future et du développement de compétences intellectuelles durables.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se relie à l’excellence académique, à la rigueur, à l’esprit critique, à l’innovation et à la préparation au secondaire.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6 du relevé — Texte publié sur la page d’accueil</w:t>
            </w:r>
          </w:p>
        </w:tc>
      </w:tr>
    </w:tbl>
    <w:p>
      <w:pPr>
        <w:pStyle w:val="Heading3"/>
        <w:rPr/>
      </w:pPr>
      <w:r>
        <w:rPr/>
        <w:t>Banque de questions — 10 questions</w:t>
      </w:r>
    </w:p>
    <w:p>
      <w:pPr>
        <w:pStyle w:val="QuestionGSE"/>
        <w:rPr/>
      </w:pPr>
      <w:r>
        <w:rPr/>
        <w:t>Q1. Quelle promesse accompagne le primaire ?</w:t>
      </w:r>
    </w:p>
    <w:p>
      <w:pPr>
        <w:pStyle w:val="AnswerGSE"/>
        <w:shd w:fill="F3F4F6"/>
        <w:rPr/>
      </w:pPr>
      <w:r>
        <w:rPr>
          <w:b/>
          <w:color w:val="2F6B3F"/>
        </w:rPr>
        <w:t xml:space="preserve">Réponse de référence : </w:t>
      </w:r>
      <w:r>
        <w:rPr/>
        <w:t>Les fondations de la réussite.</w:t>
      </w:r>
    </w:p>
    <w:p>
      <w:pPr>
        <w:pStyle w:val="QuestionGSE"/>
        <w:rPr/>
      </w:pPr>
      <w:r>
        <w:rPr/>
        <w:t>Q2. Quel type de connaissances doit être acquis ?</w:t>
      </w:r>
    </w:p>
    <w:p>
      <w:pPr>
        <w:pStyle w:val="AnswerGSE"/>
        <w:shd w:fill="F3F4F6"/>
        <w:rPr/>
      </w:pPr>
      <w:r>
        <w:rPr>
          <w:b/>
          <w:color w:val="2F6B3F"/>
        </w:rPr>
        <w:t xml:space="preserve">Réponse de référence : </w:t>
      </w:r>
      <w:r>
        <w:rPr/>
        <w:t>Les connaissances fondamentales.</w:t>
      </w:r>
    </w:p>
    <w:p>
      <w:pPr>
        <w:pStyle w:val="QuestionGSE"/>
        <w:rPr/>
      </w:pPr>
      <w:r>
        <w:rPr/>
        <w:t>Q3. Quelle capacité de réflexion doit être développée ?</w:t>
      </w:r>
    </w:p>
    <w:p>
      <w:pPr>
        <w:pStyle w:val="AnswerGSE"/>
        <w:shd w:fill="F3F4F6"/>
        <w:rPr/>
      </w:pPr>
      <w:r>
        <w:rPr>
          <w:b/>
          <w:color w:val="2F6B3F"/>
        </w:rPr>
        <w:t xml:space="preserve">Réponse de référence : </w:t>
      </w:r>
      <w:r>
        <w:rPr/>
        <w:t>L’esprit critique.</w:t>
      </w:r>
    </w:p>
    <w:p>
      <w:pPr>
        <w:pStyle w:val="QuestionGSE"/>
        <w:rPr/>
      </w:pPr>
      <w:r>
        <w:rPr/>
        <w:t>Q4. Quel rapport positif aux études est recherché ?</w:t>
      </w:r>
    </w:p>
    <w:p>
      <w:pPr>
        <w:pStyle w:val="AnswerGSE"/>
        <w:shd w:fill="F3F4F6"/>
        <w:rPr/>
      </w:pPr>
      <w:r>
        <w:rPr>
          <w:b/>
          <w:color w:val="2F6B3F"/>
        </w:rPr>
        <w:t xml:space="preserve">Réponse de référence : </w:t>
      </w:r>
      <w:r>
        <w:rPr/>
        <w:t>Le goût de l’apprentissage.</w:t>
      </w:r>
    </w:p>
    <w:p>
      <w:pPr>
        <w:pStyle w:val="QuestionGSE"/>
        <w:rPr/>
      </w:pPr>
      <w:r>
        <w:rPr/>
        <w:t>Q5. Quels trois axes sont énumérés ?</w:t>
      </w:r>
    </w:p>
    <w:p>
      <w:pPr>
        <w:pStyle w:val="AnswerGSE"/>
        <w:shd w:fill="F3F4F6"/>
        <w:rPr/>
      </w:pPr>
      <w:r>
        <w:rPr>
          <w:b/>
          <w:color w:val="2F6B3F"/>
        </w:rPr>
        <w:t xml:space="preserve">Réponse de référence : </w:t>
      </w:r>
      <w:r>
        <w:rPr/>
        <w:t>L’acquisition des connaissances fondamentales, le développement de l’esprit critique et le goût de l’apprentissage.</w:t>
      </w:r>
    </w:p>
    <w:p>
      <w:pPr>
        <w:pStyle w:val="QuestionGSE"/>
        <w:rPr/>
      </w:pPr>
      <w:r>
        <w:rPr/>
        <w:t>Q6. À quoi les fondations présentées doivent-elles conduire ?</w:t>
      </w:r>
    </w:p>
    <w:p>
      <w:pPr>
        <w:pStyle w:val="AnswerGSE"/>
        <w:shd w:fill="F3F4F6"/>
        <w:rPr/>
      </w:pPr>
      <w:r>
        <w:rPr>
          <w:b/>
          <w:color w:val="2F6B3F"/>
        </w:rPr>
        <w:t xml:space="preserve">Réponse de référence : </w:t>
      </w:r>
      <w:r>
        <w:rPr/>
        <w:t>À la réussite.</w:t>
      </w:r>
    </w:p>
    <w:p>
      <w:pPr>
        <w:pStyle w:val="QuestionGSE"/>
        <w:rPr/>
      </w:pPr>
      <w:r>
        <w:rPr/>
        <w:t>Q7. Quel message la page d’accueil associe-t-elle au titre « PRIMAIRE » ?</w:t>
      </w:r>
    </w:p>
    <w:p>
      <w:pPr>
        <w:pStyle w:val="AnswerGSE"/>
        <w:shd w:fill="F3F4F6"/>
        <w:rPr/>
      </w:pPr>
      <w:r>
        <w:rPr>
          <w:b/>
          <w:color w:val="2F6B3F"/>
        </w:rPr>
        <w:t xml:space="preserve">Réponse de référence : </w:t>
      </w:r>
      <w:r>
        <w:rPr/>
        <w:t>Promesse : « Les fondations de la réussite ». Développement affiché : « Acquisition des connaissances fondamentales, développement de l’esprit critique et goût de l’apprentissage. »</w:t>
      </w:r>
    </w:p>
    <w:p>
      <w:pPr>
        <w:pStyle w:val="QuestionGSE"/>
        <w:rPr/>
      </w:pPr>
      <w:r>
        <w:rPr/>
        <w:t>Q8. Que doit répondre un agent lorsqu’un visiteur demande ce que dit la section « PRIMAIRE » ?</w:t>
      </w:r>
    </w:p>
    <w:p>
      <w:pPr>
        <w:pStyle w:val="AnswerGSE"/>
        <w:shd w:fill="F3F4F6"/>
        <w:rPr/>
      </w:pPr>
      <w:r>
        <w:rPr>
          <w:b/>
          <w:color w:val="2F6B3F"/>
        </w:rPr>
        <w:t xml:space="preserve">Réponse de référence : </w:t>
      </w:r>
      <w:r>
        <w:rPr/>
        <w:t>Promesse : « Les fondations de la réussite ». Développement affiché : « Acquisition des connaissances fondamentales, développement de l’esprit critique et goût de l’apprentissage. »</w:t>
      </w:r>
    </w:p>
    <w:p>
      <w:pPr>
        <w:pStyle w:val="QuestionGSE"/>
        <w:rPr/>
      </w:pPr>
      <w:r>
        <w:rPr/>
        <w:t>Q9. Quelle formulation de la page d’accueil permet de présenter fidèlement « PRIMAIRE » ?</w:t>
      </w:r>
    </w:p>
    <w:p>
      <w:pPr>
        <w:pStyle w:val="AnswerGSE"/>
        <w:shd w:fill="F3F4F6"/>
        <w:rPr/>
      </w:pPr>
      <w:r>
        <w:rPr>
          <w:b/>
          <w:color w:val="2F6B3F"/>
        </w:rPr>
        <w:t xml:space="preserve">Réponse de référence : </w:t>
      </w:r>
      <w:r>
        <w:rPr/>
        <w:t>Promesse : « Les fondations de la réussite ». Développement affiché : « Acquisition des connaissances fondamentales, développement de l’esprit critique et goût de l’apprentissage. »</w:t>
      </w:r>
    </w:p>
    <w:p>
      <w:pPr>
        <w:pStyle w:val="QuestionGSE"/>
        <w:rPr/>
      </w:pPr>
      <w:r>
        <w:rPr/>
        <w:t>Q10. Que doit retenir un parent après lecture de la section « PRIMAIRE » ?</w:t>
      </w:r>
    </w:p>
    <w:p>
      <w:pPr>
        <w:pStyle w:val="AnswerGSE"/>
        <w:shd w:fill="F3F4F6"/>
        <w:rPr/>
      </w:pPr>
      <w:r>
        <w:rPr>
          <w:b/>
          <w:color w:val="2F6B3F"/>
        </w:rPr>
        <w:t xml:space="preserve">Réponse de référence : </w:t>
      </w:r>
      <w:r>
        <w:rPr/>
        <w:t>Promesse : « Les fondations de la réussite ». Développement affiché : « Acquisition des connaissances fondamentales, développement de l’esprit critique et goût de l’apprentissage. »</w:t>
      </w:r>
    </w:p>
    <w:p>
      <w:pPr>
        <w:pStyle w:val="Normal"/>
        <w:rPr/>
      </w:pPr>
      <w:r>
        <w:rPr/>
      </w:r>
      <w:r>
        <w:br w:type="page"/>
      </w:r>
    </w:p>
    <w:p>
      <w:pPr>
        <w:pStyle w:val="Heading2"/>
        <w:spacing w:before="0" w:after="100"/>
        <w:rPr/>
      </w:pPr>
      <w:r>
        <w:rPr/>
        <w:t>24. SECONDAIRE (PLUTARD)</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Promesse : « Excellence et préparation à l’avenir ». Développement affiché : « Une formation solide préparant les élèves aux études supérieures et aux défis du monde moderne.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annonce un niveau secondaire prévu ultérieurement, tout en présentant déjà son orientation.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donne une vision de continuité aux familles et montre que le projet éducatif se projette vers l’enseignement supérieur et l’avenir.</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 primaire, à l’excellence académique, à l’ouverture internationale et à la préparation aux études supérieures.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6 du relevé — Texte publié sur la page d’accueil</w:t>
            </w:r>
          </w:p>
        </w:tc>
      </w:tr>
    </w:tbl>
    <w:p>
      <w:pPr>
        <w:pStyle w:val="Normal"/>
        <w:pBdr>
          <w:left w:val="single" w:sz="10" w:space="6" w:color="9C2F2F"/>
        </w:pBdr>
        <w:shd w:fill="FDECEC"/>
        <w:rPr/>
      </w:pPr>
      <w:r>
        <w:rPr>
          <w:b/>
          <w:color w:val="9C2F2F"/>
        </w:rPr>
        <w:t xml:space="preserve">Note de vigilance : </w:t>
      </w:r>
      <w:r>
        <w:rPr/>
        <w:t>Observation éditoriale : le relevé recommande de remplacer « PLUTARD » par « PLUS TARD » ou, plus clairement, « PROCHAINEMENT ».</w:t>
      </w:r>
    </w:p>
    <w:p>
      <w:pPr>
        <w:pStyle w:val="Heading3"/>
        <w:rPr/>
      </w:pPr>
      <w:r>
        <w:rPr/>
        <w:t>Banque de questions — 10 questions</w:t>
      </w:r>
    </w:p>
    <w:p>
      <w:pPr>
        <w:pStyle w:val="QuestionGSE"/>
        <w:rPr/>
      </w:pPr>
      <w:r>
        <w:rPr/>
        <w:t>Q1. Quelle promesse accompagne le secondaire ?</w:t>
      </w:r>
    </w:p>
    <w:p>
      <w:pPr>
        <w:pStyle w:val="AnswerGSE"/>
        <w:shd w:fill="F3F4F6"/>
        <w:rPr/>
      </w:pPr>
      <w:r>
        <w:rPr>
          <w:b/>
          <w:color w:val="2F6B3F"/>
        </w:rPr>
        <w:t xml:space="preserve">Réponse de référence : </w:t>
      </w:r>
      <w:r>
        <w:rPr/>
        <w:t>Excellence et préparation à l’avenir.</w:t>
      </w:r>
    </w:p>
    <w:p>
      <w:pPr>
        <w:pStyle w:val="QuestionGSE"/>
        <w:rPr/>
      </w:pPr>
      <w:r>
        <w:rPr/>
        <w:t>Q2. Comment la formation secondaire est-elle qualifiée ?</w:t>
      </w:r>
    </w:p>
    <w:p>
      <w:pPr>
        <w:pStyle w:val="AnswerGSE"/>
        <w:shd w:fill="F3F4F6"/>
        <w:rPr/>
      </w:pPr>
      <w:r>
        <w:rPr>
          <w:b/>
          <w:color w:val="2F6B3F"/>
        </w:rPr>
        <w:t xml:space="preserve">Réponse de référence : </w:t>
      </w:r>
      <w:r>
        <w:rPr/>
        <w:t>Solide.</w:t>
      </w:r>
    </w:p>
    <w:p>
      <w:pPr>
        <w:pStyle w:val="QuestionGSE"/>
        <w:rPr/>
      </w:pPr>
      <w:r>
        <w:rPr/>
        <w:t>Q3. À quoi les élèves doivent-ils être préparés ?</w:t>
      </w:r>
    </w:p>
    <w:p>
      <w:pPr>
        <w:pStyle w:val="AnswerGSE"/>
        <w:shd w:fill="F3F4F6"/>
        <w:rPr/>
      </w:pPr>
      <w:r>
        <w:rPr>
          <w:b/>
          <w:color w:val="2F6B3F"/>
        </w:rPr>
        <w:t xml:space="preserve">Réponse de référence : </w:t>
      </w:r>
      <w:r>
        <w:rPr/>
        <w:t>Aux études supérieures et aux défis du monde moderne.</w:t>
      </w:r>
    </w:p>
    <w:p>
      <w:pPr>
        <w:pStyle w:val="QuestionGSE"/>
        <w:rPr/>
      </w:pPr>
      <w:r>
        <w:rPr/>
        <w:t>Q4. Quel horizon académique est explicitement cité ?</w:t>
      </w:r>
    </w:p>
    <w:p>
      <w:pPr>
        <w:pStyle w:val="AnswerGSE"/>
        <w:shd w:fill="F3F4F6"/>
        <w:rPr/>
      </w:pPr>
      <w:r>
        <w:rPr>
          <w:b/>
          <w:color w:val="2F6B3F"/>
        </w:rPr>
        <w:t xml:space="preserve">Réponse de référence : </w:t>
      </w:r>
      <w:r>
        <w:rPr/>
        <w:t>Les études supérieures.</w:t>
      </w:r>
    </w:p>
    <w:p>
      <w:pPr>
        <w:pStyle w:val="QuestionGSE"/>
        <w:rPr/>
      </w:pPr>
      <w:r>
        <w:rPr/>
        <w:t>Q5. Quel environnement de défis est mentionné ?</w:t>
      </w:r>
    </w:p>
    <w:p>
      <w:pPr>
        <w:pStyle w:val="AnswerGSE"/>
        <w:shd w:fill="F3F4F6"/>
        <w:rPr/>
      </w:pPr>
      <w:r>
        <w:rPr>
          <w:b/>
          <w:color w:val="2F6B3F"/>
        </w:rPr>
        <w:t xml:space="preserve">Réponse de référence : </w:t>
      </w:r>
      <w:r>
        <w:rPr/>
        <w:t>Le monde moderne.</w:t>
      </w:r>
    </w:p>
    <w:p>
      <w:pPr>
        <w:pStyle w:val="QuestionGSE"/>
        <w:rPr/>
      </w:pPr>
      <w:r>
        <w:rPr/>
        <w:t>Q6. Quels sont les deux axes de la promesse ?</w:t>
      </w:r>
    </w:p>
    <w:p>
      <w:pPr>
        <w:pStyle w:val="AnswerGSE"/>
        <w:shd w:fill="F3F4F6"/>
        <w:rPr/>
      </w:pPr>
      <w:r>
        <w:rPr>
          <w:b/>
          <w:color w:val="2F6B3F"/>
        </w:rPr>
        <w:t xml:space="preserve">Réponse de référence : </w:t>
      </w:r>
      <w:r>
        <w:rPr/>
        <w:t>L’excellence et la préparation à l’avenir.</w:t>
      </w:r>
    </w:p>
    <w:p>
      <w:pPr>
        <w:pStyle w:val="QuestionGSE"/>
        <w:rPr/>
      </w:pPr>
      <w:r>
        <w:rPr/>
        <w:t>Q7. Le niveau est-il présenté comme immédiatement disponible ?</w:t>
      </w:r>
    </w:p>
    <w:p>
      <w:pPr>
        <w:pStyle w:val="AnswerGSE"/>
        <w:shd w:fill="F3F4F6"/>
        <w:rPr/>
      </w:pPr>
      <w:r>
        <w:rPr>
          <w:b/>
          <w:color w:val="2F6B3F"/>
        </w:rPr>
        <w:t xml:space="preserve">Réponse de référence : </w:t>
      </w:r>
      <w:r>
        <w:rPr/>
        <w:t>Le visuel l’indique comme « SECONDAIRE (PLUTARD) ».</w:t>
      </w:r>
    </w:p>
    <w:p>
      <w:pPr>
        <w:pStyle w:val="QuestionGSE"/>
        <w:rPr/>
      </w:pPr>
      <w:r>
        <w:rPr/>
        <w:t>Q8. Quel message la page d’accueil associe-t-elle au titre « SECONDAIRE (PLUTARD) » ?</w:t>
      </w:r>
    </w:p>
    <w:p>
      <w:pPr>
        <w:pStyle w:val="AnswerGSE"/>
        <w:shd w:fill="F3F4F6"/>
        <w:rPr/>
      </w:pPr>
      <w:r>
        <w:rPr>
          <w:b/>
          <w:color w:val="2F6B3F"/>
        </w:rPr>
        <w:t xml:space="preserve">Réponse de référence : </w:t>
      </w:r>
      <w:r>
        <w:rPr/>
        <w:t>Promesse : « Excellence et préparation à l’avenir ». Développement affiché : « Une formation solide préparant les élèves aux études supérieures et aux défis du monde moderne. »</w:t>
      </w:r>
    </w:p>
    <w:p>
      <w:pPr>
        <w:pStyle w:val="QuestionGSE"/>
        <w:rPr/>
      </w:pPr>
      <w:r>
        <w:rPr/>
        <w:t>Q9. Que doit répondre un agent lorsqu’un visiteur demande ce que dit la section « SECONDAIRE (PLUTARD) » ?</w:t>
      </w:r>
    </w:p>
    <w:p>
      <w:pPr>
        <w:pStyle w:val="AnswerGSE"/>
        <w:shd w:fill="F3F4F6"/>
        <w:rPr/>
      </w:pPr>
      <w:r>
        <w:rPr>
          <w:b/>
          <w:color w:val="2F6B3F"/>
        </w:rPr>
        <w:t xml:space="preserve">Réponse de référence : </w:t>
      </w:r>
      <w:r>
        <w:rPr/>
        <w:t>Promesse : « Excellence et préparation à l’avenir ». Développement affiché : « Une formation solide préparant les élèves aux études supérieures et aux défis du monde moderne. »</w:t>
      </w:r>
    </w:p>
    <w:p>
      <w:pPr>
        <w:pStyle w:val="QuestionGSE"/>
        <w:rPr/>
      </w:pPr>
      <w:r>
        <w:rPr/>
        <w:t>Q10. Quelle formulation de la page d’accueil permet de présenter fidèlement « SECONDAIRE (PLUTARD) » ?</w:t>
      </w:r>
    </w:p>
    <w:p>
      <w:pPr>
        <w:pStyle w:val="AnswerGSE"/>
        <w:shd w:fill="F3F4F6"/>
        <w:rPr/>
      </w:pPr>
      <w:r>
        <w:rPr>
          <w:b/>
          <w:color w:val="2F6B3F"/>
        </w:rPr>
        <w:t xml:space="preserve">Réponse de référence : </w:t>
      </w:r>
      <w:r>
        <w:rPr/>
        <w:t>Promesse : « Excellence et préparation à l’avenir ». Développement affiché : « Une formation solide préparant les élèves aux études supérieures et aux défis du monde moderne. »</w:t>
      </w:r>
    </w:p>
    <w:p>
      <w:pPr>
        <w:pStyle w:val="Normal"/>
        <w:rPr/>
      </w:pPr>
      <w:r>
        <w:rPr/>
      </w:r>
      <w:r>
        <w:br w:type="page"/>
      </w:r>
    </w:p>
    <w:p>
      <w:pPr>
        <w:pStyle w:val="Heading2"/>
        <w:spacing w:before="0" w:after="100"/>
        <w:rPr/>
      </w:pPr>
      <w:r>
        <w:rPr/>
        <w:t>25. SECTION BILINGUE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Promesse : « Maîtriser le français et l’anglais ». Développement affiché : « Un enseignement favorisant la communication internationale et l’ouverture aux opportunités mondiales.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identifie l’offre spécifiquement orientée vers la maîtrise de deux langues.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Cette section soutient la communication internationale et l’accès à des opportunités plus larges.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est liée au bilinguisme, à l’éducation bilingue, à l’ouverture internationale et aux partenariats internationaux.</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6 du relevé — Texte publié sur la page d’accueil</w:t>
            </w:r>
          </w:p>
        </w:tc>
      </w:tr>
    </w:tbl>
    <w:p>
      <w:pPr>
        <w:pStyle w:val="Heading3"/>
        <w:rPr/>
      </w:pPr>
      <w:r>
        <w:rPr/>
        <w:t>Banque de questions — 10 questions</w:t>
      </w:r>
    </w:p>
    <w:p>
      <w:pPr>
        <w:pStyle w:val="QuestionGSE"/>
        <w:rPr/>
      </w:pPr>
      <w:r>
        <w:rPr/>
        <w:t>Q1. Quelle promesse accompagne la section bilingue ?</w:t>
      </w:r>
    </w:p>
    <w:p>
      <w:pPr>
        <w:pStyle w:val="AnswerGSE"/>
        <w:shd w:fill="F3F4F6"/>
        <w:rPr/>
      </w:pPr>
      <w:r>
        <w:rPr>
          <w:b/>
          <w:color w:val="2F6B3F"/>
        </w:rPr>
        <w:t xml:space="preserve">Réponse de référence : </w:t>
      </w:r>
      <w:r>
        <w:rPr/>
        <w:t>Maîtriser le français et l’anglais.</w:t>
      </w:r>
    </w:p>
    <w:p>
      <w:pPr>
        <w:pStyle w:val="QuestionGSE"/>
        <w:rPr/>
      </w:pPr>
      <w:r>
        <w:rPr/>
        <w:t>Q2. Quelles langues sont citées ?</w:t>
      </w:r>
    </w:p>
    <w:p>
      <w:pPr>
        <w:pStyle w:val="AnswerGSE"/>
        <w:shd w:fill="F3F4F6"/>
        <w:rPr/>
      </w:pPr>
      <w:r>
        <w:rPr>
          <w:b/>
          <w:color w:val="2F6B3F"/>
        </w:rPr>
        <w:t xml:space="preserve">Réponse de référence : </w:t>
      </w:r>
      <w:r>
        <w:rPr/>
        <w:t>Le français et l’anglais.</w:t>
      </w:r>
    </w:p>
    <w:p>
      <w:pPr>
        <w:pStyle w:val="QuestionGSE"/>
        <w:rPr/>
      </w:pPr>
      <w:r>
        <w:rPr/>
        <w:t>Q3. Que doit favoriser l’enseignement ?</w:t>
      </w:r>
    </w:p>
    <w:p>
      <w:pPr>
        <w:pStyle w:val="AnswerGSE"/>
        <w:shd w:fill="F3F4F6"/>
        <w:rPr/>
      </w:pPr>
      <w:r>
        <w:rPr>
          <w:b/>
          <w:color w:val="2F6B3F"/>
        </w:rPr>
        <w:t xml:space="preserve">Réponse de référence : </w:t>
      </w:r>
      <w:r>
        <w:rPr/>
        <w:t>La communication internationale.</w:t>
      </w:r>
    </w:p>
    <w:p>
      <w:pPr>
        <w:pStyle w:val="QuestionGSE"/>
        <w:rPr/>
      </w:pPr>
      <w:r>
        <w:rPr/>
        <w:t>Q4. À quoi cet enseignement doit-il ouvrir ?</w:t>
      </w:r>
    </w:p>
    <w:p>
      <w:pPr>
        <w:pStyle w:val="AnswerGSE"/>
        <w:shd w:fill="F3F4F6"/>
        <w:rPr/>
      </w:pPr>
      <w:r>
        <w:rPr>
          <w:b/>
          <w:color w:val="2F6B3F"/>
        </w:rPr>
        <w:t xml:space="preserve">Réponse de référence : </w:t>
      </w:r>
      <w:r>
        <w:rPr/>
        <w:t>Aux opportunités mondiales.</w:t>
      </w:r>
    </w:p>
    <w:p>
      <w:pPr>
        <w:pStyle w:val="QuestionGSE"/>
        <w:rPr/>
      </w:pPr>
      <w:r>
        <w:rPr/>
        <w:t>Q5. Quels deux effets sont attendus ?</w:t>
      </w:r>
    </w:p>
    <w:p>
      <w:pPr>
        <w:pStyle w:val="AnswerGSE"/>
        <w:shd w:fill="F3F4F6"/>
        <w:rPr/>
      </w:pPr>
      <w:r>
        <w:rPr>
          <w:b/>
          <w:color w:val="2F6B3F"/>
        </w:rPr>
        <w:t xml:space="preserve">Réponse de référence : </w:t>
      </w:r>
      <w:r>
        <w:rPr/>
        <w:t>La communication internationale et l’ouverture aux opportunités mondiales.</w:t>
      </w:r>
    </w:p>
    <w:p>
      <w:pPr>
        <w:pStyle w:val="QuestionGSE"/>
        <w:rPr/>
      </w:pPr>
      <w:r>
        <w:rPr/>
        <w:t>Q6. Quel type d’enseignement est présenté ?</w:t>
      </w:r>
    </w:p>
    <w:p>
      <w:pPr>
        <w:pStyle w:val="AnswerGSE"/>
        <w:shd w:fill="F3F4F6"/>
        <w:rPr/>
      </w:pPr>
      <w:r>
        <w:rPr>
          <w:b/>
          <w:color w:val="2F6B3F"/>
        </w:rPr>
        <w:t xml:space="preserve">Réponse de référence : </w:t>
      </w:r>
      <w:r>
        <w:rPr/>
        <w:t>Un enseignement favorisant la communication internationale et l’ouverture aux opportunités mondiales.</w:t>
      </w:r>
    </w:p>
    <w:p>
      <w:pPr>
        <w:pStyle w:val="QuestionGSE"/>
        <w:rPr/>
      </w:pPr>
      <w:r>
        <w:rPr/>
        <w:t>Q7. Quel message la page d’accueil associe-t-elle au titre « SECTION BILINGUE » ?</w:t>
      </w:r>
    </w:p>
    <w:p>
      <w:pPr>
        <w:pStyle w:val="AnswerGSE"/>
        <w:shd w:fill="F3F4F6"/>
        <w:rPr/>
      </w:pPr>
      <w:r>
        <w:rPr>
          <w:b/>
          <w:color w:val="2F6B3F"/>
        </w:rPr>
        <w:t xml:space="preserve">Réponse de référence : </w:t>
      </w:r>
      <w:r>
        <w:rPr/>
        <w:t>Promesse : « Maîtriser le français et l’anglais ». Développement affiché : « Un enseignement favorisant la communication internationale et l’ouverture aux opportunités mondiales. »</w:t>
      </w:r>
    </w:p>
    <w:p>
      <w:pPr>
        <w:pStyle w:val="QuestionGSE"/>
        <w:rPr/>
      </w:pPr>
      <w:r>
        <w:rPr/>
        <w:t>Q8. Que doit répondre un agent lorsqu’un visiteur demande ce que dit la section « SECTION BILINGUE » ?</w:t>
      </w:r>
    </w:p>
    <w:p>
      <w:pPr>
        <w:pStyle w:val="AnswerGSE"/>
        <w:shd w:fill="F3F4F6"/>
        <w:rPr/>
      </w:pPr>
      <w:r>
        <w:rPr>
          <w:b/>
          <w:color w:val="2F6B3F"/>
        </w:rPr>
        <w:t xml:space="preserve">Réponse de référence : </w:t>
      </w:r>
      <w:r>
        <w:rPr/>
        <w:t>Promesse : « Maîtriser le français et l’anglais ». Développement affiché : « Un enseignement favorisant la communication internationale et l’ouverture aux opportunités mondiales. »</w:t>
      </w:r>
    </w:p>
    <w:p>
      <w:pPr>
        <w:pStyle w:val="QuestionGSE"/>
        <w:rPr/>
      </w:pPr>
      <w:r>
        <w:rPr/>
        <w:t>Q9. Quelle formulation de la page d’accueil permet de présenter fidèlement « SECTION BILINGUE » ?</w:t>
      </w:r>
    </w:p>
    <w:p>
      <w:pPr>
        <w:pStyle w:val="AnswerGSE"/>
        <w:shd w:fill="F3F4F6"/>
        <w:rPr/>
      </w:pPr>
      <w:r>
        <w:rPr>
          <w:b/>
          <w:color w:val="2F6B3F"/>
        </w:rPr>
        <w:t xml:space="preserve">Réponse de référence : </w:t>
      </w:r>
      <w:r>
        <w:rPr/>
        <w:t>Promesse : « Maîtriser le français et l’anglais ». Développement affiché : « Un enseignement favorisant la communication internationale et l’ouverture aux opportunités mondiales. »</w:t>
      </w:r>
    </w:p>
    <w:p>
      <w:pPr>
        <w:pStyle w:val="QuestionGSE"/>
        <w:rPr/>
      </w:pPr>
      <w:r>
        <w:rPr/>
        <w:t>Q10. Que doit retenir un parent après lecture de la section « SECTION BILINGUE » ?</w:t>
      </w:r>
    </w:p>
    <w:p>
      <w:pPr>
        <w:pStyle w:val="AnswerGSE"/>
        <w:shd w:fill="F3F4F6"/>
        <w:rPr/>
      </w:pPr>
      <w:r>
        <w:rPr>
          <w:b/>
          <w:color w:val="2F6B3F"/>
        </w:rPr>
        <w:t xml:space="preserve">Réponse de référence : </w:t>
      </w:r>
      <w:r>
        <w:rPr/>
        <w:t>Promesse : « Maîtriser le français et l’anglais ». Développement affiché : « Un enseignement favorisant la communication internationale et l’ouverture aux opportunités mondiales. »</w:t>
      </w:r>
    </w:p>
    <w:p>
      <w:pPr>
        <w:pStyle w:val="Normal"/>
        <w:rPr/>
      </w:pPr>
      <w:r>
        <w:rPr/>
      </w:r>
      <w:r>
        <w:br w:type="page"/>
      </w:r>
    </w:p>
    <w:p>
      <w:pPr>
        <w:pStyle w:val="Heading2"/>
        <w:spacing w:before="0" w:after="100"/>
        <w:rPr/>
      </w:pPr>
      <w:r>
        <w:rPr/>
        <w:t>26. Découvrir tous nos programmes</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Texte d’accompagnement : « Découvrez en détail nos programmes, nos méthodes pédagogiques et les opportunités offertes à chaque niveau d’enseignement. » Bouton : « Découvrir tous nos programmes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du bouton invite le visiteur à approfondir les informations résumées sur la page d’accueil.</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évite de surcharger l’accueil tout en guidant les familles vers une présentation plus complète avant leur décision.</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aux niveaux scolaires, aux méthodes pédagogiques, aux opportunités, aux admissions et au menu NOS PROGRAMMES SCOLAIRES.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6 du relevé — Texte publié sur la page d’accueil</w:t>
            </w:r>
          </w:p>
        </w:tc>
      </w:tr>
    </w:tbl>
    <w:p>
      <w:pPr>
        <w:pStyle w:val="Heading3"/>
        <w:rPr/>
      </w:pPr>
      <w:r>
        <w:rPr/>
        <w:t>Banque de questions — 10 questions</w:t>
      </w:r>
    </w:p>
    <w:p>
      <w:pPr>
        <w:pStyle w:val="QuestionGSE"/>
        <w:rPr/>
      </w:pPr>
      <w:r>
        <w:rPr/>
        <w:t>Q1. Que le visiteur est-il invité à découvrir en détail ?</w:t>
      </w:r>
    </w:p>
    <w:p>
      <w:pPr>
        <w:pStyle w:val="AnswerGSE"/>
        <w:shd w:fill="F3F4F6"/>
        <w:rPr/>
      </w:pPr>
      <w:r>
        <w:rPr>
          <w:b/>
          <w:color w:val="2F6B3F"/>
        </w:rPr>
        <w:t xml:space="preserve">Réponse de référence : </w:t>
      </w:r>
      <w:r>
        <w:rPr/>
        <w:t>Les programmes, les méthodes pédagogiques et les opportunités offertes à chaque niveau d’enseignement.</w:t>
      </w:r>
    </w:p>
    <w:p>
      <w:pPr>
        <w:pStyle w:val="QuestionGSE"/>
        <w:rPr/>
      </w:pPr>
      <w:r>
        <w:rPr/>
        <w:t>Q2. Quel est le texte exact du bouton ?</w:t>
      </w:r>
    </w:p>
    <w:p>
      <w:pPr>
        <w:pStyle w:val="AnswerGSE"/>
        <w:shd w:fill="F3F4F6"/>
        <w:rPr/>
      </w:pPr>
      <w:r>
        <w:rPr>
          <w:b/>
          <w:color w:val="2F6B3F"/>
        </w:rPr>
        <w:t xml:space="preserve">Réponse de référence : </w:t>
      </w:r>
      <w:r>
        <w:rPr/>
        <w:t>Découvrir tous nos programmes.</w:t>
      </w:r>
    </w:p>
    <w:p>
      <w:pPr>
        <w:pStyle w:val="QuestionGSE"/>
        <w:rPr/>
      </w:pPr>
      <w:r>
        <w:rPr/>
        <w:t>Q3. Quels trois types d’informations doivent être approfondis ?</w:t>
      </w:r>
    </w:p>
    <w:p>
      <w:pPr>
        <w:pStyle w:val="AnswerGSE"/>
        <w:shd w:fill="F3F4F6"/>
        <w:rPr/>
      </w:pPr>
      <w:r>
        <w:rPr>
          <w:b/>
          <w:color w:val="2F6B3F"/>
        </w:rPr>
        <w:t xml:space="preserve">Réponse de référence : </w:t>
      </w:r>
      <w:r>
        <w:rPr/>
        <w:t>Les programmes, les méthodes pédagogiques et les opportunités.</w:t>
      </w:r>
    </w:p>
    <w:p>
      <w:pPr>
        <w:pStyle w:val="QuestionGSE"/>
        <w:rPr/>
      </w:pPr>
      <w:r>
        <w:rPr/>
        <w:t>Q4. À combien de niveaux les opportunités sont-elles rattachées ?</w:t>
      </w:r>
    </w:p>
    <w:p>
      <w:pPr>
        <w:pStyle w:val="AnswerGSE"/>
        <w:shd w:fill="F3F4F6"/>
        <w:rPr/>
      </w:pPr>
      <w:r>
        <w:rPr>
          <w:b/>
          <w:color w:val="2F6B3F"/>
        </w:rPr>
        <w:t xml:space="preserve">Réponse de référence : </w:t>
      </w:r>
      <w:r>
        <w:rPr/>
        <w:t>À chaque niveau d’enseignement.</w:t>
      </w:r>
    </w:p>
    <w:p>
      <w:pPr>
        <w:pStyle w:val="QuestionGSE"/>
        <w:rPr/>
      </w:pPr>
      <w:r>
        <w:rPr/>
        <w:t>Q5. Quel verbe d’action ouvre le texte d’accompagnement ?</w:t>
      </w:r>
    </w:p>
    <w:p>
      <w:pPr>
        <w:pStyle w:val="AnswerGSE"/>
        <w:shd w:fill="F3F4F6"/>
        <w:rPr/>
      </w:pPr>
      <w:r>
        <w:rPr>
          <w:b/>
          <w:color w:val="2F6B3F"/>
        </w:rPr>
        <w:t xml:space="preserve">Réponse de référence : </w:t>
      </w:r>
      <w:r>
        <w:rPr/>
        <w:t>Découvrez.</w:t>
      </w:r>
    </w:p>
    <w:p>
      <w:pPr>
        <w:pStyle w:val="QuestionGSE"/>
        <w:rPr/>
      </w:pPr>
      <w:r>
        <w:rPr/>
        <w:t>Q6. Vers quelle rubrique le bouton doit-il rediriger ?</w:t>
      </w:r>
    </w:p>
    <w:p>
      <w:pPr>
        <w:pStyle w:val="AnswerGSE"/>
        <w:shd w:fill="F3F4F6"/>
        <w:rPr/>
      </w:pPr>
      <w:r>
        <w:rPr>
          <w:b/>
          <w:color w:val="2F6B3F"/>
        </w:rPr>
        <w:t xml:space="preserve">Réponse de référence : </w:t>
      </w:r>
      <w:r>
        <w:rPr/>
        <w:t>Vers la présentation de tous les programmes.</w:t>
      </w:r>
    </w:p>
    <w:p>
      <w:pPr>
        <w:pStyle w:val="QuestionGSE"/>
        <w:rPr/>
      </w:pPr>
      <w:r>
        <w:rPr/>
        <w:t>Q7. Quel message la page d’accueil associe-t-elle au titre « Découvrir tous nos programmes » ?</w:t>
      </w:r>
    </w:p>
    <w:p>
      <w:pPr>
        <w:pStyle w:val="AnswerGSE"/>
        <w:shd w:fill="F3F4F6"/>
        <w:rPr/>
      </w:pPr>
      <w:r>
        <w:rPr>
          <w:b/>
          <w:color w:val="2F6B3F"/>
        </w:rPr>
        <w:t xml:space="preserve">Réponse de référence : </w:t>
      </w:r>
      <w:r>
        <w:rPr/>
        <w:t>Texte d’accompagnement : « Découvrez en détail nos programmes, nos méthodes pédagogiques et les opportunités offertes à chaque niveau d’enseignement. » Bouton : « Découvrir tous nos programmes ».</w:t>
      </w:r>
    </w:p>
    <w:p>
      <w:pPr>
        <w:pStyle w:val="QuestionGSE"/>
        <w:rPr/>
      </w:pPr>
      <w:r>
        <w:rPr/>
        <w:t>Q8. Que doit répondre un agent lorsqu’un visiteur demande ce que dit la section « Découvrir tous nos programmes » ?</w:t>
      </w:r>
    </w:p>
    <w:p>
      <w:pPr>
        <w:pStyle w:val="AnswerGSE"/>
        <w:shd w:fill="F3F4F6"/>
        <w:rPr/>
      </w:pPr>
      <w:r>
        <w:rPr>
          <w:b/>
          <w:color w:val="2F6B3F"/>
        </w:rPr>
        <w:t xml:space="preserve">Réponse de référence : </w:t>
      </w:r>
      <w:r>
        <w:rPr/>
        <w:t>Texte d’accompagnement : « Découvrez en détail nos programmes, nos méthodes pédagogiques et les opportunités offertes à chaque niveau d’enseignement. » Bouton : « Découvrir tous nos programmes ».</w:t>
      </w:r>
    </w:p>
    <w:p>
      <w:pPr>
        <w:pStyle w:val="QuestionGSE"/>
        <w:rPr/>
      </w:pPr>
      <w:r>
        <w:rPr/>
        <w:t>Q9. Quelle formulation de la page d’accueil permet de présenter fidèlement « Découvrir tous nos programmes » ?</w:t>
      </w:r>
    </w:p>
    <w:p>
      <w:pPr>
        <w:pStyle w:val="AnswerGSE"/>
        <w:shd w:fill="F3F4F6"/>
        <w:rPr/>
      </w:pPr>
      <w:r>
        <w:rPr>
          <w:b/>
          <w:color w:val="2F6B3F"/>
        </w:rPr>
        <w:t xml:space="preserve">Réponse de référence : </w:t>
      </w:r>
      <w:r>
        <w:rPr/>
        <w:t>Texte d’accompagnement : « Découvrez en détail nos programmes, nos méthodes pédagogiques et les opportunités offertes à chaque niveau d’enseignement. » Bouton : « Découvrir tous nos programmes ».</w:t>
      </w:r>
    </w:p>
    <w:p>
      <w:pPr>
        <w:pStyle w:val="QuestionGSE"/>
        <w:rPr/>
      </w:pPr>
      <w:r>
        <w:rPr/>
        <w:t>Q10. Que doit retenir un parent après lecture de la section « Découvrir tous nos programmes » ?</w:t>
      </w:r>
    </w:p>
    <w:p>
      <w:pPr>
        <w:pStyle w:val="AnswerGSE"/>
        <w:shd w:fill="F3F4F6"/>
        <w:rPr/>
      </w:pPr>
      <w:r>
        <w:rPr>
          <w:b/>
          <w:color w:val="2F6B3F"/>
        </w:rPr>
        <w:t xml:space="preserve">Réponse de référence : </w:t>
      </w:r>
      <w:r>
        <w:rPr/>
        <w:t>Texte d’accompagnement : « Découvrez en détail nos programmes, nos méthodes pédagogiques et les opportunités offertes à chaque niveau d’enseignement. » Bouton : « Découvrir tous nos programmes ».</w:t>
      </w:r>
    </w:p>
    <w:p>
      <w:pPr>
        <w:pStyle w:val="Normal"/>
        <w:rPr/>
      </w:pPr>
      <w:r>
        <w:rPr/>
      </w:r>
      <w:r>
        <w:br w:type="page"/>
      </w:r>
    </w:p>
    <w:p>
      <w:pPr>
        <w:pStyle w:val="Heading2"/>
        <w:spacing w:before="0" w:after="100"/>
        <w:rPr/>
      </w:pPr>
      <w:r>
        <w:rPr/>
        <w:t>27. POURQUOI LES PARENTS NOUS FONT CONFIANCE</w:t>
      </w:r>
    </w:p>
    <w:p>
      <w:pPr>
        <w:pStyle w:val="Normal"/>
        <w:rPr/>
      </w:pPr>
      <w:r>
        <w:rPr>
          <w:b/>
          <w:color w:val="D4AF37"/>
          <w:sz w:val="16"/>
        </w:rPr>
        <w:t>PARTIE II — CONTENUS DE LA PAGE</w:t>
      </w:r>
    </w:p>
    <w:p>
      <w:pPr>
        <w:pStyle w:val="Normal"/>
        <w:jc w:val="center"/>
        <w:rPr/>
      </w:pPr>
      <w:r>
        <w:rPr/>
        <w:drawing>
          <wp:inline distT="0" distB="0" distL="0" distR="0">
            <wp:extent cx="5687695" cy="3199765"/>
            <wp:effectExtent l="0" t="0" r="0" b="0"/>
            <wp:docPr id="7"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 title=""/>
                    <pic:cNvPicPr>
                      <a:picLocks noChangeAspect="1" noChangeArrowheads="1"/>
                    </pic:cNvPicPr>
                  </pic:nvPicPr>
                  <pic:blipFill>
                    <a:blip r:embed="rId8"/>
                    <a:stretch>
                      <a:fillRect/>
                    </a:stretch>
                  </pic:blipFill>
                  <pic:spPr bwMode="auto">
                    <a:xfrm>
                      <a:off x="0" y="0"/>
                      <a:ext cx="5687695" cy="3199765"/>
                    </a:xfrm>
                    <a:prstGeom prst="rect">
                      <a:avLst/>
                    </a:prstGeom>
                    <a:noFill/>
                  </pic:spPr>
                </pic:pic>
              </a:graphicData>
            </a:graphic>
          </wp:inline>
        </w:drawing>
      </w:r>
    </w:p>
    <w:p>
      <w:pPr>
        <w:pStyle w:val="SmallGSE"/>
        <w:jc w:val="center"/>
        <w:rPr/>
      </w:pPr>
      <w:r>
        <w:rPr/>
        <w:t>Visuel de référence intégré au document source.</w:t>
      </w:r>
    </w:p>
    <w:p>
      <w:pPr>
        <w:pStyle w:val="Heading3"/>
        <w:rPr/>
      </w:pPr>
      <w:r>
        <w:rPr/>
        <w:t>Texte-source ou intitulés relevés</w:t>
      </w:r>
    </w:p>
    <w:p>
      <w:pPr>
        <w:pStyle w:val="SourceGSE"/>
        <w:pBdr>
          <w:left w:val="single" w:sz="12" w:space="6" w:color="0B3D91"/>
        </w:pBdr>
        <w:shd w:fill="EAF2FB"/>
        <w:rPr/>
      </w:pPr>
      <w:r>
        <w:rPr/>
        <w:t>Le Groupe Scolaire LES ÉMINENTS offre un environnement d’apprentissage sécurisé, exigeant et bienveillant où chaque enfant est accompagné vers l’excellence académique et l’épanouissement personnel.</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aborde la décision scolaire du point de vue de la confiance parentale.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rassure les familles en mettant en avant le cadre, le niveau d’exigence, la bienveillance et l’accompagnement de l’enfant.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introduit six raisons de confiance et se relie à « Pourquoi choisir », aux admissions, à la sécurité, à l’encadrement et à l’Espace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Comment l’environnement d’apprentissage est-il qualifié ?</w:t>
      </w:r>
    </w:p>
    <w:p>
      <w:pPr>
        <w:pStyle w:val="AnswerGSE"/>
        <w:shd w:fill="F3F4F6"/>
        <w:rPr/>
      </w:pPr>
      <w:r>
        <w:rPr>
          <w:b/>
          <w:color w:val="2F6B3F"/>
        </w:rPr>
        <w:t xml:space="preserve">Réponse de référence : </w:t>
      </w:r>
      <w:r>
        <w:rPr/>
        <w:t>Sécurisé, exigeant et bienveillant.</w:t>
      </w:r>
    </w:p>
    <w:p>
      <w:pPr>
        <w:pStyle w:val="QuestionGSE"/>
        <w:rPr/>
      </w:pPr>
      <w:r>
        <w:rPr/>
        <w:t>Q2. Qui est accompagné dans cet environnement ?</w:t>
      </w:r>
    </w:p>
    <w:p>
      <w:pPr>
        <w:pStyle w:val="AnswerGSE"/>
        <w:shd w:fill="F3F4F6"/>
        <w:rPr/>
      </w:pPr>
      <w:r>
        <w:rPr>
          <w:b/>
          <w:color w:val="2F6B3F"/>
        </w:rPr>
        <w:t xml:space="preserve">Réponse de référence : </w:t>
      </w:r>
      <w:r>
        <w:rPr/>
        <w:t>Chaque enfant.</w:t>
      </w:r>
    </w:p>
    <w:p>
      <w:pPr>
        <w:pStyle w:val="QuestionGSE"/>
        <w:rPr/>
      </w:pPr>
      <w:r>
        <w:rPr/>
        <w:t>Q3. Vers quel objectif académique l’enfant est-il accompagné ?</w:t>
      </w:r>
    </w:p>
    <w:p>
      <w:pPr>
        <w:pStyle w:val="AnswerGSE"/>
        <w:shd w:fill="F3F4F6"/>
        <w:rPr/>
      </w:pPr>
      <w:r>
        <w:rPr>
          <w:b/>
          <w:color w:val="2F6B3F"/>
        </w:rPr>
        <w:t xml:space="preserve">Réponse de référence : </w:t>
      </w:r>
      <w:r>
        <w:rPr/>
        <w:t>L’excellence académique.</w:t>
      </w:r>
    </w:p>
    <w:p>
      <w:pPr>
        <w:pStyle w:val="QuestionGSE"/>
        <w:rPr/>
      </w:pPr>
      <w:r>
        <w:rPr/>
        <w:t>Q4. Vers quel objectif personnel l’enfant est-il accompagné ?</w:t>
      </w:r>
    </w:p>
    <w:p>
      <w:pPr>
        <w:pStyle w:val="AnswerGSE"/>
        <w:shd w:fill="F3F4F6"/>
        <w:rPr/>
      </w:pPr>
      <w:r>
        <w:rPr>
          <w:b/>
          <w:color w:val="2F6B3F"/>
        </w:rPr>
        <w:t xml:space="preserve">Réponse de référence : </w:t>
      </w:r>
      <w:r>
        <w:rPr/>
        <w:t>L’épanouissement personnel.</w:t>
      </w:r>
    </w:p>
    <w:p>
      <w:pPr>
        <w:pStyle w:val="QuestionGSE"/>
        <w:rPr/>
      </w:pPr>
      <w:r>
        <w:rPr/>
        <w:t>Q5. Quelles trois qualités du cadre doivent rassurer les parents ?</w:t>
      </w:r>
    </w:p>
    <w:p>
      <w:pPr>
        <w:pStyle w:val="AnswerGSE"/>
        <w:shd w:fill="F3F4F6"/>
        <w:rPr/>
      </w:pPr>
      <w:r>
        <w:rPr>
          <w:b/>
          <w:color w:val="2F6B3F"/>
        </w:rPr>
        <w:t xml:space="preserve">Réponse de référence : </w:t>
      </w:r>
      <w:r>
        <w:rPr/>
        <w:t>La sécurité, l’exigence et la bienveillance.</w:t>
      </w:r>
    </w:p>
    <w:p>
      <w:pPr>
        <w:pStyle w:val="QuestionGSE"/>
        <w:rPr/>
      </w:pPr>
      <w:r>
        <w:rPr/>
        <w:t>Q6. Quels deux résultats finaux sont cités ?</w:t>
      </w:r>
    </w:p>
    <w:p>
      <w:pPr>
        <w:pStyle w:val="AnswerGSE"/>
        <w:shd w:fill="F3F4F6"/>
        <w:rPr/>
      </w:pPr>
      <w:r>
        <w:rPr>
          <w:b/>
          <w:color w:val="2F6B3F"/>
        </w:rPr>
        <w:t xml:space="preserve">Réponse de référence : </w:t>
      </w:r>
      <w:r>
        <w:rPr/>
        <w:t>L’excellence académique et l’épanouissement personnel.</w:t>
      </w:r>
    </w:p>
    <w:p>
      <w:pPr>
        <w:pStyle w:val="QuestionGSE"/>
        <w:rPr/>
      </w:pPr>
      <w:r>
        <w:rPr/>
        <w:t>Q7. Quel message la page d’accueil associe-t-elle au titre « POURQUOI LES PARENTS NOUS FONT CONFIANCE » ?</w:t>
      </w:r>
    </w:p>
    <w:p>
      <w:pPr>
        <w:pStyle w:val="AnswerGSE"/>
        <w:shd w:fill="F3F4F6"/>
        <w:rPr/>
      </w:pPr>
      <w:r>
        <w:rPr>
          <w:b/>
          <w:color w:val="2F6B3F"/>
        </w:rPr>
        <w:t xml:space="preserve">Réponse de référence : </w:t>
      </w:r>
      <w:r>
        <w:rPr/>
        <w:t>Le Groupe Scolaire LES ÉMINENTS offre un environnement d’apprentissage sécurisé, exigeant et bienveillant où chaque enfant est accompagné vers l’excellence académique et l’épanouissement personnel.</w:t>
      </w:r>
    </w:p>
    <w:p>
      <w:pPr>
        <w:pStyle w:val="QuestionGSE"/>
        <w:rPr/>
      </w:pPr>
      <w:r>
        <w:rPr/>
        <w:t>Q8. Que doit répondre un agent lorsqu’un visiteur demande ce que dit la section « POURQUOI LES PARENTS NOUS FONT CONFIANCE » ?</w:t>
      </w:r>
    </w:p>
    <w:p>
      <w:pPr>
        <w:pStyle w:val="AnswerGSE"/>
        <w:shd w:fill="F3F4F6"/>
        <w:rPr/>
      </w:pPr>
      <w:r>
        <w:rPr>
          <w:b/>
          <w:color w:val="2F6B3F"/>
        </w:rPr>
        <w:t xml:space="preserve">Réponse de référence : </w:t>
      </w:r>
      <w:r>
        <w:rPr/>
        <w:t>Le Groupe Scolaire LES ÉMINENTS offre un environnement d’apprentissage sécurisé, exigeant et bienveillant où chaque enfant est accompagné vers l’excellence académique et l’épanouissement personnel.</w:t>
      </w:r>
    </w:p>
    <w:p>
      <w:pPr>
        <w:pStyle w:val="QuestionGSE"/>
        <w:rPr/>
      </w:pPr>
      <w:r>
        <w:rPr/>
        <w:t>Q9. Quelle formulation de la page d’accueil permet de présenter fidèlement « POURQUOI LES PARENTS NOUS FONT CONFIANCE » ?</w:t>
      </w:r>
    </w:p>
    <w:p>
      <w:pPr>
        <w:pStyle w:val="AnswerGSE"/>
        <w:shd w:fill="F3F4F6"/>
        <w:rPr/>
      </w:pPr>
      <w:r>
        <w:rPr>
          <w:b/>
          <w:color w:val="2F6B3F"/>
        </w:rPr>
        <w:t xml:space="preserve">Réponse de référence : </w:t>
      </w:r>
      <w:r>
        <w:rPr/>
        <w:t>Le Groupe Scolaire LES ÉMINENTS offre un environnement d’apprentissage sécurisé, exigeant et bienveillant où chaque enfant est accompagné vers l’excellence académique et l’épanouissement personnel.</w:t>
      </w:r>
    </w:p>
    <w:p>
      <w:pPr>
        <w:pStyle w:val="QuestionGSE"/>
        <w:rPr/>
      </w:pPr>
      <w:r>
        <w:rPr/>
        <w:t>Q10. Que doit retenir un parent après lecture de la section « POURQUOI LES PARENTS NOUS FONT CONFIANCE » ?</w:t>
      </w:r>
    </w:p>
    <w:p>
      <w:pPr>
        <w:pStyle w:val="AnswerGSE"/>
        <w:shd w:fill="F3F4F6"/>
        <w:rPr/>
      </w:pPr>
      <w:r>
        <w:rPr>
          <w:b/>
          <w:color w:val="2F6B3F"/>
        </w:rPr>
        <w:t xml:space="preserve">Réponse de référence : </w:t>
      </w:r>
      <w:r>
        <w:rPr/>
        <w:t>Le Groupe Scolaire LES ÉMINENTS offre un environnement d’apprentissage sécurisé, exigeant et bienveillant où chaque enfant est accompagné vers l’excellence académique et l’épanouissement personnel.</w:t>
      </w:r>
    </w:p>
    <w:p>
      <w:pPr>
        <w:pStyle w:val="Normal"/>
        <w:rPr/>
      </w:pPr>
      <w:r>
        <w:rPr/>
      </w:r>
      <w:r>
        <w:br w:type="page"/>
      </w:r>
    </w:p>
    <w:p>
      <w:pPr>
        <w:pStyle w:val="Heading2"/>
        <w:spacing w:before="0" w:after="100"/>
        <w:rPr/>
      </w:pPr>
      <w:r>
        <w:rPr/>
        <w:t>28. Excellence académique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Des résultats solides et un enseignement de qualité favorisant la réussite de chaque élève.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présente l’excellence comme une raison concrète de confiance, fondée sur les résultats et la qualité de l’enseignement.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répond à l’attente parentale de voir l’enfant progresser dans un cadre scolaire performant.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l’argument d’excellence, aux programmes, à l’encadrement, aux résultats et distinctions.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Comment les résultats sont-ils qualifiés ?</w:t>
      </w:r>
    </w:p>
    <w:p>
      <w:pPr>
        <w:pStyle w:val="AnswerGSE"/>
        <w:shd w:fill="F3F4F6"/>
        <w:rPr/>
      </w:pPr>
      <w:r>
        <w:rPr>
          <w:b/>
          <w:color w:val="2F6B3F"/>
        </w:rPr>
        <w:t xml:space="preserve">Réponse de référence : </w:t>
      </w:r>
      <w:r>
        <w:rPr/>
        <w:t>Solides.</w:t>
      </w:r>
    </w:p>
    <w:p>
      <w:pPr>
        <w:pStyle w:val="QuestionGSE"/>
        <w:rPr/>
      </w:pPr>
      <w:r>
        <w:rPr/>
        <w:t>Q2. Comment l’enseignement est-il qualifié ?</w:t>
      </w:r>
    </w:p>
    <w:p>
      <w:pPr>
        <w:pStyle w:val="AnswerGSE"/>
        <w:shd w:fill="F3F4F6"/>
        <w:rPr/>
      </w:pPr>
      <w:r>
        <w:rPr>
          <w:b/>
          <w:color w:val="2F6B3F"/>
        </w:rPr>
        <w:t xml:space="preserve">Réponse de référence : </w:t>
      </w:r>
      <w:r>
        <w:rPr/>
        <w:t>De qualité.</w:t>
      </w:r>
    </w:p>
    <w:p>
      <w:pPr>
        <w:pStyle w:val="QuestionGSE"/>
        <w:rPr/>
      </w:pPr>
      <w:r>
        <w:rPr/>
        <w:t>Q3. Que favorisent les résultats et l’enseignement ?</w:t>
      </w:r>
    </w:p>
    <w:p>
      <w:pPr>
        <w:pStyle w:val="AnswerGSE"/>
        <w:shd w:fill="F3F4F6"/>
        <w:rPr/>
      </w:pPr>
      <w:r>
        <w:rPr>
          <w:b/>
          <w:color w:val="2F6B3F"/>
        </w:rPr>
        <w:t xml:space="preserve">Réponse de référence : </w:t>
      </w:r>
      <w:r>
        <w:rPr/>
        <w:t>La réussite de chaque élève.</w:t>
      </w:r>
    </w:p>
    <w:p>
      <w:pPr>
        <w:pStyle w:val="QuestionGSE"/>
        <w:rPr/>
      </w:pPr>
      <w:r>
        <w:rPr/>
        <w:t>Q4. À qui la réussite doit-elle profiter ?</w:t>
      </w:r>
    </w:p>
    <w:p>
      <w:pPr>
        <w:pStyle w:val="AnswerGSE"/>
        <w:shd w:fill="F3F4F6"/>
        <w:rPr/>
      </w:pPr>
      <w:r>
        <w:rPr>
          <w:b/>
          <w:color w:val="2F6B3F"/>
        </w:rPr>
        <w:t xml:space="preserve">Réponse de référence : </w:t>
      </w:r>
      <w:r>
        <w:rPr/>
        <w:t>À chaque élève.</w:t>
      </w:r>
    </w:p>
    <w:p>
      <w:pPr>
        <w:pStyle w:val="QuestionGSE"/>
        <w:rPr/>
      </w:pPr>
      <w:r>
        <w:rPr/>
        <w:t>Q5. Quels deux éléments fondent cette raison de confiance ?</w:t>
      </w:r>
    </w:p>
    <w:p>
      <w:pPr>
        <w:pStyle w:val="AnswerGSE"/>
        <w:shd w:fill="F3F4F6"/>
        <w:rPr/>
      </w:pPr>
      <w:r>
        <w:rPr>
          <w:b/>
          <w:color w:val="2F6B3F"/>
        </w:rPr>
        <w:t xml:space="preserve">Réponse de référence : </w:t>
      </w:r>
      <w:r>
        <w:rPr/>
        <w:t>Des résultats solides et un enseignement de qualité.</w:t>
      </w:r>
    </w:p>
    <w:p>
      <w:pPr>
        <w:pStyle w:val="QuestionGSE"/>
        <w:rPr/>
      </w:pPr>
      <w:r>
        <w:rPr/>
        <w:t>Q6. Quel objectif commun est visé ?</w:t>
      </w:r>
    </w:p>
    <w:p>
      <w:pPr>
        <w:pStyle w:val="AnswerGSE"/>
        <w:shd w:fill="F3F4F6"/>
        <w:rPr/>
      </w:pPr>
      <w:r>
        <w:rPr>
          <w:b/>
          <w:color w:val="2F6B3F"/>
        </w:rPr>
        <w:t xml:space="preserve">Réponse de référence : </w:t>
      </w:r>
      <w:r>
        <w:rPr/>
        <w:t>La réussite.</w:t>
      </w:r>
    </w:p>
    <w:p>
      <w:pPr>
        <w:pStyle w:val="QuestionGSE"/>
        <w:rPr/>
      </w:pPr>
      <w:r>
        <w:rPr/>
        <w:t>Q7. Quel message la page d’accueil associe-t-elle au titre « Excellence académique — raison de confiance » ?</w:t>
      </w:r>
    </w:p>
    <w:p>
      <w:pPr>
        <w:pStyle w:val="AnswerGSE"/>
        <w:shd w:fill="F3F4F6"/>
        <w:rPr/>
      </w:pPr>
      <w:r>
        <w:rPr>
          <w:b/>
          <w:color w:val="2F6B3F"/>
        </w:rPr>
        <w:t xml:space="preserve">Réponse de référence : </w:t>
      </w:r>
      <w:r>
        <w:rPr/>
        <w:t>Des résultats solides et un enseignement de qualité favorisant la réussite de chaque élève.</w:t>
      </w:r>
    </w:p>
    <w:p>
      <w:pPr>
        <w:pStyle w:val="QuestionGSE"/>
        <w:rPr/>
      </w:pPr>
      <w:r>
        <w:rPr/>
        <w:t>Q8. Que doit répondre un agent lorsqu’un visiteur demande ce que dit la section « Excellence académique — raison de confiance » ?</w:t>
      </w:r>
    </w:p>
    <w:p>
      <w:pPr>
        <w:pStyle w:val="AnswerGSE"/>
        <w:shd w:fill="F3F4F6"/>
        <w:rPr/>
      </w:pPr>
      <w:r>
        <w:rPr>
          <w:b/>
          <w:color w:val="2F6B3F"/>
        </w:rPr>
        <w:t xml:space="preserve">Réponse de référence : </w:t>
      </w:r>
      <w:r>
        <w:rPr/>
        <w:t>Des résultats solides et un enseignement de qualité favorisant la réussite de chaque élève.</w:t>
      </w:r>
    </w:p>
    <w:p>
      <w:pPr>
        <w:pStyle w:val="QuestionGSE"/>
        <w:rPr/>
      </w:pPr>
      <w:r>
        <w:rPr/>
        <w:t>Q9. Quelle formulation de la page d’accueil permet de présenter fidèlement « Excellence académique — raison de confiance » ?</w:t>
      </w:r>
    </w:p>
    <w:p>
      <w:pPr>
        <w:pStyle w:val="AnswerGSE"/>
        <w:shd w:fill="F3F4F6"/>
        <w:rPr/>
      </w:pPr>
      <w:r>
        <w:rPr>
          <w:b/>
          <w:color w:val="2F6B3F"/>
        </w:rPr>
        <w:t xml:space="preserve">Réponse de référence : </w:t>
      </w:r>
      <w:r>
        <w:rPr/>
        <w:t>Des résultats solides et un enseignement de qualité favorisant la réussite de chaque élève.</w:t>
      </w:r>
    </w:p>
    <w:p>
      <w:pPr>
        <w:pStyle w:val="QuestionGSE"/>
        <w:rPr/>
      </w:pPr>
      <w:r>
        <w:rPr/>
        <w:t>Q10. Que doit retenir un parent après lecture de la section « Excellence académique — raison de confiance » ?</w:t>
      </w:r>
    </w:p>
    <w:p>
      <w:pPr>
        <w:pStyle w:val="AnswerGSE"/>
        <w:shd w:fill="F3F4F6"/>
        <w:rPr/>
      </w:pPr>
      <w:r>
        <w:rPr>
          <w:b/>
          <w:color w:val="2F6B3F"/>
        </w:rPr>
        <w:t xml:space="preserve">Réponse de référence : </w:t>
      </w:r>
      <w:r>
        <w:rPr/>
        <w:t>Des résultats solides et un enseignement de qualité favorisant la réussite de chaque élève.</w:t>
      </w:r>
    </w:p>
    <w:p>
      <w:pPr>
        <w:pStyle w:val="Normal"/>
        <w:rPr/>
      </w:pPr>
      <w:r>
        <w:rPr/>
      </w:r>
      <w:r>
        <w:br w:type="page"/>
      </w:r>
    </w:p>
    <w:p>
      <w:pPr>
        <w:pStyle w:val="Heading2"/>
        <w:spacing w:before="0" w:after="100"/>
        <w:rPr/>
      </w:pPr>
      <w:r>
        <w:rPr/>
        <w:t>29. Encadrement personnalisé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Chaque enfant bénéficie d’un suivi attentif adapté à ses besoins et à son rythme d’apprentissage.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montre que la confiance dépend aussi de la capacité de l’école à reconnaître les différences individuelles.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rassure les parents sur l’adaptation du suivi aux besoins et au rythme d’apprentissage de leur enfant.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l’encadrement personnalisé du premier visuel, au bien-être, à la vie scolaire et à l’Espace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Qui bénéficie d’un suivi attentif ?</w:t>
      </w:r>
    </w:p>
    <w:p>
      <w:pPr>
        <w:pStyle w:val="AnswerGSE"/>
        <w:shd w:fill="F3F4F6"/>
        <w:rPr/>
      </w:pPr>
      <w:r>
        <w:rPr>
          <w:b/>
          <w:color w:val="2F6B3F"/>
        </w:rPr>
        <w:t xml:space="preserve">Réponse de référence : </w:t>
      </w:r>
      <w:r>
        <w:rPr/>
        <w:t>Chaque enfant.</w:t>
      </w:r>
    </w:p>
    <w:p>
      <w:pPr>
        <w:pStyle w:val="QuestionGSE"/>
        <w:rPr/>
      </w:pPr>
      <w:r>
        <w:rPr/>
        <w:t>Q2. À quoi le suivi est-il adapté ?</w:t>
      </w:r>
    </w:p>
    <w:p>
      <w:pPr>
        <w:pStyle w:val="AnswerGSE"/>
        <w:shd w:fill="F3F4F6"/>
        <w:rPr/>
      </w:pPr>
      <w:r>
        <w:rPr>
          <w:b/>
          <w:color w:val="2F6B3F"/>
        </w:rPr>
        <w:t xml:space="preserve">Réponse de référence : </w:t>
      </w:r>
      <w:r>
        <w:rPr/>
        <w:t>Aux besoins de l’enfant et à son rythme d’apprentissage.</w:t>
      </w:r>
    </w:p>
    <w:p>
      <w:pPr>
        <w:pStyle w:val="QuestionGSE"/>
        <w:rPr/>
      </w:pPr>
      <w:r>
        <w:rPr/>
        <w:t>Q3. Comment le suivi est-il qualifié ?</w:t>
      </w:r>
    </w:p>
    <w:p>
      <w:pPr>
        <w:pStyle w:val="AnswerGSE"/>
        <w:shd w:fill="F3F4F6"/>
        <w:rPr/>
      </w:pPr>
      <w:r>
        <w:rPr>
          <w:b/>
          <w:color w:val="2F6B3F"/>
        </w:rPr>
        <w:t xml:space="preserve">Réponse de référence : </w:t>
      </w:r>
      <w:r>
        <w:rPr/>
        <w:t>Attentif.</w:t>
      </w:r>
    </w:p>
    <w:p>
      <w:pPr>
        <w:pStyle w:val="QuestionGSE"/>
        <w:rPr/>
      </w:pPr>
      <w:r>
        <w:rPr/>
        <w:t>Q4. Quels deux éléments individuels sont pris en compte ?</w:t>
      </w:r>
    </w:p>
    <w:p>
      <w:pPr>
        <w:pStyle w:val="AnswerGSE"/>
        <w:shd w:fill="F3F4F6"/>
        <w:rPr/>
      </w:pPr>
      <w:r>
        <w:rPr>
          <w:b/>
          <w:color w:val="2F6B3F"/>
        </w:rPr>
        <w:t xml:space="preserve">Réponse de référence : </w:t>
      </w:r>
      <w:r>
        <w:rPr/>
        <w:t>Les besoins et le rythme d’apprentissage.</w:t>
      </w:r>
    </w:p>
    <w:p>
      <w:pPr>
        <w:pStyle w:val="QuestionGSE"/>
        <w:rPr/>
      </w:pPr>
      <w:r>
        <w:rPr/>
        <w:t>Q5. Le rythme d’apprentissage est-il présenté comme identique pour tous ?</w:t>
      </w:r>
    </w:p>
    <w:p>
      <w:pPr>
        <w:pStyle w:val="AnswerGSE"/>
        <w:shd w:fill="F3F4F6"/>
        <w:rPr/>
      </w:pPr>
      <w:r>
        <w:rPr>
          <w:b/>
          <w:color w:val="2F6B3F"/>
        </w:rPr>
        <w:t xml:space="preserve">Réponse de référence : </w:t>
      </w:r>
      <w:r>
        <w:rPr/>
        <w:t>Non. Le suivi est adapté au rythme d’apprentissage de chaque enfant.</w:t>
      </w:r>
    </w:p>
    <w:p>
      <w:pPr>
        <w:pStyle w:val="QuestionGSE"/>
        <w:rPr/>
      </w:pPr>
      <w:r>
        <w:rPr/>
        <w:t>Q6. Quelle expression résume l’attention individuelle ?</w:t>
      </w:r>
    </w:p>
    <w:p>
      <w:pPr>
        <w:pStyle w:val="AnswerGSE"/>
        <w:shd w:fill="F3F4F6"/>
        <w:rPr/>
      </w:pPr>
      <w:r>
        <w:rPr>
          <w:b/>
          <w:color w:val="2F6B3F"/>
        </w:rPr>
        <w:t xml:space="preserve">Réponse de référence : </w:t>
      </w:r>
      <w:r>
        <w:rPr/>
        <w:t>Un suivi attentif adapté.</w:t>
      </w:r>
    </w:p>
    <w:p>
      <w:pPr>
        <w:pStyle w:val="QuestionGSE"/>
        <w:rPr/>
      </w:pPr>
      <w:r>
        <w:rPr/>
        <w:t>Q7. Quel message la page d’accueil associe-t-elle au titre « Encadrement personnalisé — raison de confiance » ?</w:t>
      </w:r>
    </w:p>
    <w:p>
      <w:pPr>
        <w:pStyle w:val="AnswerGSE"/>
        <w:shd w:fill="F3F4F6"/>
        <w:rPr/>
      </w:pPr>
      <w:r>
        <w:rPr>
          <w:b/>
          <w:color w:val="2F6B3F"/>
        </w:rPr>
        <w:t xml:space="preserve">Réponse de référence : </w:t>
      </w:r>
      <w:r>
        <w:rPr/>
        <w:t>Chaque enfant bénéficie d’un suivi attentif adapté à ses besoins et à son rythme d’apprentissage.</w:t>
      </w:r>
    </w:p>
    <w:p>
      <w:pPr>
        <w:pStyle w:val="QuestionGSE"/>
        <w:rPr/>
      </w:pPr>
      <w:r>
        <w:rPr/>
        <w:t>Q8. Que doit répondre un agent lorsqu’un visiteur demande ce que dit la section « Encadrement personnalisé — raison de confiance » ?</w:t>
      </w:r>
    </w:p>
    <w:p>
      <w:pPr>
        <w:pStyle w:val="AnswerGSE"/>
        <w:shd w:fill="F3F4F6"/>
        <w:rPr/>
      </w:pPr>
      <w:r>
        <w:rPr>
          <w:b/>
          <w:color w:val="2F6B3F"/>
        </w:rPr>
        <w:t xml:space="preserve">Réponse de référence : </w:t>
      </w:r>
      <w:r>
        <w:rPr/>
        <w:t>Chaque enfant bénéficie d’un suivi attentif adapté à ses besoins et à son rythme d’apprentissage.</w:t>
      </w:r>
    </w:p>
    <w:p>
      <w:pPr>
        <w:pStyle w:val="QuestionGSE"/>
        <w:rPr/>
      </w:pPr>
      <w:r>
        <w:rPr/>
        <w:t>Q9. Quelle formulation de la page d’accueil permet de présenter fidèlement « Encadrement personnalisé — raison de confiance » ?</w:t>
      </w:r>
    </w:p>
    <w:p>
      <w:pPr>
        <w:pStyle w:val="AnswerGSE"/>
        <w:shd w:fill="F3F4F6"/>
        <w:rPr/>
      </w:pPr>
      <w:r>
        <w:rPr>
          <w:b/>
          <w:color w:val="2F6B3F"/>
        </w:rPr>
        <w:t xml:space="preserve">Réponse de référence : </w:t>
      </w:r>
      <w:r>
        <w:rPr/>
        <w:t>Chaque enfant bénéficie d’un suivi attentif adapté à ses besoins et à son rythme d’apprentissage.</w:t>
      </w:r>
    </w:p>
    <w:p>
      <w:pPr>
        <w:pStyle w:val="QuestionGSE"/>
        <w:rPr/>
      </w:pPr>
      <w:r>
        <w:rPr/>
        <w:t>Q10. Que doit retenir un parent après lecture de la section « Encadrement personnalisé — raison de confiance » ?</w:t>
      </w:r>
    </w:p>
    <w:p>
      <w:pPr>
        <w:pStyle w:val="AnswerGSE"/>
        <w:shd w:fill="F3F4F6"/>
        <w:rPr/>
      </w:pPr>
      <w:r>
        <w:rPr>
          <w:b/>
          <w:color w:val="2F6B3F"/>
        </w:rPr>
        <w:t xml:space="preserve">Réponse de référence : </w:t>
      </w:r>
      <w:r>
        <w:rPr/>
        <w:t>Chaque enfant bénéficie d’un suivi attentif adapté à ses besoins et à son rythme d’apprentissage.</w:t>
      </w:r>
    </w:p>
    <w:p>
      <w:pPr>
        <w:pStyle w:val="Normal"/>
        <w:rPr/>
      </w:pPr>
      <w:r>
        <w:rPr/>
      </w:r>
      <w:r>
        <w:br w:type="page"/>
      </w:r>
    </w:p>
    <w:p>
      <w:pPr>
        <w:pStyle w:val="Heading2"/>
        <w:spacing w:before="0" w:after="100"/>
        <w:rPr/>
      </w:pPr>
      <w:r>
        <w:rPr/>
        <w:t>30. Éducation bilingue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Maîtrise progressive du français et de l’anglais pour préparer les élèves au monde moderne.</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présente le bilinguisme comme un apprentissage progressif et comme une préparation à l’avenir.</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rassure les parents sur la construction graduelle des compétences linguistiques utiles dans le monde moderne.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 programme bilingue, à la section bilingue et à l’ouverture internationale.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Comment la maîtrise des langues doit-elle se construire ?</w:t>
      </w:r>
    </w:p>
    <w:p>
      <w:pPr>
        <w:pStyle w:val="AnswerGSE"/>
        <w:shd w:fill="F3F4F6"/>
        <w:rPr/>
      </w:pPr>
      <w:r>
        <w:rPr>
          <w:b/>
          <w:color w:val="2F6B3F"/>
        </w:rPr>
        <w:t xml:space="preserve">Réponse de référence : </w:t>
      </w:r>
      <w:r>
        <w:rPr/>
        <w:t>Progressivement.</w:t>
      </w:r>
    </w:p>
    <w:p>
      <w:pPr>
        <w:pStyle w:val="QuestionGSE"/>
        <w:rPr/>
      </w:pPr>
      <w:r>
        <w:rPr/>
        <w:t>Q2. Quelles langues doivent être maîtrisées ?</w:t>
      </w:r>
    </w:p>
    <w:p>
      <w:pPr>
        <w:pStyle w:val="AnswerGSE"/>
        <w:shd w:fill="F3F4F6"/>
        <w:rPr/>
      </w:pPr>
      <w:r>
        <w:rPr>
          <w:b/>
          <w:color w:val="2F6B3F"/>
        </w:rPr>
        <w:t xml:space="preserve">Réponse de référence : </w:t>
      </w:r>
      <w:r>
        <w:rPr/>
        <w:t>Le français et l’anglais.</w:t>
      </w:r>
    </w:p>
    <w:p>
      <w:pPr>
        <w:pStyle w:val="QuestionGSE"/>
        <w:rPr/>
      </w:pPr>
      <w:r>
        <w:rPr/>
        <w:t>Q3. À quoi cette maîtrise prépare-t-elle les élèves ?</w:t>
      </w:r>
    </w:p>
    <w:p>
      <w:pPr>
        <w:pStyle w:val="AnswerGSE"/>
        <w:shd w:fill="F3F4F6"/>
        <w:rPr/>
      </w:pPr>
      <w:r>
        <w:rPr>
          <w:b/>
          <w:color w:val="2F6B3F"/>
        </w:rPr>
        <w:t xml:space="preserve">Réponse de référence : </w:t>
      </w:r>
      <w:r>
        <w:rPr/>
        <w:t>Au monde moderne.</w:t>
      </w:r>
    </w:p>
    <w:p>
      <w:pPr>
        <w:pStyle w:val="QuestionGSE"/>
        <w:rPr/>
      </w:pPr>
      <w:r>
        <w:rPr/>
        <w:t>Q4. Qui doit être préparé au monde moderne ?</w:t>
      </w:r>
    </w:p>
    <w:p>
      <w:pPr>
        <w:pStyle w:val="AnswerGSE"/>
        <w:shd w:fill="F3F4F6"/>
        <w:rPr/>
      </w:pPr>
      <w:r>
        <w:rPr>
          <w:b/>
          <w:color w:val="2F6B3F"/>
        </w:rPr>
        <w:t xml:space="preserve">Réponse de référence : </w:t>
      </w:r>
      <w:r>
        <w:rPr/>
        <w:t>Les élèves.</w:t>
      </w:r>
    </w:p>
    <w:p>
      <w:pPr>
        <w:pStyle w:val="QuestionGSE"/>
        <w:rPr/>
      </w:pPr>
      <w:r>
        <w:rPr/>
        <w:t>Q5. Quel est l’objectif linguistique ?</w:t>
      </w:r>
    </w:p>
    <w:p>
      <w:pPr>
        <w:pStyle w:val="AnswerGSE"/>
        <w:shd w:fill="F3F4F6"/>
        <w:rPr/>
      </w:pPr>
      <w:r>
        <w:rPr>
          <w:b/>
          <w:color w:val="2F6B3F"/>
        </w:rPr>
        <w:t xml:space="preserve">Réponse de référence : </w:t>
      </w:r>
      <w:r>
        <w:rPr/>
        <w:t>La maîtrise progressive du français et de l’anglais.</w:t>
      </w:r>
    </w:p>
    <w:p>
      <w:pPr>
        <w:pStyle w:val="QuestionGSE"/>
        <w:rPr/>
      </w:pPr>
      <w:r>
        <w:rPr/>
        <w:t>Q6. Quel est l’objectif de préparation ?</w:t>
      </w:r>
    </w:p>
    <w:p>
      <w:pPr>
        <w:pStyle w:val="AnswerGSE"/>
        <w:shd w:fill="F3F4F6"/>
        <w:rPr/>
      </w:pPr>
      <w:r>
        <w:rPr>
          <w:b/>
          <w:color w:val="2F6B3F"/>
        </w:rPr>
        <w:t xml:space="preserve">Réponse de référence : </w:t>
      </w:r>
      <w:r>
        <w:rPr/>
        <w:t>Préparer les élèves au monde moderne.</w:t>
      </w:r>
    </w:p>
    <w:p>
      <w:pPr>
        <w:pStyle w:val="QuestionGSE"/>
        <w:rPr/>
      </w:pPr>
      <w:r>
        <w:rPr/>
        <w:t>Q7. Quel message la page d’accueil associe-t-elle au titre « Éducation bilingue — raison de confiance » ?</w:t>
      </w:r>
    </w:p>
    <w:p>
      <w:pPr>
        <w:pStyle w:val="AnswerGSE"/>
        <w:shd w:fill="F3F4F6"/>
        <w:rPr/>
      </w:pPr>
      <w:r>
        <w:rPr>
          <w:b/>
          <w:color w:val="2F6B3F"/>
        </w:rPr>
        <w:t xml:space="preserve">Réponse de référence : </w:t>
      </w:r>
      <w:r>
        <w:rPr/>
        <w:t>Maîtrise progressive du français et de l’anglais pour préparer les élèves au monde moderne.</w:t>
      </w:r>
    </w:p>
    <w:p>
      <w:pPr>
        <w:pStyle w:val="QuestionGSE"/>
        <w:rPr/>
      </w:pPr>
      <w:r>
        <w:rPr/>
        <w:t>Q8. Que doit répondre un agent lorsqu’un visiteur demande ce que dit la section « Éducation bilingue — raison de confiance » ?</w:t>
      </w:r>
    </w:p>
    <w:p>
      <w:pPr>
        <w:pStyle w:val="AnswerGSE"/>
        <w:shd w:fill="F3F4F6"/>
        <w:rPr/>
      </w:pPr>
      <w:r>
        <w:rPr>
          <w:b/>
          <w:color w:val="2F6B3F"/>
        </w:rPr>
        <w:t xml:space="preserve">Réponse de référence : </w:t>
      </w:r>
      <w:r>
        <w:rPr/>
        <w:t>Maîtrise progressive du français et de l’anglais pour préparer les élèves au monde moderne.</w:t>
      </w:r>
    </w:p>
    <w:p>
      <w:pPr>
        <w:pStyle w:val="QuestionGSE"/>
        <w:rPr/>
      </w:pPr>
      <w:r>
        <w:rPr/>
        <w:t>Q9. Quelle formulation de la page d’accueil permet de présenter fidèlement « Éducation bilingue — raison de confiance » ?</w:t>
      </w:r>
    </w:p>
    <w:p>
      <w:pPr>
        <w:pStyle w:val="AnswerGSE"/>
        <w:shd w:fill="F3F4F6"/>
        <w:rPr/>
      </w:pPr>
      <w:r>
        <w:rPr>
          <w:b/>
          <w:color w:val="2F6B3F"/>
        </w:rPr>
        <w:t xml:space="preserve">Réponse de référence : </w:t>
      </w:r>
      <w:r>
        <w:rPr/>
        <w:t>Maîtrise progressive du français et de l’anglais pour préparer les élèves au monde moderne.</w:t>
      </w:r>
    </w:p>
    <w:p>
      <w:pPr>
        <w:pStyle w:val="QuestionGSE"/>
        <w:rPr/>
      </w:pPr>
      <w:r>
        <w:rPr/>
        <w:t>Q10. Que doit retenir un parent après lecture de la section « Éducation bilingue — raison de confiance » ?</w:t>
      </w:r>
    </w:p>
    <w:p>
      <w:pPr>
        <w:pStyle w:val="AnswerGSE"/>
        <w:shd w:fill="F3F4F6"/>
        <w:rPr/>
      </w:pPr>
      <w:r>
        <w:rPr>
          <w:b/>
          <w:color w:val="2F6B3F"/>
        </w:rPr>
        <w:t xml:space="preserve">Réponse de référence : </w:t>
      </w:r>
      <w:r>
        <w:rPr/>
        <w:t>Maîtrise progressive du français et de l’anglais pour préparer les élèves au monde moderne.</w:t>
      </w:r>
    </w:p>
    <w:p>
      <w:pPr>
        <w:pStyle w:val="Normal"/>
        <w:rPr/>
      </w:pPr>
      <w:r>
        <w:rPr/>
      </w:r>
      <w:r>
        <w:br w:type="page"/>
      </w:r>
    </w:p>
    <w:p>
      <w:pPr>
        <w:pStyle w:val="Heading2"/>
        <w:spacing w:before="0" w:after="100"/>
        <w:rPr/>
      </w:pPr>
      <w:r>
        <w:rPr/>
        <w:t>31. Valeurs chrétiennes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Une formation fondée sur la foi, l’intégrité, le respect et la responsabilité.</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présente les repères chrétiens et éthiques comme un fondement de la confiance des familles.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précise les qualités morales que la formation souhaite développer chez l’élève.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l’éducation chrétienne, au programme spirituel, à la discipline et aux valeurs du premier visuel.</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Sur quels fondements la formation repose-t-elle ?</w:t>
      </w:r>
    </w:p>
    <w:p>
      <w:pPr>
        <w:pStyle w:val="AnswerGSE"/>
        <w:shd w:fill="F3F4F6"/>
        <w:rPr/>
      </w:pPr>
      <w:r>
        <w:rPr>
          <w:b/>
          <w:color w:val="2F6B3F"/>
        </w:rPr>
        <w:t xml:space="preserve">Réponse de référence : </w:t>
      </w:r>
      <w:r>
        <w:rPr/>
        <w:t>Sur la foi, l’intégrité, le respect et la responsabilité.</w:t>
      </w:r>
    </w:p>
    <w:p>
      <w:pPr>
        <w:pStyle w:val="QuestionGSE"/>
        <w:rPr/>
      </w:pPr>
      <w:r>
        <w:rPr/>
        <w:t>Q2. Quelle dimension spirituelle est citée ?</w:t>
      </w:r>
    </w:p>
    <w:p>
      <w:pPr>
        <w:pStyle w:val="AnswerGSE"/>
        <w:shd w:fill="F3F4F6"/>
        <w:rPr/>
      </w:pPr>
      <w:r>
        <w:rPr>
          <w:b/>
          <w:color w:val="2F6B3F"/>
        </w:rPr>
        <w:t xml:space="preserve">Réponse de référence : </w:t>
      </w:r>
      <w:r>
        <w:rPr/>
        <w:t>La foi.</w:t>
      </w:r>
    </w:p>
    <w:p>
      <w:pPr>
        <w:pStyle w:val="QuestionGSE"/>
        <w:rPr/>
      </w:pPr>
      <w:r>
        <w:rPr/>
        <w:t>Q3. Quelle qualité d’honnêteté est mentionnée ?</w:t>
      </w:r>
    </w:p>
    <w:p>
      <w:pPr>
        <w:pStyle w:val="AnswerGSE"/>
        <w:shd w:fill="F3F4F6"/>
        <w:rPr/>
      </w:pPr>
      <w:r>
        <w:rPr>
          <w:b/>
          <w:color w:val="2F6B3F"/>
        </w:rPr>
        <w:t xml:space="preserve">Réponse de référence : </w:t>
      </w:r>
      <w:r>
        <w:rPr/>
        <w:t>L’intégrité.</w:t>
      </w:r>
    </w:p>
    <w:p>
      <w:pPr>
        <w:pStyle w:val="QuestionGSE"/>
        <w:rPr/>
      </w:pPr>
      <w:r>
        <w:rPr/>
        <w:t>Q4. Quelle attitude envers autrui est mentionnée ?</w:t>
      </w:r>
    </w:p>
    <w:p>
      <w:pPr>
        <w:pStyle w:val="AnswerGSE"/>
        <w:shd w:fill="F3F4F6"/>
        <w:rPr/>
      </w:pPr>
      <w:r>
        <w:rPr>
          <w:b/>
          <w:color w:val="2F6B3F"/>
        </w:rPr>
        <w:t xml:space="preserve">Réponse de référence : </w:t>
      </w:r>
      <w:r>
        <w:rPr/>
        <w:t>Le respect.</w:t>
      </w:r>
    </w:p>
    <w:p>
      <w:pPr>
        <w:pStyle w:val="QuestionGSE"/>
        <w:rPr/>
      </w:pPr>
      <w:r>
        <w:rPr/>
        <w:t>Q5. Quelle qualité liée aux devoirs et aux conséquences est citée ?</w:t>
      </w:r>
    </w:p>
    <w:p>
      <w:pPr>
        <w:pStyle w:val="AnswerGSE"/>
        <w:shd w:fill="F3F4F6"/>
        <w:rPr/>
      </w:pPr>
      <w:r>
        <w:rPr>
          <w:b/>
          <w:color w:val="2F6B3F"/>
        </w:rPr>
        <w:t xml:space="preserve">Réponse de référence : </w:t>
      </w:r>
      <w:r>
        <w:rPr/>
        <w:t>La responsabilité.</w:t>
      </w:r>
    </w:p>
    <w:p>
      <w:pPr>
        <w:pStyle w:val="QuestionGSE"/>
        <w:rPr/>
      </w:pPr>
      <w:r>
        <w:rPr/>
        <w:t>Q6. Combien de fondements sont énumérés ?</w:t>
      </w:r>
    </w:p>
    <w:p>
      <w:pPr>
        <w:pStyle w:val="AnswerGSE"/>
        <w:shd w:fill="F3F4F6"/>
        <w:rPr/>
      </w:pPr>
      <w:r>
        <w:rPr>
          <w:b/>
          <w:color w:val="2F6B3F"/>
        </w:rPr>
        <w:t xml:space="preserve">Réponse de référence : </w:t>
      </w:r>
      <w:r>
        <w:rPr/>
        <w:t>Quatre : la foi, l’intégrité, le respect et la responsabilité.</w:t>
      </w:r>
    </w:p>
    <w:p>
      <w:pPr>
        <w:pStyle w:val="QuestionGSE"/>
        <w:rPr/>
      </w:pPr>
      <w:r>
        <w:rPr/>
        <w:t>Q7. Quel message la page d’accueil associe-t-elle au titre « Valeurs chrétiennes — raison de confiance » ?</w:t>
      </w:r>
    </w:p>
    <w:p>
      <w:pPr>
        <w:pStyle w:val="AnswerGSE"/>
        <w:shd w:fill="F3F4F6"/>
        <w:rPr/>
      </w:pPr>
      <w:r>
        <w:rPr>
          <w:b/>
          <w:color w:val="2F6B3F"/>
        </w:rPr>
        <w:t xml:space="preserve">Réponse de référence : </w:t>
      </w:r>
      <w:r>
        <w:rPr/>
        <w:t>Une formation fondée sur la foi, l’intégrité, le respect et la responsabilité.</w:t>
      </w:r>
    </w:p>
    <w:p>
      <w:pPr>
        <w:pStyle w:val="QuestionGSE"/>
        <w:rPr/>
      </w:pPr>
      <w:r>
        <w:rPr/>
        <w:t>Q8. Que doit répondre un agent lorsqu’un visiteur demande ce que dit la section « Valeurs chrétiennes — raison de confiance » ?</w:t>
      </w:r>
    </w:p>
    <w:p>
      <w:pPr>
        <w:pStyle w:val="AnswerGSE"/>
        <w:shd w:fill="F3F4F6"/>
        <w:rPr/>
      </w:pPr>
      <w:r>
        <w:rPr>
          <w:b/>
          <w:color w:val="2F6B3F"/>
        </w:rPr>
        <w:t xml:space="preserve">Réponse de référence : </w:t>
      </w:r>
      <w:r>
        <w:rPr/>
        <w:t>Une formation fondée sur la foi, l’intégrité, le respect et la responsabilité.</w:t>
      </w:r>
    </w:p>
    <w:p>
      <w:pPr>
        <w:pStyle w:val="QuestionGSE"/>
        <w:rPr/>
      </w:pPr>
      <w:r>
        <w:rPr/>
        <w:t>Q9. Quelle formulation de la page d’accueil permet de présenter fidèlement « Valeurs chrétiennes — raison de confiance » ?</w:t>
      </w:r>
    </w:p>
    <w:p>
      <w:pPr>
        <w:pStyle w:val="AnswerGSE"/>
        <w:shd w:fill="F3F4F6"/>
        <w:rPr/>
      </w:pPr>
      <w:r>
        <w:rPr>
          <w:b/>
          <w:color w:val="2F6B3F"/>
        </w:rPr>
        <w:t xml:space="preserve">Réponse de référence : </w:t>
      </w:r>
      <w:r>
        <w:rPr/>
        <w:t>Une formation fondée sur la foi, l’intégrité, le respect et la responsabilité.</w:t>
      </w:r>
    </w:p>
    <w:p>
      <w:pPr>
        <w:pStyle w:val="QuestionGSE"/>
        <w:rPr/>
      </w:pPr>
      <w:r>
        <w:rPr/>
        <w:t>Q10. Que doit retenir un parent après lecture de la section « Valeurs chrétiennes — raison de confiance » ?</w:t>
      </w:r>
    </w:p>
    <w:p>
      <w:pPr>
        <w:pStyle w:val="AnswerGSE"/>
        <w:shd w:fill="F3F4F6"/>
        <w:rPr/>
      </w:pPr>
      <w:r>
        <w:rPr>
          <w:b/>
          <w:color w:val="2F6B3F"/>
        </w:rPr>
        <w:t xml:space="preserve">Réponse de référence : </w:t>
      </w:r>
      <w:r>
        <w:rPr/>
        <w:t>Une formation fondée sur la foi, l’intégrité, le respect et la responsabilité.</w:t>
      </w:r>
    </w:p>
    <w:p>
      <w:pPr>
        <w:pStyle w:val="Normal"/>
        <w:rPr/>
      </w:pPr>
      <w:r>
        <w:rPr/>
      </w:r>
      <w:r>
        <w:br w:type="page"/>
      </w:r>
    </w:p>
    <w:p>
      <w:pPr>
        <w:pStyle w:val="Heading2"/>
        <w:spacing w:before="0" w:after="100"/>
        <w:rPr/>
      </w:pPr>
      <w:r>
        <w:rPr/>
        <w:t>32. Sécurité et bien-être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Un cadre sécurisé garantissant la protection et l’épanouissement de chaque enfant.</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réunit la protection physique et le développement positif de l’enfant.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La sécurité et le bien-être sont indispensables à l’apprentissage et constituent une attente prioritaire des parents.</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Cette section est liée à la vie scolaire, à la sécurité physique, au contrôle des accès, au suivi médical, à la protection de l’enfant et à l’accompagnement psychologique.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Comment le cadre est-il qualifié ?</w:t>
      </w:r>
    </w:p>
    <w:p>
      <w:pPr>
        <w:pStyle w:val="AnswerGSE"/>
        <w:shd w:fill="F3F4F6"/>
        <w:rPr/>
      </w:pPr>
      <w:r>
        <w:rPr>
          <w:b/>
          <w:color w:val="2F6B3F"/>
        </w:rPr>
        <w:t xml:space="preserve">Réponse de référence : </w:t>
      </w:r>
      <w:r>
        <w:rPr/>
        <w:t>Sécurisé.</w:t>
      </w:r>
    </w:p>
    <w:p>
      <w:pPr>
        <w:pStyle w:val="QuestionGSE"/>
        <w:rPr/>
      </w:pPr>
      <w:r>
        <w:rPr/>
        <w:t>Q2. Que doit garantir ce cadre ?</w:t>
      </w:r>
    </w:p>
    <w:p>
      <w:pPr>
        <w:pStyle w:val="AnswerGSE"/>
        <w:shd w:fill="F3F4F6"/>
        <w:rPr/>
      </w:pPr>
      <w:r>
        <w:rPr>
          <w:b/>
          <w:color w:val="2F6B3F"/>
        </w:rPr>
        <w:t xml:space="preserve">Réponse de référence : </w:t>
      </w:r>
      <w:r>
        <w:rPr/>
        <w:t>La protection et l’épanouissement de chaque enfant.</w:t>
      </w:r>
    </w:p>
    <w:p>
      <w:pPr>
        <w:pStyle w:val="QuestionGSE"/>
        <w:rPr/>
      </w:pPr>
      <w:r>
        <w:rPr/>
        <w:t>Q3. Qui doit être protégé ?</w:t>
      </w:r>
    </w:p>
    <w:p>
      <w:pPr>
        <w:pStyle w:val="AnswerGSE"/>
        <w:shd w:fill="F3F4F6"/>
        <w:rPr/>
      </w:pPr>
      <w:r>
        <w:rPr>
          <w:b/>
          <w:color w:val="2F6B3F"/>
        </w:rPr>
        <w:t xml:space="preserve">Réponse de référence : </w:t>
      </w:r>
      <w:r>
        <w:rPr/>
        <w:t>Chaque enfant.</w:t>
      </w:r>
    </w:p>
    <w:p>
      <w:pPr>
        <w:pStyle w:val="QuestionGSE"/>
        <w:rPr/>
      </w:pPr>
      <w:r>
        <w:rPr/>
        <w:t>Q4. Quels deux résultats sont garantis ?</w:t>
      </w:r>
    </w:p>
    <w:p>
      <w:pPr>
        <w:pStyle w:val="AnswerGSE"/>
        <w:shd w:fill="F3F4F6"/>
        <w:rPr/>
      </w:pPr>
      <w:r>
        <w:rPr>
          <w:b/>
          <w:color w:val="2F6B3F"/>
        </w:rPr>
        <w:t xml:space="preserve">Réponse de référence : </w:t>
      </w:r>
      <w:r>
        <w:rPr/>
        <w:t>La protection et l’épanouissement.</w:t>
      </w:r>
    </w:p>
    <w:p>
      <w:pPr>
        <w:pStyle w:val="QuestionGSE"/>
        <w:rPr/>
      </w:pPr>
      <w:r>
        <w:rPr/>
        <w:t>Q5. Quelle expression résume l’environnement protecteur ?</w:t>
      </w:r>
    </w:p>
    <w:p>
      <w:pPr>
        <w:pStyle w:val="AnswerGSE"/>
        <w:shd w:fill="F3F4F6"/>
        <w:rPr/>
      </w:pPr>
      <w:r>
        <w:rPr>
          <w:b/>
          <w:color w:val="2F6B3F"/>
        </w:rPr>
        <w:t xml:space="preserve">Réponse de référence : </w:t>
      </w:r>
      <w:r>
        <w:rPr/>
        <w:t>Un cadre sécurisé.</w:t>
      </w:r>
    </w:p>
    <w:p>
      <w:pPr>
        <w:pStyle w:val="QuestionGSE"/>
        <w:rPr/>
      </w:pPr>
      <w:r>
        <w:rPr/>
        <w:t>Q6. La sécurité est-elle présentée seule ?</w:t>
      </w:r>
    </w:p>
    <w:p>
      <w:pPr>
        <w:pStyle w:val="AnswerGSE"/>
        <w:shd w:fill="F3F4F6"/>
        <w:rPr/>
      </w:pPr>
      <w:r>
        <w:rPr>
          <w:b/>
          <w:color w:val="2F6B3F"/>
        </w:rPr>
        <w:t xml:space="preserve">Réponse de référence : </w:t>
      </w:r>
      <w:r>
        <w:rPr/>
        <w:t>Non. Elle est associée au bien-être, à la protection et à l’épanouissement.</w:t>
      </w:r>
    </w:p>
    <w:p>
      <w:pPr>
        <w:pStyle w:val="QuestionGSE"/>
        <w:rPr/>
      </w:pPr>
      <w:r>
        <w:rPr/>
        <w:t>Q7. Quel message la page d’accueil associe-t-elle au titre « Sécurité et bien-être — raison de confiance » ?</w:t>
      </w:r>
    </w:p>
    <w:p>
      <w:pPr>
        <w:pStyle w:val="AnswerGSE"/>
        <w:shd w:fill="F3F4F6"/>
        <w:rPr/>
      </w:pPr>
      <w:r>
        <w:rPr>
          <w:b/>
          <w:color w:val="2F6B3F"/>
        </w:rPr>
        <w:t xml:space="preserve">Réponse de référence : </w:t>
      </w:r>
      <w:r>
        <w:rPr/>
        <w:t>Un cadre sécurisé garantissant la protection et l’épanouissement de chaque enfant.</w:t>
      </w:r>
    </w:p>
    <w:p>
      <w:pPr>
        <w:pStyle w:val="QuestionGSE"/>
        <w:rPr/>
      </w:pPr>
      <w:r>
        <w:rPr/>
        <w:t>Q8. Que doit répondre un agent lorsqu’un visiteur demande ce que dit la section « Sécurité et bien-être — raison de confiance » ?</w:t>
      </w:r>
    </w:p>
    <w:p>
      <w:pPr>
        <w:pStyle w:val="AnswerGSE"/>
        <w:shd w:fill="F3F4F6"/>
        <w:rPr/>
      </w:pPr>
      <w:r>
        <w:rPr>
          <w:b/>
          <w:color w:val="2F6B3F"/>
        </w:rPr>
        <w:t xml:space="preserve">Réponse de référence : </w:t>
      </w:r>
      <w:r>
        <w:rPr/>
        <w:t>Un cadre sécurisé garantissant la protection et l’épanouissement de chaque enfant.</w:t>
      </w:r>
    </w:p>
    <w:p>
      <w:pPr>
        <w:pStyle w:val="QuestionGSE"/>
        <w:rPr/>
      </w:pPr>
      <w:r>
        <w:rPr/>
        <w:t>Q9. Quelle formulation de la page d’accueil permet de présenter fidèlement « Sécurité et bien-être — raison de confiance » ?</w:t>
      </w:r>
    </w:p>
    <w:p>
      <w:pPr>
        <w:pStyle w:val="AnswerGSE"/>
        <w:shd w:fill="F3F4F6"/>
        <w:rPr/>
      </w:pPr>
      <w:r>
        <w:rPr>
          <w:b/>
          <w:color w:val="2F6B3F"/>
        </w:rPr>
        <w:t xml:space="preserve">Réponse de référence : </w:t>
      </w:r>
      <w:r>
        <w:rPr/>
        <w:t>Un cadre sécurisé garantissant la protection et l’épanouissement de chaque enfant.</w:t>
      </w:r>
    </w:p>
    <w:p>
      <w:pPr>
        <w:pStyle w:val="QuestionGSE"/>
        <w:rPr/>
      </w:pPr>
      <w:r>
        <w:rPr/>
        <w:t>Q10. Que doit retenir un parent après lecture de la section « Sécurité et bien-être — raison de confiance » ?</w:t>
      </w:r>
    </w:p>
    <w:p>
      <w:pPr>
        <w:pStyle w:val="AnswerGSE"/>
        <w:shd w:fill="F3F4F6"/>
        <w:rPr/>
      </w:pPr>
      <w:r>
        <w:rPr>
          <w:b/>
          <w:color w:val="2F6B3F"/>
        </w:rPr>
        <w:t xml:space="preserve">Réponse de référence : </w:t>
      </w:r>
      <w:r>
        <w:rPr/>
        <w:t>Un cadre sécurisé garantissant la protection et l’épanouissement de chaque enfant.</w:t>
      </w:r>
    </w:p>
    <w:p>
      <w:pPr>
        <w:pStyle w:val="Normal"/>
        <w:rPr/>
      </w:pPr>
      <w:r>
        <w:rPr/>
      </w:r>
      <w:r>
        <w:br w:type="page"/>
      </w:r>
    </w:p>
    <w:p>
      <w:pPr>
        <w:pStyle w:val="Heading2"/>
        <w:spacing w:before="0" w:after="100"/>
        <w:rPr/>
      </w:pPr>
      <w:r>
        <w:rPr/>
        <w:t>33. Innovation pédagogique — raison de confiance</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Des méthodes modernes et des outils adaptés aux exigences éducatives actuelles.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présente l’adaptation pédagogique comme une preuve de sérieux et de modernité.</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montre que l’école entend utiliser des méthodes et des outils compatibles avec les besoins éducatifs du présent.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l’innovation du premier visuel, aux technologies éducatives, aux programmes et à l’excellence académique.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7 du relevé — Texte publié sur la page d’accueil</w:t>
            </w:r>
          </w:p>
        </w:tc>
      </w:tr>
    </w:tbl>
    <w:p>
      <w:pPr>
        <w:pStyle w:val="Heading3"/>
        <w:rPr/>
      </w:pPr>
      <w:r>
        <w:rPr/>
        <w:t>Banque de questions — 10 questions</w:t>
      </w:r>
    </w:p>
    <w:p>
      <w:pPr>
        <w:pStyle w:val="QuestionGSE"/>
        <w:rPr/>
      </w:pPr>
      <w:r>
        <w:rPr/>
        <w:t>Q1. Quel type de méthodes est annoncé ?</w:t>
      </w:r>
    </w:p>
    <w:p>
      <w:pPr>
        <w:pStyle w:val="AnswerGSE"/>
        <w:shd w:fill="F3F4F6"/>
        <w:rPr/>
      </w:pPr>
      <w:r>
        <w:rPr>
          <w:b/>
          <w:color w:val="2F6B3F"/>
        </w:rPr>
        <w:t xml:space="preserve">Réponse de référence : </w:t>
      </w:r>
      <w:r>
        <w:rPr/>
        <w:t>Des méthodes modernes.</w:t>
      </w:r>
    </w:p>
    <w:p>
      <w:pPr>
        <w:pStyle w:val="QuestionGSE"/>
        <w:rPr/>
      </w:pPr>
      <w:r>
        <w:rPr/>
        <w:t>Q2. Comment les outils sont-ils qualifiés ?</w:t>
      </w:r>
    </w:p>
    <w:p>
      <w:pPr>
        <w:pStyle w:val="AnswerGSE"/>
        <w:shd w:fill="F3F4F6"/>
        <w:rPr/>
      </w:pPr>
      <w:r>
        <w:rPr>
          <w:b/>
          <w:color w:val="2F6B3F"/>
        </w:rPr>
        <w:t xml:space="preserve">Réponse de référence : </w:t>
      </w:r>
      <w:r>
        <w:rPr/>
        <w:t>Adaptés.</w:t>
      </w:r>
    </w:p>
    <w:p>
      <w:pPr>
        <w:pStyle w:val="QuestionGSE"/>
        <w:rPr/>
      </w:pPr>
      <w:r>
        <w:rPr/>
        <w:t>Q3. À quoi les outils sont-ils adaptés ?</w:t>
      </w:r>
    </w:p>
    <w:p>
      <w:pPr>
        <w:pStyle w:val="AnswerGSE"/>
        <w:shd w:fill="F3F4F6"/>
        <w:rPr/>
      </w:pPr>
      <w:r>
        <w:rPr>
          <w:b/>
          <w:color w:val="2F6B3F"/>
        </w:rPr>
        <w:t xml:space="preserve">Réponse de référence : </w:t>
      </w:r>
      <w:r>
        <w:rPr/>
        <w:t>Aux exigences éducatives actuelles.</w:t>
      </w:r>
    </w:p>
    <w:p>
      <w:pPr>
        <w:pStyle w:val="QuestionGSE"/>
        <w:rPr/>
      </w:pPr>
      <w:r>
        <w:rPr/>
        <w:t>Q4. Quels deux moyens sont cités ?</w:t>
      </w:r>
    </w:p>
    <w:p>
      <w:pPr>
        <w:pStyle w:val="AnswerGSE"/>
        <w:shd w:fill="F3F4F6"/>
        <w:rPr/>
      </w:pPr>
      <w:r>
        <w:rPr>
          <w:b/>
          <w:color w:val="2F6B3F"/>
        </w:rPr>
        <w:t xml:space="preserve">Réponse de référence : </w:t>
      </w:r>
      <w:r>
        <w:rPr/>
        <w:t>Des méthodes modernes et des outils adaptés.</w:t>
      </w:r>
    </w:p>
    <w:p>
      <w:pPr>
        <w:pStyle w:val="QuestionGSE"/>
        <w:rPr/>
      </w:pPr>
      <w:r>
        <w:rPr/>
        <w:t>Q5. Comment les exigences éducatives sont-elles situées dans le temps ?</w:t>
      </w:r>
    </w:p>
    <w:p>
      <w:pPr>
        <w:pStyle w:val="AnswerGSE"/>
        <w:shd w:fill="F3F4F6"/>
        <w:rPr/>
      </w:pPr>
      <w:r>
        <w:rPr>
          <w:b/>
          <w:color w:val="2F6B3F"/>
        </w:rPr>
        <w:t xml:space="preserve">Réponse de référence : </w:t>
      </w:r>
      <w:r>
        <w:rPr/>
        <w:t>Actuelles.</w:t>
      </w:r>
    </w:p>
    <w:p>
      <w:pPr>
        <w:pStyle w:val="QuestionGSE"/>
        <w:rPr/>
      </w:pPr>
      <w:r>
        <w:rPr/>
        <w:t>Q6. Quelle section met en relation modernité et adaptation ?</w:t>
      </w:r>
    </w:p>
    <w:p>
      <w:pPr>
        <w:pStyle w:val="AnswerGSE"/>
        <w:shd w:fill="F3F4F6"/>
        <w:rPr/>
      </w:pPr>
      <w:r>
        <w:rPr>
          <w:b/>
          <w:color w:val="2F6B3F"/>
        </w:rPr>
        <w:t xml:space="preserve">Réponse de référence : </w:t>
      </w:r>
      <w:r>
        <w:rPr/>
        <w:t>Innovation pédagogique.</w:t>
      </w:r>
    </w:p>
    <w:p>
      <w:pPr>
        <w:pStyle w:val="QuestionGSE"/>
        <w:rPr/>
      </w:pPr>
      <w:r>
        <w:rPr/>
        <w:t>Q7. Quel message la page d’accueil associe-t-elle au titre « Innovation pédagogique — raison de confiance » ?</w:t>
      </w:r>
    </w:p>
    <w:p>
      <w:pPr>
        <w:pStyle w:val="AnswerGSE"/>
        <w:shd w:fill="F3F4F6"/>
        <w:rPr/>
      </w:pPr>
      <w:r>
        <w:rPr>
          <w:b/>
          <w:color w:val="2F6B3F"/>
        </w:rPr>
        <w:t xml:space="preserve">Réponse de référence : </w:t>
      </w:r>
      <w:r>
        <w:rPr/>
        <w:t>Des méthodes modernes et des outils adaptés aux exigences éducatives actuelles.</w:t>
      </w:r>
    </w:p>
    <w:p>
      <w:pPr>
        <w:pStyle w:val="QuestionGSE"/>
        <w:rPr/>
      </w:pPr>
      <w:r>
        <w:rPr/>
        <w:t>Q8. Que doit répondre un agent lorsqu’un visiteur demande ce que dit la section « Innovation pédagogique — raison de confiance » ?</w:t>
      </w:r>
    </w:p>
    <w:p>
      <w:pPr>
        <w:pStyle w:val="AnswerGSE"/>
        <w:shd w:fill="F3F4F6"/>
        <w:rPr/>
      </w:pPr>
      <w:r>
        <w:rPr>
          <w:b/>
          <w:color w:val="2F6B3F"/>
        </w:rPr>
        <w:t xml:space="preserve">Réponse de référence : </w:t>
      </w:r>
      <w:r>
        <w:rPr/>
        <w:t>Des méthodes modernes et des outils adaptés aux exigences éducatives actuelles.</w:t>
      </w:r>
    </w:p>
    <w:p>
      <w:pPr>
        <w:pStyle w:val="QuestionGSE"/>
        <w:rPr/>
      </w:pPr>
      <w:r>
        <w:rPr/>
        <w:t>Q9. Quelle formulation de la page d’accueil permet de présenter fidèlement « Innovation pédagogique — raison de confiance » ?</w:t>
      </w:r>
    </w:p>
    <w:p>
      <w:pPr>
        <w:pStyle w:val="AnswerGSE"/>
        <w:shd w:fill="F3F4F6"/>
        <w:rPr/>
      </w:pPr>
      <w:r>
        <w:rPr>
          <w:b/>
          <w:color w:val="2F6B3F"/>
        </w:rPr>
        <w:t xml:space="preserve">Réponse de référence : </w:t>
      </w:r>
      <w:r>
        <w:rPr/>
        <w:t>Des méthodes modernes et des outils adaptés aux exigences éducatives actuelles.</w:t>
      </w:r>
    </w:p>
    <w:p>
      <w:pPr>
        <w:pStyle w:val="QuestionGSE"/>
        <w:rPr/>
      </w:pPr>
      <w:r>
        <w:rPr/>
        <w:t>Q10. Que doit retenir un parent après lecture de la section « Innovation pédagogique — raison de confiance » ?</w:t>
      </w:r>
    </w:p>
    <w:p>
      <w:pPr>
        <w:pStyle w:val="AnswerGSE"/>
        <w:shd w:fill="F3F4F6"/>
        <w:rPr/>
      </w:pPr>
      <w:r>
        <w:rPr>
          <w:b/>
          <w:color w:val="2F6B3F"/>
        </w:rPr>
        <w:t xml:space="preserve">Réponse de référence : </w:t>
      </w:r>
      <w:r>
        <w:rPr/>
        <w:t>Des méthodes modernes et des outils adaptés aux exigences éducatives actuelles.</w:t>
      </w:r>
    </w:p>
    <w:p>
      <w:pPr>
        <w:pStyle w:val="Normal"/>
        <w:rPr/>
      </w:pPr>
      <w:r>
        <w:rPr/>
      </w:r>
      <w:r>
        <w:br w:type="page"/>
      </w:r>
    </w:p>
    <w:p>
      <w:pPr>
        <w:pStyle w:val="Heading2"/>
        <w:spacing w:before="0" w:after="100"/>
        <w:rPr/>
      </w:pPr>
      <w:r>
        <w:rPr/>
        <w:t>34. EXCELLENCE • VALEURS • AVENIR</w:t>
      </w:r>
    </w:p>
    <w:p>
      <w:pPr>
        <w:pStyle w:val="Normal"/>
        <w:rPr/>
      </w:pPr>
      <w:r>
        <w:rPr>
          <w:b/>
          <w:color w:val="D4AF37"/>
          <w:sz w:val="16"/>
        </w:rPr>
        <w:t>PARTIE II — CONTENUS DE LA PAGE</w:t>
      </w:r>
    </w:p>
    <w:p>
      <w:pPr>
        <w:pStyle w:val="Heading3"/>
        <w:rPr/>
      </w:pPr>
      <w:r>
        <w:rPr/>
        <w:t>Texte-source ou intitulés relevés</w:t>
      </w:r>
    </w:p>
    <w:p>
      <w:pPr>
        <w:pStyle w:val="SourceGSE"/>
        <w:pBdr>
          <w:left w:val="single" w:sz="12" w:space="6" w:color="0B3D91"/>
        </w:pBdr>
        <w:shd w:fill="EAF2FB"/>
        <w:rPr/>
      </w:pPr>
      <w:r>
        <w:rPr/>
        <w:t>Signature affichée sur les trois visuels : « GROUPE SCOLAIRE LES ÉMINENTS — EXCELLENCE • VALEURS • AVENIR.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La signature résume en trois mots la promesse institutionnelle associée à l’identité visuelle.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facilite la mémorisation de la marque et relie la performance scolaire, la formation morale et la préparation du futur.</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Elle apparaît sur les trois visuels et se relie à l’excellence académique, aux valeurs chrétiennes, aux programmes et à la préparation à l’avenir.</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pp. 4, 5 et 7 du relevé — Signature intégrée aux visuels</w:t>
            </w:r>
          </w:p>
        </w:tc>
      </w:tr>
    </w:tbl>
    <w:p>
      <w:pPr>
        <w:pStyle w:val="Heading3"/>
        <w:rPr/>
      </w:pPr>
      <w:r>
        <w:rPr/>
        <w:t>Banque de questions — 10 questions</w:t>
      </w:r>
    </w:p>
    <w:p>
      <w:pPr>
        <w:pStyle w:val="QuestionGSE"/>
        <w:rPr/>
      </w:pPr>
      <w:r>
        <w:rPr/>
        <w:t>Q1. Quels sont les trois mots de la signature ?</w:t>
      </w:r>
    </w:p>
    <w:p>
      <w:pPr>
        <w:pStyle w:val="AnswerGSE"/>
        <w:shd w:fill="F3F4F6"/>
        <w:rPr/>
      </w:pPr>
      <w:r>
        <w:rPr>
          <w:b/>
          <w:color w:val="2F6B3F"/>
        </w:rPr>
        <w:t xml:space="preserve">Réponse de référence : </w:t>
      </w:r>
      <w:r>
        <w:rPr/>
        <w:t>EXCELLENCE • VALEURS • AVENIR.</w:t>
      </w:r>
    </w:p>
    <w:p>
      <w:pPr>
        <w:pStyle w:val="QuestionGSE"/>
        <w:rPr/>
      </w:pPr>
      <w:r>
        <w:rPr/>
        <w:t>Q2. Quel mot renvoie à la qualité scolaire ?</w:t>
      </w:r>
    </w:p>
    <w:p>
      <w:pPr>
        <w:pStyle w:val="AnswerGSE"/>
        <w:shd w:fill="F3F4F6"/>
        <w:rPr/>
      </w:pPr>
      <w:r>
        <w:rPr>
          <w:b/>
          <w:color w:val="2F6B3F"/>
        </w:rPr>
        <w:t xml:space="preserve">Réponse de référence : </w:t>
      </w:r>
      <w:r>
        <w:rPr/>
        <w:t>EXCELLENCE.</w:t>
      </w:r>
    </w:p>
    <w:p>
      <w:pPr>
        <w:pStyle w:val="QuestionGSE"/>
        <w:rPr/>
      </w:pPr>
      <w:r>
        <w:rPr/>
        <w:t>Q3. Quel mot renvoie aux repères humains et moraux ?</w:t>
      </w:r>
    </w:p>
    <w:p>
      <w:pPr>
        <w:pStyle w:val="AnswerGSE"/>
        <w:shd w:fill="F3F4F6"/>
        <w:rPr/>
      </w:pPr>
      <w:r>
        <w:rPr>
          <w:b/>
          <w:color w:val="2F6B3F"/>
        </w:rPr>
        <w:t xml:space="preserve">Réponse de référence : </w:t>
      </w:r>
      <w:r>
        <w:rPr/>
        <w:t>VALEURS.</w:t>
      </w:r>
    </w:p>
    <w:p>
      <w:pPr>
        <w:pStyle w:val="QuestionGSE"/>
        <w:rPr/>
      </w:pPr>
      <w:r>
        <w:rPr/>
        <w:t>Q4. Quel mot renvoie à la préparation du futur ?</w:t>
      </w:r>
    </w:p>
    <w:p>
      <w:pPr>
        <w:pStyle w:val="AnswerGSE"/>
        <w:shd w:fill="F3F4F6"/>
        <w:rPr/>
      </w:pPr>
      <w:r>
        <w:rPr>
          <w:b/>
          <w:color w:val="2F6B3F"/>
        </w:rPr>
        <w:t xml:space="preserve">Réponse de référence : </w:t>
      </w:r>
      <w:r>
        <w:rPr/>
        <w:t>AVENIR.</w:t>
      </w:r>
    </w:p>
    <w:p>
      <w:pPr>
        <w:pStyle w:val="QuestionGSE"/>
        <w:rPr/>
      </w:pPr>
      <w:r>
        <w:rPr/>
        <w:t>Q5. Sur combien de visuels cette signature est-elle relevée ?</w:t>
      </w:r>
    </w:p>
    <w:p>
      <w:pPr>
        <w:pStyle w:val="AnswerGSE"/>
        <w:shd w:fill="F3F4F6"/>
        <w:rPr/>
      </w:pPr>
      <w:r>
        <w:rPr>
          <w:b/>
          <w:color w:val="2F6B3F"/>
        </w:rPr>
        <w:t xml:space="preserve">Réponse de référence : </w:t>
      </w:r>
      <w:r>
        <w:rPr/>
        <w:t>Sur les trois visuels institutionnels.</w:t>
      </w:r>
    </w:p>
    <w:p>
      <w:pPr>
        <w:pStyle w:val="QuestionGSE"/>
        <w:rPr/>
      </w:pPr>
      <w:r>
        <w:rPr/>
        <w:t>Q6. À quel nom la signature est-elle associée ?</w:t>
      </w:r>
    </w:p>
    <w:p>
      <w:pPr>
        <w:pStyle w:val="AnswerGSE"/>
        <w:shd w:fill="F3F4F6"/>
        <w:rPr/>
      </w:pPr>
      <w:r>
        <w:rPr>
          <w:b/>
          <w:color w:val="2F6B3F"/>
        </w:rPr>
        <w:t xml:space="preserve">Réponse de référence : </w:t>
      </w:r>
      <w:r>
        <w:rPr/>
        <w:t>Au GROUPE SCOLAIRE LES ÉMINENTS.</w:t>
      </w:r>
    </w:p>
    <w:p>
      <w:pPr>
        <w:pStyle w:val="QuestionGSE"/>
        <w:rPr/>
      </w:pPr>
      <w:r>
        <w:rPr/>
        <w:t>Q7. Quel message la page d’accueil associe-t-elle au titre « EXCELLENCE • VALEURS • AVENIR » ?</w:t>
      </w:r>
    </w:p>
    <w:p>
      <w:pPr>
        <w:pStyle w:val="AnswerGSE"/>
        <w:shd w:fill="F3F4F6"/>
        <w:rPr/>
      </w:pPr>
      <w:r>
        <w:rPr>
          <w:b/>
          <w:color w:val="2F6B3F"/>
        </w:rPr>
        <w:t xml:space="preserve">Réponse de référence : </w:t>
      </w:r>
      <w:r>
        <w:rPr/>
        <w:t>Signature affichée sur les trois visuels : « GROUPE SCOLAIRE LES ÉMINENTS — EXCELLENCE • VALEURS • AVENIR. »</w:t>
      </w:r>
    </w:p>
    <w:p>
      <w:pPr>
        <w:pStyle w:val="QuestionGSE"/>
        <w:rPr/>
      </w:pPr>
      <w:r>
        <w:rPr/>
        <w:t>Q8. Que doit répondre un agent lorsqu’un visiteur demande ce que dit la section « EXCELLENCE • VALEURS • AVENIR » ?</w:t>
      </w:r>
    </w:p>
    <w:p>
      <w:pPr>
        <w:pStyle w:val="AnswerGSE"/>
        <w:shd w:fill="F3F4F6"/>
        <w:rPr/>
      </w:pPr>
      <w:r>
        <w:rPr>
          <w:b/>
          <w:color w:val="2F6B3F"/>
        </w:rPr>
        <w:t xml:space="preserve">Réponse de référence : </w:t>
      </w:r>
      <w:r>
        <w:rPr/>
        <w:t>Signature affichée sur les trois visuels : « GROUPE SCOLAIRE LES ÉMINENTS — EXCELLENCE • VALEURS • AVENIR. »</w:t>
      </w:r>
    </w:p>
    <w:p>
      <w:pPr>
        <w:pStyle w:val="QuestionGSE"/>
        <w:rPr/>
      </w:pPr>
      <w:r>
        <w:rPr/>
        <w:t>Q9. Quelle formulation de la page d’accueil permet de présenter fidèlement « EXCELLENCE • VALEURS • AVENIR » ?</w:t>
      </w:r>
    </w:p>
    <w:p>
      <w:pPr>
        <w:pStyle w:val="AnswerGSE"/>
        <w:shd w:fill="F3F4F6"/>
        <w:rPr/>
      </w:pPr>
      <w:r>
        <w:rPr>
          <w:b/>
          <w:color w:val="2F6B3F"/>
        </w:rPr>
        <w:t xml:space="preserve">Réponse de référence : </w:t>
      </w:r>
      <w:r>
        <w:rPr/>
        <w:t>Signature affichée sur les trois visuels : « GROUPE SCOLAIRE LES ÉMINENTS — EXCELLENCE • VALEURS • AVENIR. »</w:t>
      </w:r>
    </w:p>
    <w:p>
      <w:pPr>
        <w:pStyle w:val="QuestionGSE"/>
        <w:rPr/>
      </w:pPr>
      <w:r>
        <w:rPr/>
        <w:t>Q10. Que doit retenir un parent après lecture de la section « EXCELLENCE • VALEURS • AVENIR » ?</w:t>
      </w:r>
    </w:p>
    <w:p>
      <w:pPr>
        <w:pStyle w:val="AnswerGSE"/>
        <w:shd w:fill="F3F4F6"/>
        <w:rPr/>
      </w:pPr>
      <w:r>
        <w:rPr>
          <w:b/>
          <w:color w:val="2F6B3F"/>
        </w:rPr>
        <w:t xml:space="preserve">Réponse de référence : </w:t>
      </w:r>
      <w:r>
        <w:rPr/>
        <w:t>Signature affichée sur les trois visuels : « GROUPE SCOLAIRE LES ÉMINENTS — EXCELLENCE • VALEURS • AVENIR. »</w:t>
      </w:r>
    </w:p>
    <w:p>
      <w:pPr>
        <w:pStyle w:val="Normal"/>
        <w:rPr/>
      </w:pPr>
      <w:r>
        <w:rPr/>
      </w:r>
      <w:r>
        <w:br w:type="page"/>
      </w:r>
    </w:p>
    <w:p>
      <w:pPr>
        <w:pStyle w:val="Normal"/>
        <w:spacing w:before="0" w:after="80"/>
        <w:jc w:val="center"/>
        <w:rPr/>
      </w:pPr>
      <w:r>
        <w:rPr>
          <w:b/>
          <w:color w:val="0B3D91"/>
          <w:sz w:val="46"/>
        </w:rPr>
        <w:t>PARTIE III</w:t>
      </w:r>
    </w:p>
    <w:p>
      <w:pPr>
        <w:pStyle w:val="Normal"/>
        <w:jc w:val="center"/>
        <w:rPr/>
      </w:pPr>
      <w:r>
        <w:rPr>
          <w:i/>
          <w:color w:val="253247"/>
          <w:sz w:val="24"/>
        </w:rPr>
        <w:t>Pied de page, liens et mentions</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Normal"/>
        <w:rPr/>
      </w:pPr>
      <w:r>
        <w:rPr/>
      </w:r>
      <w:r>
        <w:br w:type="page"/>
      </w:r>
    </w:p>
    <w:p>
      <w:pPr>
        <w:pStyle w:val="Heading2"/>
        <w:spacing w:before="0" w:after="100"/>
        <w:rPr/>
      </w:pPr>
      <w:r>
        <w:rPr/>
        <w:t>35. Présentation institutionnelle en anglais</w:t>
      </w:r>
    </w:p>
    <w:p>
      <w:pPr>
        <w:pStyle w:val="Normal"/>
        <w:rPr/>
      </w:pPr>
      <w:r>
        <w:rPr>
          <w:b/>
          <w:color w:val="D4AF37"/>
          <w:sz w:val="16"/>
        </w:rPr>
        <w:t>PARTIE III — PIED DE PAGE</w:t>
      </w:r>
    </w:p>
    <w:p>
      <w:pPr>
        <w:pStyle w:val="Heading3"/>
        <w:rPr/>
      </w:pPr>
      <w:r>
        <w:rPr/>
        <w:t>Texte-source ou intitulés relevés</w:t>
      </w:r>
    </w:p>
    <w:p>
      <w:pPr>
        <w:pStyle w:val="SourceGSE"/>
        <w:pBdr>
          <w:left w:val="single" w:sz="12" w:space="6" w:color="0B3D91"/>
        </w:pBdr>
        <w:shd w:fill="EAF2FB"/>
        <w:rPr/>
      </w:pPr>
      <w:r>
        <w:rPr/>
        <w:t>“</w:t>
      </w:r>
      <w:r>
        <w:rPr/>
        <w:t>Dedicated to providing quality education and fostering holistic growth. We strive to create a supportive environment where every student learns and grows.”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 bloc résume en anglais l’engagement éducatif général de l’établissement.</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Un texte de présentation en pied de page peut rappeler la mission de l’école sur toutes les pages, mais sa langue doit rester cohérente avec la version du site.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relié à l’excellence académique, à l’épanouissement, à l’encadrement et au développement global de l’élève.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8 du relevé — Texte observé dans le pied de page</w:t>
            </w:r>
          </w:p>
        </w:tc>
      </w:tr>
    </w:tbl>
    <w:p>
      <w:pPr>
        <w:pStyle w:val="Normal"/>
        <w:pBdr>
          <w:left w:val="single" w:sz="10" w:space="6" w:color="9C2F2F"/>
        </w:pBdr>
        <w:shd w:fill="FDECEC"/>
        <w:rPr/>
      </w:pPr>
      <w:r>
        <w:rPr>
          <w:b/>
          <w:color w:val="9C2F2F"/>
        </w:rPr>
        <w:t xml:space="preserve">Note de vigilance : </w:t>
      </w:r>
      <w:r>
        <w:rPr/>
        <w:t>Le relevé signale que ce bloc reste en anglais alors que la page est principalement en français. Une version française cohérente doit être prévue sur la page française.</w:t>
      </w:r>
    </w:p>
    <w:p>
      <w:pPr>
        <w:pStyle w:val="Heading3"/>
        <w:rPr/>
      </w:pPr>
      <w:r>
        <w:rPr/>
        <w:t>Banque de questions — 10 questions</w:t>
      </w:r>
    </w:p>
    <w:p>
      <w:pPr>
        <w:pStyle w:val="QuestionGSE"/>
        <w:rPr/>
      </w:pPr>
      <w:r>
        <w:rPr/>
        <w:t>Q1. À quoi l’établissement dit-il être consacré ?</w:t>
      </w:r>
    </w:p>
    <w:p>
      <w:pPr>
        <w:pStyle w:val="AnswerGSE"/>
        <w:shd w:fill="F3F4F6"/>
        <w:rPr/>
      </w:pPr>
      <w:r>
        <w:rPr>
          <w:b/>
          <w:color w:val="2F6B3F"/>
        </w:rPr>
        <w:t xml:space="preserve">Réponse de référence : </w:t>
      </w:r>
      <w:r>
        <w:rPr/>
        <w:t>À fournir une éducation de qualité et à favoriser un développement global (« quality education » et « holistic growth »).</w:t>
      </w:r>
    </w:p>
    <w:p>
      <w:pPr>
        <w:pStyle w:val="QuestionGSE"/>
        <w:rPr/>
      </w:pPr>
      <w:r>
        <w:rPr/>
        <w:t>Q2. Quel type d’éducation est mentionné ?</w:t>
      </w:r>
    </w:p>
    <w:p>
      <w:pPr>
        <w:pStyle w:val="AnswerGSE"/>
        <w:shd w:fill="F3F4F6"/>
        <w:rPr/>
      </w:pPr>
      <w:r>
        <w:rPr>
          <w:b/>
          <w:color w:val="2F6B3F"/>
        </w:rPr>
        <w:t xml:space="preserve">Réponse de référence : </w:t>
      </w:r>
      <w:r>
        <w:rPr/>
        <w:t>Quality education.</w:t>
      </w:r>
    </w:p>
    <w:p>
      <w:pPr>
        <w:pStyle w:val="QuestionGSE"/>
        <w:rPr/>
      </w:pPr>
      <w:r>
        <w:rPr/>
        <w:t>Q3. Quel type de développement est mentionné ?</w:t>
      </w:r>
    </w:p>
    <w:p>
      <w:pPr>
        <w:pStyle w:val="AnswerGSE"/>
        <w:shd w:fill="F3F4F6"/>
        <w:rPr/>
      </w:pPr>
      <w:r>
        <w:rPr>
          <w:b/>
          <w:color w:val="2F6B3F"/>
        </w:rPr>
        <w:t xml:space="preserve">Réponse de référence : </w:t>
      </w:r>
      <w:r>
        <w:rPr/>
        <w:t>Holistic growth.</w:t>
      </w:r>
    </w:p>
    <w:p>
      <w:pPr>
        <w:pStyle w:val="QuestionGSE"/>
        <w:rPr/>
      </w:pPr>
      <w:r>
        <w:rPr/>
        <w:t>Q4. Quel type d’environnement l’établissement s’efforce-t-il de créer ?</w:t>
      </w:r>
    </w:p>
    <w:p>
      <w:pPr>
        <w:pStyle w:val="AnswerGSE"/>
        <w:shd w:fill="F3F4F6"/>
        <w:rPr/>
      </w:pPr>
      <w:r>
        <w:rPr>
          <w:b/>
          <w:color w:val="2F6B3F"/>
        </w:rPr>
        <w:t xml:space="preserve">Réponse de référence : </w:t>
      </w:r>
      <w:r>
        <w:rPr/>
        <w:t>A supportive environment.</w:t>
      </w:r>
    </w:p>
    <w:p>
      <w:pPr>
        <w:pStyle w:val="QuestionGSE"/>
        <w:rPr/>
      </w:pPr>
      <w:r>
        <w:rPr/>
        <w:t>Q5. Que fait chaque élève dans cet environnement ?</w:t>
      </w:r>
    </w:p>
    <w:p>
      <w:pPr>
        <w:pStyle w:val="AnswerGSE"/>
        <w:shd w:fill="F3F4F6"/>
        <w:rPr/>
      </w:pPr>
      <w:r>
        <w:rPr>
          <w:b/>
          <w:color w:val="2F6B3F"/>
        </w:rPr>
        <w:t xml:space="preserve">Réponse de référence : </w:t>
      </w:r>
      <w:r>
        <w:rPr/>
        <w:t>Every student learns and grows.</w:t>
      </w:r>
    </w:p>
    <w:p>
      <w:pPr>
        <w:pStyle w:val="QuestionGSE"/>
        <w:rPr/>
      </w:pPr>
      <w:r>
        <w:rPr/>
        <w:t>Q6. Quel verbe exprime l’effort de l’établissement ?</w:t>
      </w:r>
    </w:p>
    <w:p>
      <w:pPr>
        <w:pStyle w:val="AnswerGSE"/>
        <w:shd w:fill="F3F4F6"/>
        <w:rPr/>
      </w:pPr>
      <w:r>
        <w:rPr>
          <w:b/>
          <w:color w:val="2F6B3F"/>
        </w:rPr>
        <w:t xml:space="preserve">Réponse de référence : </w:t>
      </w:r>
      <w:r>
        <w:rPr/>
        <w:t>We strive.</w:t>
      </w:r>
    </w:p>
    <w:p>
      <w:pPr>
        <w:pStyle w:val="QuestionGSE"/>
        <w:rPr/>
      </w:pPr>
      <w:r>
        <w:rPr/>
        <w:t>Q7. Quel message la page d’accueil associe-t-elle au titre « Présentation institutionnelle en anglais » ?</w:t>
      </w:r>
    </w:p>
    <w:p>
      <w:pPr>
        <w:pStyle w:val="AnswerGSE"/>
        <w:shd w:fill="F3F4F6"/>
        <w:rPr/>
      </w:pPr>
      <w:r>
        <w:rPr>
          <w:b/>
          <w:color w:val="2F6B3F"/>
        </w:rPr>
        <w:t xml:space="preserve">Réponse de référence : </w:t>
      </w:r>
      <w:r>
        <w:rPr/>
        <w:t>“Dedicated to providing quality education and fostering holistic growth. We strive to create a supportive environment where every student learns and grows.”</w:t>
      </w:r>
    </w:p>
    <w:p>
      <w:pPr>
        <w:pStyle w:val="QuestionGSE"/>
        <w:rPr/>
      </w:pPr>
      <w:r>
        <w:rPr/>
        <w:t>Q8. Que doit répondre un agent lorsqu’un visiteur demande ce que dit la section « Présentation institutionnelle en anglais » ?</w:t>
      </w:r>
    </w:p>
    <w:p>
      <w:pPr>
        <w:pStyle w:val="AnswerGSE"/>
        <w:shd w:fill="F3F4F6"/>
        <w:rPr/>
      </w:pPr>
      <w:r>
        <w:rPr>
          <w:b/>
          <w:color w:val="2F6B3F"/>
        </w:rPr>
        <w:t xml:space="preserve">Réponse de référence : </w:t>
      </w:r>
      <w:r>
        <w:rPr/>
        <w:t>“Dedicated to providing quality education and fostering holistic growth. We strive to create a supportive environment where every student learns and grows.”</w:t>
      </w:r>
    </w:p>
    <w:p>
      <w:pPr>
        <w:pStyle w:val="QuestionGSE"/>
        <w:rPr/>
      </w:pPr>
      <w:r>
        <w:rPr/>
        <w:t>Q9. Quelle formulation de la page d’accueil permet de présenter fidèlement « Présentation institutionnelle en anglais » ?</w:t>
      </w:r>
    </w:p>
    <w:p>
      <w:pPr>
        <w:pStyle w:val="AnswerGSE"/>
        <w:shd w:fill="F3F4F6"/>
        <w:rPr/>
      </w:pPr>
      <w:r>
        <w:rPr>
          <w:b/>
          <w:color w:val="2F6B3F"/>
        </w:rPr>
        <w:t xml:space="preserve">Réponse de référence : </w:t>
      </w:r>
      <w:r>
        <w:rPr/>
        <w:t>“Dedicated to providing quality education and fostering holistic growth. We strive to create a supportive environment where every student learns and grows.”</w:t>
      </w:r>
    </w:p>
    <w:p>
      <w:pPr>
        <w:pStyle w:val="QuestionGSE"/>
        <w:rPr/>
      </w:pPr>
      <w:r>
        <w:rPr/>
        <w:t>Q10. Que doit retenir un parent après lecture de la section « Présentation institutionnelle en anglais » ?</w:t>
      </w:r>
    </w:p>
    <w:p>
      <w:pPr>
        <w:pStyle w:val="AnswerGSE"/>
        <w:shd w:fill="F3F4F6"/>
        <w:rPr/>
      </w:pPr>
      <w:r>
        <w:rPr>
          <w:b/>
          <w:color w:val="2F6B3F"/>
        </w:rPr>
        <w:t xml:space="preserve">Réponse de référence : </w:t>
      </w:r>
      <w:r>
        <w:rPr/>
        <w:t>“Dedicated to providing quality education and fostering holistic growth. We strive to create a supportive environment where every student learns and grows.”</w:t>
      </w:r>
    </w:p>
    <w:p>
      <w:pPr>
        <w:pStyle w:val="Normal"/>
        <w:rPr/>
      </w:pPr>
      <w:r>
        <w:rPr/>
      </w:r>
      <w:r>
        <w:br w:type="page"/>
      </w:r>
    </w:p>
    <w:p>
      <w:pPr>
        <w:pStyle w:val="Heading2"/>
        <w:spacing w:before="0" w:after="100"/>
        <w:rPr/>
      </w:pPr>
      <w:r>
        <w:rPr/>
        <w:t>36. Useful Links</w:t>
      </w:r>
    </w:p>
    <w:p>
      <w:pPr>
        <w:pStyle w:val="Normal"/>
        <w:rPr/>
      </w:pPr>
      <w:r>
        <w:rPr>
          <w:b/>
          <w:color w:val="D4AF37"/>
          <w:sz w:val="16"/>
        </w:rPr>
        <w:t>PARTIE III — PIED DE PAGE</w:t>
      </w:r>
    </w:p>
    <w:p>
      <w:pPr>
        <w:pStyle w:val="Heading3"/>
        <w:rPr/>
      </w:pPr>
      <w:r>
        <w:rPr/>
        <w:t>Texte-source ou intitulés relevés</w:t>
      </w:r>
    </w:p>
    <w:p>
      <w:pPr>
        <w:pStyle w:val="SourceGSE"/>
        <w:pBdr>
          <w:left w:val="single" w:sz="12" w:space="6" w:color="0B3D91"/>
        </w:pBdr>
        <w:shd w:fill="EAF2FB"/>
        <w:rPr/>
      </w:pPr>
      <w:r>
        <w:rPr/>
        <w:t>Useful Links : ACCUEIL ; À PROPOS DE NOUS ; NOS PROGRAMMES SCOLAIRES ; ADMISSIONS ; VIE SCOLAIRE ; GALERIE ; ACTUALITÉS ; NOS PARTENARIATS ; CONTACT ; ESPACE PARENTS ; SE CONNECTER.</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regroupe les principaux raccourcis de navigation dans le pied de page.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Ces liens permettent au visiteur de retrouver rapidement une rubrique sans remonter au menu supérieur.</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Ils reproduisent les grands accès du menu principal et se relient à toutes les sections institutionnelles et pratiques.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8 du relevé — Texte observé dans le pied de page</w:t>
            </w:r>
          </w:p>
        </w:tc>
      </w:tr>
    </w:tbl>
    <w:p>
      <w:pPr>
        <w:pStyle w:val="Normal"/>
        <w:pBdr>
          <w:left w:val="single" w:sz="10" w:space="6" w:color="9C2F2F"/>
        </w:pBdr>
        <w:shd w:fill="FDECEC"/>
        <w:rPr/>
      </w:pPr>
      <w:r>
        <w:rPr>
          <w:b/>
          <w:color w:val="9C2F2F"/>
        </w:rPr>
        <w:t xml:space="preserve">Note de vigilance : </w:t>
      </w:r>
      <w:r>
        <w:rPr/>
        <w:t>Le relevé recommande d’harmoniser le titre « Useful Links » avec la langue française de la page, par exemple « Liens utiles ».</w:t>
      </w:r>
    </w:p>
    <w:p>
      <w:pPr>
        <w:pStyle w:val="Heading3"/>
        <w:rPr/>
      </w:pPr>
      <w:r>
        <w:rPr/>
        <w:t>Banque de questions — 12 questions</w:t>
      </w:r>
    </w:p>
    <w:p>
      <w:pPr>
        <w:pStyle w:val="QuestionGSE"/>
        <w:rPr/>
      </w:pPr>
      <w:r>
        <w:rPr/>
        <w:t>Q1. Quel titre anglais est utilisé pour les liens utiles ?</w:t>
      </w:r>
    </w:p>
    <w:p>
      <w:pPr>
        <w:pStyle w:val="AnswerGSE"/>
        <w:shd w:fill="F3F4F6"/>
        <w:rPr/>
      </w:pPr>
      <w:r>
        <w:rPr>
          <w:b/>
          <w:color w:val="2F6B3F"/>
        </w:rPr>
        <w:t xml:space="preserve">Réponse de référence : </w:t>
      </w:r>
      <w:r>
        <w:rPr/>
        <w:t>Useful Links.</w:t>
      </w:r>
    </w:p>
    <w:p>
      <w:pPr>
        <w:pStyle w:val="QuestionGSE"/>
        <w:rPr/>
      </w:pPr>
      <w:r>
        <w:rPr/>
        <w:t>Q2. Quel lien ramène à la page principale ?</w:t>
      </w:r>
    </w:p>
    <w:p>
      <w:pPr>
        <w:pStyle w:val="AnswerGSE"/>
        <w:shd w:fill="F3F4F6"/>
        <w:rPr/>
      </w:pPr>
      <w:r>
        <w:rPr>
          <w:b/>
          <w:color w:val="2F6B3F"/>
        </w:rPr>
        <w:t xml:space="preserve">Réponse de référence : </w:t>
      </w:r>
      <w:r>
        <w:rPr/>
        <w:t>ACCUEIL.</w:t>
      </w:r>
    </w:p>
    <w:p>
      <w:pPr>
        <w:pStyle w:val="QuestionGSE"/>
        <w:rPr/>
      </w:pPr>
      <w:r>
        <w:rPr/>
        <w:t>Q3. Quel lien présente l’institution ?</w:t>
      </w:r>
    </w:p>
    <w:p>
      <w:pPr>
        <w:pStyle w:val="AnswerGSE"/>
        <w:shd w:fill="F3F4F6"/>
        <w:rPr/>
      </w:pPr>
      <w:r>
        <w:rPr>
          <w:b/>
          <w:color w:val="2F6B3F"/>
        </w:rPr>
        <w:t xml:space="preserve">Réponse de référence : </w:t>
      </w:r>
      <w:r>
        <w:rPr/>
        <w:t>À PROPOS DE NOUS.</w:t>
      </w:r>
    </w:p>
    <w:p>
      <w:pPr>
        <w:pStyle w:val="QuestionGSE"/>
        <w:rPr/>
      </w:pPr>
      <w:r>
        <w:rPr/>
        <w:t>Q4. Quel lien présente l’offre éducative ?</w:t>
      </w:r>
    </w:p>
    <w:p>
      <w:pPr>
        <w:pStyle w:val="AnswerGSE"/>
        <w:shd w:fill="F3F4F6"/>
        <w:rPr/>
      </w:pPr>
      <w:r>
        <w:rPr>
          <w:b/>
          <w:color w:val="2F6B3F"/>
        </w:rPr>
        <w:t xml:space="preserve">Réponse de référence : </w:t>
      </w:r>
      <w:r>
        <w:rPr/>
        <w:t>NOS PROGRAMMES SCOLAIRES.</w:t>
      </w:r>
    </w:p>
    <w:p>
      <w:pPr>
        <w:pStyle w:val="QuestionGSE"/>
        <w:rPr/>
      </w:pPr>
      <w:r>
        <w:rPr/>
        <w:t>Q5. Quel lien concerne l’inscription ?</w:t>
      </w:r>
    </w:p>
    <w:p>
      <w:pPr>
        <w:pStyle w:val="AnswerGSE"/>
        <w:shd w:fill="F3F4F6"/>
        <w:rPr/>
      </w:pPr>
      <w:r>
        <w:rPr>
          <w:b/>
          <w:color w:val="2F6B3F"/>
        </w:rPr>
        <w:t xml:space="preserve">Réponse de référence : </w:t>
      </w:r>
      <w:r>
        <w:rPr/>
        <w:t>ADMISSIONS.</w:t>
      </w:r>
    </w:p>
    <w:p>
      <w:pPr>
        <w:pStyle w:val="QuestionGSE"/>
        <w:rPr/>
      </w:pPr>
      <w:r>
        <w:rPr/>
        <w:t>Q6. Quel lien concerne le quotidien des élèves ?</w:t>
      </w:r>
    </w:p>
    <w:p>
      <w:pPr>
        <w:pStyle w:val="AnswerGSE"/>
        <w:shd w:fill="F3F4F6"/>
        <w:rPr/>
      </w:pPr>
      <w:r>
        <w:rPr>
          <w:b/>
          <w:color w:val="2F6B3F"/>
        </w:rPr>
        <w:t xml:space="preserve">Réponse de référence : </w:t>
      </w:r>
      <w:r>
        <w:rPr/>
        <w:t>VIE SCOLAIRE.</w:t>
      </w:r>
    </w:p>
    <w:p>
      <w:pPr>
        <w:pStyle w:val="QuestionGSE"/>
        <w:rPr/>
      </w:pPr>
      <w:r>
        <w:rPr/>
        <w:t>Q7. Quel lien donne accès aux images et vidéos ?</w:t>
      </w:r>
    </w:p>
    <w:p>
      <w:pPr>
        <w:pStyle w:val="AnswerGSE"/>
        <w:shd w:fill="F3F4F6"/>
        <w:rPr/>
      </w:pPr>
      <w:r>
        <w:rPr>
          <w:b/>
          <w:color w:val="2F6B3F"/>
        </w:rPr>
        <w:t xml:space="preserve">Réponse de référence : </w:t>
      </w:r>
      <w:r>
        <w:rPr/>
        <w:t>GALERIE.</w:t>
      </w:r>
    </w:p>
    <w:p>
      <w:pPr>
        <w:pStyle w:val="QuestionGSE"/>
        <w:rPr/>
      </w:pPr>
      <w:r>
        <w:rPr/>
        <w:t>Q8. Quel lien donne accès aux informations récentes ?</w:t>
      </w:r>
    </w:p>
    <w:p>
      <w:pPr>
        <w:pStyle w:val="AnswerGSE"/>
        <w:shd w:fill="F3F4F6"/>
        <w:rPr/>
      </w:pPr>
      <w:r>
        <w:rPr>
          <w:b/>
          <w:color w:val="2F6B3F"/>
        </w:rPr>
        <w:t xml:space="preserve">Réponse de référence : </w:t>
      </w:r>
      <w:r>
        <w:rPr/>
        <w:t>ACTUALITÉS.</w:t>
      </w:r>
    </w:p>
    <w:p>
      <w:pPr>
        <w:pStyle w:val="QuestionGSE"/>
        <w:rPr/>
      </w:pPr>
      <w:r>
        <w:rPr/>
        <w:t>Q9. Quel lien présente les collaborations ?</w:t>
      </w:r>
    </w:p>
    <w:p>
      <w:pPr>
        <w:pStyle w:val="AnswerGSE"/>
        <w:shd w:fill="F3F4F6"/>
        <w:rPr/>
      </w:pPr>
      <w:r>
        <w:rPr>
          <w:b/>
          <w:color w:val="2F6B3F"/>
        </w:rPr>
        <w:t xml:space="preserve">Réponse de référence : </w:t>
      </w:r>
      <w:r>
        <w:rPr/>
        <w:t>NOS PARTENARIATS.</w:t>
      </w:r>
    </w:p>
    <w:p>
      <w:pPr>
        <w:pStyle w:val="QuestionGSE"/>
        <w:rPr/>
      </w:pPr>
      <w:r>
        <w:rPr/>
        <w:t>Q10. Quel lien permet de joindre l’établissement ?</w:t>
      </w:r>
    </w:p>
    <w:p>
      <w:pPr>
        <w:pStyle w:val="AnswerGSE"/>
        <w:shd w:fill="F3F4F6"/>
        <w:rPr/>
      </w:pPr>
      <w:r>
        <w:rPr>
          <w:b/>
          <w:color w:val="2F6B3F"/>
        </w:rPr>
        <w:t xml:space="preserve">Réponse de référence : </w:t>
      </w:r>
      <w:r>
        <w:rPr/>
        <w:t>CONTACT.</w:t>
      </w:r>
    </w:p>
    <w:p>
      <w:pPr>
        <w:pStyle w:val="QuestionGSE"/>
        <w:rPr/>
      </w:pPr>
      <w:r>
        <w:rPr/>
        <w:t>Q11. Quel lien est réservé aux familles ?</w:t>
      </w:r>
    </w:p>
    <w:p>
      <w:pPr>
        <w:pStyle w:val="AnswerGSE"/>
        <w:shd w:fill="F3F4F6"/>
        <w:rPr/>
      </w:pPr>
      <w:r>
        <w:rPr>
          <w:b/>
          <w:color w:val="2F6B3F"/>
        </w:rPr>
        <w:t xml:space="preserve">Réponse de référence : </w:t>
      </w:r>
      <w:r>
        <w:rPr/>
        <w:t>ESPACE PARENTS.</w:t>
      </w:r>
    </w:p>
    <w:p>
      <w:pPr>
        <w:pStyle w:val="QuestionGSE"/>
        <w:rPr/>
      </w:pPr>
      <w:r>
        <w:rPr/>
        <w:t>Q12. Quel lien ouvre l’accès authentifié ?</w:t>
      </w:r>
    </w:p>
    <w:p>
      <w:pPr>
        <w:pStyle w:val="AnswerGSE"/>
        <w:shd w:fill="F3F4F6"/>
        <w:rPr/>
      </w:pPr>
      <w:r>
        <w:rPr>
          <w:b/>
          <w:color w:val="2F6B3F"/>
        </w:rPr>
        <w:t xml:space="preserve">Réponse de référence : </w:t>
      </w:r>
      <w:r>
        <w:rPr/>
        <w:t>SE CONNECTER.</w:t>
      </w:r>
    </w:p>
    <w:p>
      <w:pPr>
        <w:pStyle w:val="Normal"/>
        <w:rPr/>
      </w:pPr>
      <w:r>
        <w:rPr/>
      </w:r>
      <w:r>
        <w:br w:type="page"/>
      </w:r>
    </w:p>
    <w:p>
      <w:pPr>
        <w:pStyle w:val="Heading2"/>
        <w:spacing w:before="0" w:after="100"/>
        <w:rPr/>
      </w:pPr>
      <w:r>
        <w:rPr/>
        <w:t>37. Contact us</w:t>
      </w:r>
    </w:p>
    <w:p>
      <w:pPr>
        <w:pStyle w:val="Normal"/>
        <w:rPr/>
      </w:pPr>
      <w:r>
        <w:rPr>
          <w:b/>
          <w:color w:val="D4AF37"/>
          <w:sz w:val="16"/>
        </w:rPr>
        <w:t>PARTIE III — PIED DE PAGE</w:t>
      </w:r>
    </w:p>
    <w:p>
      <w:pPr>
        <w:pStyle w:val="Heading3"/>
        <w:rPr/>
      </w:pPr>
      <w:r>
        <w:rPr/>
        <w:t>Texte-source ou intitulés relevés</w:t>
      </w:r>
    </w:p>
    <w:p>
      <w:pPr>
        <w:pStyle w:val="SourceGSE"/>
        <w:pBdr>
          <w:left w:val="single" w:sz="12" w:space="6" w:color="0B3D91"/>
        </w:pBdr>
        <w:shd w:fill="EAF2FB"/>
        <w:rPr/>
      </w:pPr>
      <w:r>
        <w:rPr/>
        <w:t xml:space="preserve">Intitulé : « Contact us ». Adresse affichée : « 1234 Demo Ave, Austin, TX 56789, United States. » Téléphone affiché : « +1 123 -456-7891 ». E-mail affiché : « mail@example.com ». </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titre signale le bloc de coordonnées placé dans le pied de page.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Un bloc de contact est essentiel pour les admissions, les demandes d’information et les partenariats, mais il doit contenir les coordonnées officielles de l’école.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à CONTACT, aux admissions, aux partenariats et à l’Espace Parents.</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8 du relevé — Texte observé dans le pied de page</w:t>
            </w:r>
          </w:p>
        </w:tc>
      </w:tr>
    </w:tbl>
    <w:p>
      <w:pPr>
        <w:pStyle w:val="Normal"/>
        <w:pBdr>
          <w:left w:val="single" w:sz="10" w:space="6" w:color="9C2F2F"/>
        </w:pBdr>
        <w:shd w:fill="FDECEC"/>
        <w:rPr/>
      </w:pPr>
      <w:r>
        <w:rPr>
          <w:b/>
          <w:color w:val="9C2F2F"/>
        </w:rPr>
        <w:t xml:space="preserve">Note de vigilance : </w:t>
      </w:r>
      <w:r>
        <w:rPr/>
        <w:t>Alerte : le relevé identifie ces coordonnées comme des données de démonstration qui ne correspondent pas à l’établissement. Elles ne doivent pas être utilisées comme contacts officiels.</w:t>
      </w:r>
    </w:p>
    <w:p>
      <w:pPr>
        <w:pStyle w:val="Heading3"/>
        <w:rPr/>
      </w:pPr>
      <w:r>
        <w:rPr/>
        <w:t>Banque de questions — 10 questions</w:t>
      </w:r>
    </w:p>
    <w:p>
      <w:pPr>
        <w:pStyle w:val="QuestionGSE"/>
        <w:rPr/>
      </w:pPr>
      <w:r>
        <w:rPr/>
        <w:t>Q1. Quel intitulé anglais est affiché ?</w:t>
      </w:r>
    </w:p>
    <w:p>
      <w:pPr>
        <w:pStyle w:val="AnswerGSE"/>
        <w:shd w:fill="F3F4F6"/>
        <w:rPr/>
      </w:pPr>
      <w:r>
        <w:rPr>
          <w:b/>
          <w:color w:val="2F6B3F"/>
        </w:rPr>
        <w:t xml:space="preserve">Réponse de référence : </w:t>
      </w:r>
      <w:r>
        <w:rPr/>
        <w:t>Contact us.</w:t>
      </w:r>
    </w:p>
    <w:p>
      <w:pPr>
        <w:pStyle w:val="QuestionGSE"/>
        <w:rPr/>
      </w:pPr>
      <w:r>
        <w:rPr/>
        <w:t>Q2. Quelle adresse est affichée ?</w:t>
      </w:r>
    </w:p>
    <w:p>
      <w:pPr>
        <w:pStyle w:val="AnswerGSE"/>
        <w:shd w:fill="F3F4F6"/>
        <w:rPr/>
      </w:pPr>
      <w:r>
        <w:rPr>
          <w:b/>
          <w:color w:val="2F6B3F"/>
        </w:rPr>
        <w:t xml:space="preserve">Réponse de référence : </w:t>
      </w:r>
      <w:r>
        <w:rPr/>
        <w:t>1234 Demo Ave, Austin, TX 56789, United States.</w:t>
      </w:r>
    </w:p>
    <w:p>
      <w:pPr>
        <w:pStyle w:val="QuestionGSE"/>
        <w:rPr/>
      </w:pPr>
      <w:r>
        <w:rPr/>
        <w:t>Q3. Quel numéro de téléphone est affiché ?</w:t>
      </w:r>
    </w:p>
    <w:p>
      <w:pPr>
        <w:pStyle w:val="AnswerGSE"/>
        <w:shd w:fill="F3F4F6"/>
        <w:rPr/>
      </w:pPr>
      <w:r>
        <w:rPr>
          <w:b/>
          <w:color w:val="2F6B3F"/>
        </w:rPr>
        <w:t xml:space="preserve">Réponse de référence : </w:t>
      </w:r>
      <w:r>
        <w:rPr/>
        <w:t>+1 123 -456-7891.</w:t>
      </w:r>
    </w:p>
    <w:p>
      <w:pPr>
        <w:pStyle w:val="QuestionGSE"/>
        <w:rPr/>
      </w:pPr>
      <w:r>
        <w:rPr/>
        <w:t>Q4. Quelle adresse électronique est affichée ?</w:t>
      </w:r>
    </w:p>
    <w:p>
      <w:pPr>
        <w:pStyle w:val="AnswerGSE"/>
        <w:shd w:fill="F3F4F6"/>
        <w:rPr/>
      </w:pPr>
      <w:r>
        <w:rPr>
          <w:b/>
          <w:color w:val="2F6B3F"/>
        </w:rPr>
        <w:t xml:space="preserve">Réponse de référence : </w:t>
      </w:r>
      <w:r>
        <w:rPr/>
        <w:t>mail@example.com.</w:t>
      </w:r>
    </w:p>
    <w:p>
      <w:pPr>
        <w:pStyle w:val="QuestionGSE"/>
        <w:rPr/>
      </w:pPr>
      <w:r>
        <w:rPr/>
        <w:t>Q5. Dans quelle ville l’adresse affichée se situe-t-elle ?</w:t>
      </w:r>
    </w:p>
    <w:p>
      <w:pPr>
        <w:pStyle w:val="AnswerGSE"/>
        <w:shd w:fill="F3F4F6"/>
        <w:rPr/>
      </w:pPr>
      <w:r>
        <w:rPr>
          <w:b/>
          <w:color w:val="2F6B3F"/>
        </w:rPr>
        <w:t xml:space="preserve">Réponse de référence : </w:t>
      </w:r>
      <w:r>
        <w:rPr/>
        <w:t>Austin.</w:t>
      </w:r>
    </w:p>
    <w:p>
      <w:pPr>
        <w:pStyle w:val="QuestionGSE"/>
        <w:rPr/>
      </w:pPr>
      <w:r>
        <w:rPr/>
        <w:t>Q6. Quel État américain est abrégé par TX dans l’adresse ?</w:t>
      </w:r>
    </w:p>
    <w:p>
      <w:pPr>
        <w:pStyle w:val="AnswerGSE"/>
        <w:shd w:fill="F3F4F6"/>
        <w:rPr/>
      </w:pPr>
      <w:r>
        <w:rPr>
          <w:b/>
          <w:color w:val="2F6B3F"/>
        </w:rPr>
        <w:t xml:space="preserve">Réponse de référence : </w:t>
      </w:r>
      <w:r>
        <w:rPr/>
        <w:t>Texas.</w:t>
      </w:r>
    </w:p>
    <w:p>
      <w:pPr>
        <w:pStyle w:val="QuestionGSE"/>
        <w:rPr/>
      </w:pPr>
      <w:r>
        <w:rPr/>
        <w:t>Q7. Quel pays est indiqué ?</w:t>
      </w:r>
    </w:p>
    <w:p>
      <w:pPr>
        <w:pStyle w:val="AnswerGSE"/>
        <w:shd w:fill="F3F4F6"/>
        <w:rPr/>
      </w:pPr>
      <w:r>
        <w:rPr>
          <w:b/>
          <w:color w:val="2F6B3F"/>
        </w:rPr>
        <w:t xml:space="preserve">Réponse de référence : </w:t>
      </w:r>
      <w:r>
        <w:rPr/>
        <w:t>United States.</w:t>
      </w:r>
    </w:p>
    <w:p>
      <w:pPr>
        <w:pStyle w:val="QuestionGSE"/>
        <w:rPr/>
      </w:pPr>
      <w:r>
        <w:rPr/>
        <w:t>Q8. Quel indicatif international apparaît dans le numéro ?</w:t>
      </w:r>
    </w:p>
    <w:p>
      <w:pPr>
        <w:pStyle w:val="AnswerGSE"/>
        <w:shd w:fill="F3F4F6"/>
        <w:rPr/>
      </w:pPr>
      <w:r>
        <w:rPr>
          <w:b/>
          <w:color w:val="2F6B3F"/>
        </w:rPr>
        <w:t xml:space="preserve">Réponse de référence : </w:t>
      </w:r>
      <w:r>
        <w:rPr/>
        <w:t>+1.</w:t>
      </w:r>
    </w:p>
    <w:p>
      <w:pPr>
        <w:pStyle w:val="QuestionGSE"/>
        <w:rPr/>
      </w:pPr>
      <w:r>
        <w:rPr/>
        <w:t>Q9. Quel message la page d’accueil associe-t-elle au titre « Contact us » ?</w:t>
      </w:r>
    </w:p>
    <w:p>
      <w:pPr>
        <w:pStyle w:val="AnswerGSE"/>
        <w:shd w:fill="F3F4F6"/>
        <w:rPr/>
      </w:pPr>
      <w:r>
        <w:rPr>
          <w:b/>
          <w:color w:val="2F6B3F"/>
        </w:rPr>
        <w:t xml:space="preserve">Réponse de référence : </w:t>
      </w:r>
      <w:r>
        <w:rPr/>
        <w:t xml:space="preserve">Intitulé : « Contact us ». Adresse affichée : « 1234 Demo Ave, Austin, TX 56789, United States. » Téléphone affiché : « +1 123 -456-7891 ». E-mail affiché : « mail@example.com ». </w:t>
      </w:r>
    </w:p>
    <w:p>
      <w:pPr>
        <w:pStyle w:val="QuestionGSE"/>
        <w:rPr/>
      </w:pPr>
      <w:r>
        <w:rPr/>
        <w:t>Q10. Que doit répondre un agent lorsqu’un visiteur demande ce que dit la section « Contact us » ?</w:t>
      </w:r>
    </w:p>
    <w:p>
      <w:pPr>
        <w:pStyle w:val="AnswerGSE"/>
        <w:shd w:fill="F3F4F6"/>
        <w:rPr/>
      </w:pPr>
      <w:r>
        <w:rPr>
          <w:b/>
          <w:color w:val="2F6B3F"/>
        </w:rPr>
        <w:t xml:space="preserve">Réponse de référence : </w:t>
      </w:r>
      <w:r>
        <w:rPr/>
        <w:t xml:space="preserve">Intitulé : « Contact us ». Adresse affichée : « 1234 Demo Ave, Austin, TX 56789, United States. » Téléphone affiché : « +1 123 -456-7891 ». E-mail affiché : « mail@example.com ». </w:t>
      </w:r>
    </w:p>
    <w:p>
      <w:pPr>
        <w:pStyle w:val="Normal"/>
        <w:rPr/>
      </w:pPr>
      <w:r>
        <w:rPr/>
      </w:r>
      <w:r>
        <w:br w:type="page"/>
      </w:r>
    </w:p>
    <w:p>
      <w:pPr>
        <w:pStyle w:val="Heading2"/>
        <w:spacing w:before="0" w:after="100"/>
        <w:rPr/>
      </w:pPr>
      <w:r>
        <w:rPr/>
        <w:t>38. Copyright et mention de réalisation</w:t>
      </w:r>
    </w:p>
    <w:p>
      <w:pPr>
        <w:pStyle w:val="Normal"/>
        <w:rPr/>
      </w:pPr>
      <w:r>
        <w:rPr>
          <w:b/>
          <w:color w:val="D4AF37"/>
          <w:sz w:val="16"/>
        </w:rPr>
        <w:t>PARTIE III — PIED DE PAGE</w:t>
      </w:r>
    </w:p>
    <w:p>
      <w:pPr>
        <w:pStyle w:val="Heading3"/>
        <w:rPr/>
      </w:pPr>
      <w:r>
        <w:rPr/>
        <w:t>Texte-source ou intitulés relevés</w:t>
      </w:r>
    </w:p>
    <w:p>
      <w:pPr>
        <w:pStyle w:val="SourceGSE"/>
        <w:pBdr>
          <w:left w:val="single" w:sz="12" w:space="6" w:color="0B3D91"/>
        </w:pBdr>
        <w:shd w:fill="EAF2FB"/>
        <w:rPr/>
      </w:pPr>
      <w:r>
        <w:rPr/>
        <w:t>Copyright © 2026 Groupe Scolaire Les Eminents | Powered by Groupe Scolaire Les Eminents</w:t>
      </w:r>
    </w:p>
    <w:tbl>
      <w:tblPr>
        <w:tblW w:w="10312"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156"/>
        <w:gridCol w:w="5155"/>
      </w:tblGrid>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Raison du titre ou de la section</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Le bloc précise l’année, le titulaire de la mention de copyright et l’entité affichée comme responsable de la réalisation ou de la propulsion du site.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Importance dans le projet</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protège l’attribution du contenu et contribue à l’identité institutionnelle du site.</w:t>
            </w:r>
          </w:p>
        </w:tc>
      </w:tr>
      <w:tr>
        <w:trPr/>
        <w:tc>
          <w:tcPr>
            <w:tcW w:w="5156" w:type="dxa"/>
            <w:tcBorders>
              <w:top w:val="single" w:sz="4" w:space="0" w:color="D9DEE7"/>
              <w:start w:val="single" w:sz="4" w:space="0" w:color="D9DEE7"/>
              <w:bottom w:val="single" w:sz="4" w:space="0" w:color="D9DEE7"/>
              <w:end w:val="single" w:sz="4" w:space="0" w:color="D9DEE7"/>
            </w:tcBorders>
            <w:shd w:fill="0B3D91"/>
          </w:tcPr>
          <w:p>
            <w:pPr>
              <w:pStyle w:val="Normal"/>
              <w:widowControl/>
              <w:bidi w:val="0"/>
              <w:spacing w:lineRule="auto" w:line="252" w:before="0" w:after="80"/>
              <w:jc w:val="start"/>
              <w:rPr/>
            </w:pPr>
            <w:r>
              <w:rPr>
                <w:b/>
                <w:color w:val="FFFFFF"/>
                <w:sz w:val="17"/>
              </w:rPr>
              <w:t>Liens possibles avec les autres sections</w:t>
            </w:r>
          </w:p>
        </w:tc>
        <w:tc>
          <w:tcPr>
            <w:tcW w:w="5155" w:type="dxa"/>
            <w:tcBorders>
              <w:top w:val="single" w:sz="4" w:space="0" w:color="D9DEE7"/>
              <w:start w:val="single" w:sz="4" w:space="0" w:color="D9DEE7"/>
              <w:bottom w:val="single" w:sz="4" w:space="0" w:color="D9DEE7"/>
              <w:end w:val="single" w:sz="4" w:space="0" w:color="D9DEE7"/>
            </w:tcBorders>
            <w:shd w:fill="FFFFFF"/>
          </w:tcPr>
          <w:p>
            <w:pPr>
              <w:pStyle w:val="Normal"/>
              <w:widowControl/>
              <w:bidi w:val="0"/>
              <w:spacing w:lineRule="auto" w:line="252" w:before="0" w:after="80"/>
              <w:jc w:val="start"/>
              <w:rPr/>
            </w:pPr>
            <w:r>
              <w:rPr/>
              <w:t>Il est lié au nom de l’école, au pied de page, à la cohérence typographique de la marque et à la gouvernance du site.</w:t>
            </w:r>
          </w:p>
        </w:tc>
      </w:tr>
      <w:tr>
        <w:trPr/>
        <w:tc>
          <w:tcPr>
            <w:tcW w:w="5156" w:type="dxa"/>
            <w:tcBorders>
              <w:top w:val="single" w:sz="4" w:space="0" w:color="D9DEE7"/>
              <w:start w:val="single" w:sz="4" w:space="0" w:color="D9DEE7"/>
              <w:bottom w:val="single" w:sz="4" w:space="0" w:color="D9DEE7"/>
              <w:end w:val="single" w:sz="4" w:space="0" w:color="D9DEE7"/>
            </w:tcBorders>
            <w:shd w:fill="D4AF37"/>
          </w:tcPr>
          <w:p>
            <w:pPr>
              <w:pStyle w:val="Normal"/>
              <w:widowControl/>
              <w:bidi w:val="0"/>
              <w:spacing w:lineRule="auto" w:line="252" w:before="0" w:after="80"/>
              <w:jc w:val="start"/>
              <w:rPr/>
            </w:pPr>
            <w:r>
              <w:rPr>
                <w:b/>
                <w:color w:val="FFFFFF"/>
                <w:sz w:val="17"/>
              </w:rPr>
              <w:t>Référence et statut</w:t>
            </w:r>
          </w:p>
        </w:tc>
        <w:tc>
          <w:tcPr>
            <w:tcW w:w="5155" w:type="dxa"/>
            <w:tcBorders>
              <w:top w:val="single" w:sz="4" w:space="0" w:color="D9DEE7"/>
              <w:start w:val="single" w:sz="4" w:space="0" w:color="D9DEE7"/>
              <w:bottom w:val="single" w:sz="4" w:space="0" w:color="D9DEE7"/>
              <w:end w:val="single" w:sz="4" w:space="0" w:color="D9DEE7"/>
            </w:tcBorders>
            <w:shd w:fill="FFF7DF"/>
          </w:tcPr>
          <w:p>
            <w:pPr>
              <w:pStyle w:val="Normal"/>
              <w:widowControl/>
              <w:bidi w:val="0"/>
              <w:spacing w:lineRule="auto" w:line="252" w:before="0" w:after="80"/>
              <w:jc w:val="start"/>
              <w:rPr/>
            </w:pPr>
            <w:r>
              <w:rPr/>
              <w:t>p. 8 du relevé — Texte observé dans le pied de page</w:t>
            </w:r>
          </w:p>
        </w:tc>
      </w:tr>
    </w:tbl>
    <w:p>
      <w:pPr>
        <w:pStyle w:val="Heading3"/>
        <w:rPr/>
      </w:pPr>
      <w:r>
        <w:rPr/>
        <w:t>Banque de questions — 10 questions</w:t>
      </w:r>
    </w:p>
    <w:p>
      <w:pPr>
        <w:pStyle w:val="QuestionGSE"/>
        <w:rPr/>
      </w:pPr>
      <w:r>
        <w:rPr/>
        <w:t>Q1. Quelle année figure dans la mention de copyright ?</w:t>
      </w:r>
    </w:p>
    <w:p>
      <w:pPr>
        <w:pStyle w:val="AnswerGSE"/>
        <w:shd w:fill="F3F4F6"/>
        <w:rPr/>
      </w:pPr>
      <w:r>
        <w:rPr>
          <w:b/>
          <w:color w:val="2F6B3F"/>
        </w:rPr>
        <w:t xml:space="preserve">Réponse de référence : </w:t>
      </w:r>
      <w:r>
        <w:rPr/>
        <w:t>2026.</w:t>
      </w:r>
    </w:p>
    <w:p>
      <w:pPr>
        <w:pStyle w:val="QuestionGSE"/>
        <w:rPr/>
      </w:pPr>
      <w:r>
        <w:rPr/>
        <w:t>Q2. Quel établissement est cité après le symbole © ?</w:t>
      </w:r>
    </w:p>
    <w:p>
      <w:pPr>
        <w:pStyle w:val="AnswerGSE"/>
        <w:shd w:fill="F3F4F6"/>
        <w:rPr/>
      </w:pPr>
      <w:r>
        <w:rPr>
          <w:b/>
          <w:color w:val="2F6B3F"/>
        </w:rPr>
        <w:t xml:space="preserve">Réponse de référence : </w:t>
      </w:r>
      <w:r>
        <w:rPr/>
        <w:t>Groupe Scolaire Les Eminents.</w:t>
      </w:r>
    </w:p>
    <w:p>
      <w:pPr>
        <w:pStyle w:val="QuestionGSE"/>
        <w:rPr/>
      </w:pPr>
      <w:r>
        <w:rPr/>
        <w:t>Q3. Quel texte suit la barre verticale ?</w:t>
      </w:r>
    </w:p>
    <w:p>
      <w:pPr>
        <w:pStyle w:val="AnswerGSE"/>
        <w:shd w:fill="F3F4F6"/>
        <w:rPr/>
      </w:pPr>
      <w:r>
        <w:rPr>
          <w:b/>
          <w:color w:val="2F6B3F"/>
        </w:rPr>
        <w:t xml:space="preserve">Réponse de référence : </w:t>
      </w:r>
      <w:r>
        <w:rPr/>
        <w:t>Powered by Groupe Scolaire Les Eminents.</w:t>
      </w:r>
    </w:p>
    <w:p>
      <w:pPr>
        <w:pStyle w:val="QuestionGSE"/>
        <w:rPr/>
      </w:pPr>
      <w:r>
        <w:rPr/>
        <w:t>Q4. Quel symbole accompagne la mention de copyright ?</w:t>
      </w:r>
    </w:p>
    <w:p>
      <w:pPr>
        <w:pStyle w:val="AnswerGSE"/>
        <w:shd w:fill="F3F4F6"/>
        <w:rPr/>
      </w:pPr>
      <w:r>
        <w:rPr>
          <w:b/>
          <w:color w:val="2F6B3F"/>
        </w:rPr>
        <w:t xml:space="preserve">Réponse de référence : </w:t>
      </w:r>
      <w:r>
        <w:rPr/>
        <w:t>©.</w:t>
      </w:r>
    </w:p>
    <w:p>
      <w:pPr>
        <w:pStyle w:val="QuestionGSE"/>
        <w:rPr/>
      </w:pPr>
      <w:r>
        <w:rPr/>
        <w:t>Q5. Quelle est la mention complète ?</w:t>
      </w:r>
    </w:p>
    <w:p>
      <w:pPr>
        <w:pStyle w:val="AnswerGSE"/>
        <w:shd w:fill="F3F4F6"/>
        <w:rPr/>
      </w:pPr>
      <w:r>
        <w:rPr>
          <w:b/>
          <w:color w:val="2F6B3F"/>
        </w:rPr>
        <w:t xml:space="preserve">Réponse de référence : </w:t>
      </w:r>
      <w:r>
        <w:rPr/>
        <w:t>Copyright © 2026 Groupe Scolaire Les Eminents | Powered by Groupe Scolaire Les Eminents</w:t>
      </w:r>
    </w:p>
    <w:p>
      <w:pPr>
        <w:pStyle w:val="QuestionGSE"/>
        <w:rPr/>
      </w:pPr>
      <w:r>
        <w:rPr/>
        <w:t>Q6. Quelle entité est indiquée comme « Powered by » ?</w:t>
      </w:r>
    </w:p>
    <w:p>
      <w:pPr>
        <w:pStyle w:val="AnswerGSE"/>
        <w:shd w:fill="F3F4F6"/>
        <w:rPr/>
      </w:pPr>
      <w:r>
        <w:rPr>
          <w:b/>
          <w:color w:val="2F6B3F"/>
        </w:rPr>
        <w:t xml:space="preserve">Réponse de référence : </w:t>
      </w:r>
      <w:r>
        <w:rPr/>
        <w:t>Groupe Scolaire Les Eminents.</w:t>
      </w:r>
    </w:p>
    <w:p>
      <w:pPr>
        <w:pStyle w:val="QuestionGSE"/>
        <w:rPr/>
      </w:pPr>
      <w:r>
        <w:rPr/>
        <w:t>Q7. Quel message la page d’accueil associe-t-elle au titre « Copyright et mention de réalisation » ?</w:t>
      </w:r>
    </w:p>
    <w:p>
      <w:pPr>
        <w:pStyle w:val="AnswerGSE"/>
        <w:shd w:fill="F3F4F6"/>
        <w:rPr/>
      </w:pPr>
      <w:r>
        <w:rPr>
          <w:b/>
          <w:color w:val="2F6B3F"/>
        </w:rPr>
        <w:t xml:space="preserve">Réponse de référence : </w:t>
      </w:r>
      <w:r>
        <w:rPr/>
        <w:t>Copyright © 2026 Groupe Scolaire Les Eminents | Powered by Groupe Scolaire Les Eminents</w:t>
      </w:r>
    </w:p>
    <w:p>
      <w:pPr>
        <w:pStyle w:val="QuestionGSE"/>
        <w:rPr/>
      </w:pPr>
      <w:r>
        <w:rPr/>
        <w:t>Q8. Que doit répondre un agent lorsqu’un visiteur demande ce que dit la section « Copyright et mention de réalisation » ?</w:t>
      </w:r>
    </w:p>
    <w:p>
      <w:pPr>
        <w:pStyle w:val="AnswerGSE"/>
        <w:shd w:fill="F3F4F6"/>
        <w:rPr/>
      </w:pPr>
      <w:r>
        <w:rPr>
          <w:b/>
          <w:color w:val="2F6B3F"/>
        </w:rPr>
        <w:t xml:space="preserve">Réponse de référence : </w:t>
      </w:r>
      <w:r>
        <w:rPr/>
        <w:t>Copyright © 2026 Groupe Scolaire Les Eminents | Powered by Groupe Scolaire Les Eminents</w:t>
      </w:r>
    </w:p>
    <w:p>
      <w:pPr>
        <w:pStyle w:val="QuestionGSE"/>
        <w:rPr/>
      </w:pPr>
      <w:r>
        <w:rPr/>
        <w:t>Q9. Quelle formulation de la page d’accueil permet de présenter fidèlement « Copyright et mention de réalisation » ?</w:t>
      </w:r>
    </w:p>
    <w:p>
      <w:pPr>
        <w:pStyle w:val="AnswerGSE"/>
        <w:shd w:fill="F3F4F6"/>
        <w:rPr/>
      </w:pPr>
      <w:r>
        <w:rPr>
          <w:b/>
          <w:color w:val="2F6B3F"/>
        </w:rPr>
        <w:t xml:space="preserve">Réponse de référence : </w:t>
      </w:r>
      <w:r>
        <w:rPr/>
        <w:t>Copyright © 2026 Groupe Scolaire Les Eminents | Powered by Groupe Scolaire Les Eminents</w:t>
      </w:r>
    </w:p>
    <w:p>
      <w:pPr>
        <w:pStyle w:val="QuestionGSE"/>
        <w:rPr/>
      </w:pPr>
      <w:r>
        <w:rPr/>
        <w:t>Q10. Que doit retenir un parent après lecture de la section « Copyright et mention de réalisation » ?</w:t>
      </w:r>
    </w:p>
    <w:p>
      <w:pPr>
        <w:pStyle w:val="AnswerGSE"/>
        <w:shd w:fill="F3F4F6"/>
        <w:rPr/>
      </w:pPr>
      <w:r>
        <w:rPr>
          <w:b/>
          <w:color w:val="2F6B3F"/>
        </w:rPr>
        <w:t xml:space="preserve">Réponse de référence : </w:t>
      </w:r>
      <w:r>
        <w:rPr/>
        <w:t>Copyright © 2026 Groupe Scolaire Les Eminents | Powered by Groupe Scolaire Les Eminents</w:t>
      </w:r>
    </w:p>
    <w:p>
      <w:pPr>
        <w:pStyle w:val="Normal"/>
        <w:rPr/>
      </w:pPr>
      <w:r>
        <w:rPr/>
      </w:r>
      <w:r>
        <w:br w:type="page"/>
      </w:r>
    </w:p>
    <w:p>
      <w:pPr>
        <w:pStyle w:val="Normal"/>
        <w:spacing w:before="0" w:after="80"/>
        <w:jc w:val="center"/>
        <w:rPr/>
      </w:pPr>
      <w:r>
        <w:rPr>
          <w:b/>
          <w:color w:val="0B3D91"/>
          <w:sz w:val="46"/>
        </w:rPr>
        <w:t>PARTIE IV</w:t>
      </w:r>
    </w:p>
    <w:p>
      <w:pPr>
        <w:pStyle w:val="Normal"/>
        <w:jc w:val="center"/>
        <w:rPr/>
      </w:pPr>
      <w:r>
        <w:rPr>
          <w:i/>
          <w:color w:val="253247"/>
          <w:sz w:val="24"/>
        </w:rPr>
        <w:t>Questions transversales de synthèse</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Heading2"/>
        <w:rPr/>
      </w:pPr>
      <w:r>
        <w:rPr/>
        <w:t>Questions reliant plusieurs sections</w:t>
      </w:r>
    </w:p>
    <w:p>
      <w:pPr>
        <w:pStyle w:val="Normal"/>
        <w:pBdr>
          <w:left w:val="single" w:sz="12" w:space="6" w:color="0B3D91"/>
        </w:pBdr>
        <w:shd w:fill="EAF2FB"/>
        <w:rPr/>
      </w:pPr>
      <w:r>
        <w:rPr/>
        <w:t>Ces questions servent à répondre aux demandes générales qui croisent plusieurs titres. Les réponses restent composées uniquement d’éléments relevés sur la page d’accueil.</w:t>
      </w:r>
    </w:p>
    <w:p>
      <w:pPr>
        <w:pStyle w:val="QuestionGSE"/>
        <w:rPr/>
      </w:pPr>
      <w:r>
        <w:rPr/>
        <w:t>QT1. Quels piliers sont communs aux grands messages de la page ?</w:t>
      </w:r>
    </w:p>
    <w:p>
      <w:pPr>
        <w:pStyle w:val="AnswerGSE"/>
        <w:shd w:fill="F3F4F6"/>
        <w:rPr/>
      </w:pPr>
      <w:r>
        <w:rPr>
          <w:b/>
          <w:color w:val="2F6B3F"/>
        </w:rPr>
        <w:t xml:space="preserve">Réponse de référence : </w:t>
      </w:r>
      <w:r>
        <w:rPr/>
        <w:t>L’excellence académique, le bilinguisme ou l’éducation bilingue, les valeurs chrétiennes, l’innovation pédagogique, l’encadrement personnalisé, la sécurité et l’ouverture.</w:t>
      </w:r>
    </w:p>
    <w:p>
      <w:pPr>
        <w:pStyle w:val="QuestionGSE"/>
        <w:rPr/>
      </w:pPr>
      <w:r>
        <w:rPr/>
        <w:t>QT2. Quel bouton transforme l’intérêt du visiteur en démarche d’admission ?</w:t>
      </w:r>
    </w:p>
    <w:p>
      <w:pPr>
        <w:pStyle w:val="AnswerGSE"/>
        <w:shd w:fill="F3F4F6"/>
        <w:rPr/>
      </w:pPr>
      <w:r>
        <w:rPr>
          <w:b/>
          <w:color w:val="2F6B3F"/>
        </w:rPr>
        <w:t xml:space="preserve">Réponse de référence : </w:t>
      </w:r>
      <w:r>
        <w:rPr/>
        <w:t>INSCRIRE MON ENFANT.</w:t>
      </w:r>
    </w:p>
    <w:p>
      <w:pPr>
        <w:pStyle w:val="QuestionGSE"/>
        <w:rPr/>
      </w:pPr>
      <w:r>
        <w:rPr/>
        <w:t>QT3. Quelle rubrique détaille les niveaux d’enseignement ?</w:t>
      </w:r>
    </w:p>
    <w:p>
      <w:pPr>
        <w:pStyle w:val="AnswerGSE"/>
        <w:shd w:fill="F3F4F6"/>
        <w:rPr/>
      </w:pPr>
      <w:r>
        <w:rPr>
          <w:b/>
          <w:color w:val="2F6B3F"/>
        </w:rPr>
        <w:t xml:space="preserve">Réponse de référence : </w:t>
      </w:r>
      <w:r>
        <w:rPr/>
        <w:t>NOS PROGRAMMES SCOLAIRES.</w:t>
      </w:r>
    </w:p>
    <w:p>
      <w:pPr>
        <w:pStyle w:val="QuestionGSE"/>
        <w:rPr/>
      </w:pPr>
      <w:r>
        <w:rPr/>
        <w:t>QT4. Quels niveaux sont présentés dans le deuxième visuel ?</w:t>
      </w:r>
    </w:p>
    <w:p>
      <w:pPr>
        <w:pStyle w:val="AnswerGSE"/>
        <w:shd w:fill="F3F4F6"/>
        <w:rPr/>
      </w:pPr>
      <w:r>
        <w:rPr>
          <w:b/>
          <w:color w:val="2F6B3F"/>
        </w:rPr>
        <w:t xml:space="preserve">Réponse de référence : </w:t>
      </w:r>
      <w:r>
        <w:rPr/>
        <w:t>La maternelle, le primaire, le secondaire annoncé pour plus tard et la section bilingue.</w:t>
      </w:r>
    </w:p>
    <w:p>
      <w:pPr>
        <w:pStyle w:val="QuestionGSE"/>
        <w:rPr/>
      </w:pPr>
      <w:r>
        <w:rPr/>
        <w:t>QT5. Quels deux objectifs se répètent dans les messages adressés aux parents ?</w:t>
      </w:r>
    </w:p>
    <w:p>
      <w:pPr>
        <w:pStyle w:val="AnswerGSE"/>
        <w:shd w:fill="F3F4F6"/>
        <w:rPr/>
      </w:pPr>
      <w:r>
        <w:rPr>
          <w:b/>
          <w:color w:val="2F6B3F"/>
        </w:rPr>
        <w:t xml:space="preserve">Réponse de référence : </w:t>
      </w:r>
      <w:r>
        <w:rPr/>
        <w:t>L’excellence académique et l’épanouissement personnel.</w:t>
      </w:r>
    </w:p>
    <w:p>
      <w:pPr>
        <w:pStyle w:val="QuestionGSE"/>
        <w:rPr/>
      </w:pPr>
      <w:r>
        <w:rPr/>
        <w:t>QT6. Quelles langues sont citées dans les contenus bilingues ?</w:t>
      </w:r>
    </w:p>
    <w:p>
      <w:pPr>
        <w:pStyle w:val="AnswerGSE"/>
        <w:shd w:fill="F3F4F6"/>
        <w:rPr/>
      </w:pPr>
      <w:r>
        <w:rPr>
          <w:b/>
          <w:color w:val="2F6B3F"/>
        </w:rPr>
        <w:t xml:space="preserve">Réponse de référence : </w:t>
      </w:r>
      <w:r>
        <w:rPr/>
        <w:t>Le français et l’anglais.</w:t>
      </w:r>
    </w:p>
    <w:p>
      <w:pPr>
        <w:pStyle w:val="QuestionGSE"/>
        <w:rPr/>
      </w:pPr>
      <w:r>
        <w:rPr/>
        <w:t>QT7. Quels repères moraux apparaissent dans les deux blocs sur les valeurs chrétiennes ?</w:t>
      </w:r>
    </w:p>
    <w:p>
      <w:pPr>
        <w:pStyle w:val="AnswerGSE"/>
        <w:shd w:fill="F3F4F6"/>
        <w:rPr/>
      </w:pPr>
      <w:r>
        <w:rPr>
          <w:b/>
          <w:color w:val="2F6B3F"/>
        </w:rPr>
        <w:t xml:space="preserve">Réponse de référence : </w:t>
      </w:r>
      <w:r>
        <w:rPr/>
        <w:t>La foi, l’intégrité et le respect ; le premier ajoute la discipline, le second ajoute la responsabilité.</w:t>
      </w:r>
    </w:p>
    <w:p>
      <w:pPr>
        <w:pStyle w:val="QuestionGSE"/>
        <w:rPr/>
      </w:pPr>
      <w:r>
        <w:rPr/>
        <w:t>QT8. Quelles sections montrent l’attention portée à chaque enfant ?</w:t>
      </w:r>
    </w:p>
    <w:p>
      <w:pPr>
        <w:pStyle w:val="AnswerGSE"/>
        <w:shd w:fill="F3F4F6"/>
        <w:rPr/>
      </w:pPr>
      <w:r>
        <w:rPr>
          <w:b/>
          <w:color w:val="2F6B3F"/>
        </w:rPr>
        <w:t xml:space="preserve">Réponse de référence : </w:t>
      </w:r>
      <w:r>
        <w:rPr/>
        <w:t xml:space="preserve">Encadrement personnalisé, sécurité et bien-être, ainsi que les messages introductifs « Pourquoi choisir » et « Pourquoi les parents nous font confiance ». </w:t>
      </w:r>
    </w:p>
    <w:p>
      <w:pPr>
        <w:pStyle w:val="QuestionGSE"/>
        <w:rPr/>
      </w:pPr>
      <w:r>
        <w:rPr/>
        <w:t>QT9. Quel lien unit l’innovation et la réussite ?</w:t>
      </w:r>
    </w:p>
    <w:p>
      <w:pPr>
        <w:pStyle w:val="AnswerGSE"/>
        <w:shd w:fill="F3F4F6"/>
        <w:rPr/>
      </w:pPr>
      <w:r>
        <w:rPr>
          <w:b/>
          <w:color w:val="2F6B3F"/>
        </w:rPr>
        <w:t xml:space="preserve">Réponse de référence : </w:t>
      </w:r>
      <w:r>
        <w:rPr/>
        <w:t>Les méthodes modernes, les technologies éducatives et les outils adaptés sont présentés au service de la réussite et des exigences éducatives actuelles.</w:t>
      </w:r>
    </w:p>
    <w:p>
      <w:pPr>
        <w:pStyle w:val="QuestionGSE"/>
        <w:rPr/>
      </w:pPr>
      <w:r>
        <w:rPr/>
        <w:t>QT10. Quel lien unit le bilinguisme et l’ouverture internationale ?</w:t>
      </w:r>
    </w:p>
    <w:p>
      <w:pPr>
        <w:pStyle w:val="AnswerGSE"/>
        <w:shd w:fill="F3F4F6"/>
        <w:rPr/>
      </w:pPr>
      <w:r>
        <w:rPr>
          <w:b/>
          <w:color w:val="2F6B3F"/>
        </w:rPr>
        <w:t xml:space="preserve">Réponse de référence : </w:t>
      </w:r>
      <w:r>
        <w:rPr/>
        <w:t>La maîtrise du français et de l’anglais doit favoriser la communication internationale et l’ouverture aux opportunités mondiales.</w:t>
      </w:r>
    </w:p>
    <w:p>
      <w:pPr>
        <w:pStyle w:val="QuestionGSE"/>
        <w:rPr/>
      </w:pPr>
      <w:r>
        <w:rPr/>
        <w:t>QT11. Quelle rubrique permet de consulter les conditions et la procédure d’inscription ?</w:t>
      </w:r>
    </w:p>
    <w:p>
      <w:pPr>
        <w:pStyle w:val="AnswerGSE"/>
        <w:shd w:fill="F3F4F6"/>
        <w:rPr/>
      </w:pPr>
      <w:r>
        <w:rPr>
          <w:b/>
          <w:color w:val="2F6B3F"/>
        </w:rPr>
        <w:t xml:space="preserve">Réponse de référence : </w:t>
      </w:r>
      <w:r>
        <w:rPr/>
        <w:t>ADMISSIONS.</w:t>
      </w:r>
    </w:p>
    <w:p>
      <w:pPr>
        <w:pStyle w:val="QuestionGSE"/>
        <w:rPr/>
      </w:pPr>
      <w:r>
        <w:rPr/>
        <w:t>QT12. Quelle rubrique couvre les clubs, sports et sorties éducatives ?</w:t>
      </w:r>
    </w:p>
    <w:p>
      <w:pPr>
        <w:pStyle w:val="AnswerGSE"/>
        <w:shd w:fill="F3F4F6"/>
        <w:rPr/>
      </w:pPr>
      <w:r>
        <w:rPr>
          <w:b/>
          <w:color w:val="2F6B3F"/>
        </w:rPr>
        <w:t xml:space="preserve">Réponse de référence : </w:t>
      </w:r>
      <w:r>
        <w:rPr/>
        <w:t>VIE SCOLAIRE &gt; ACTIVITÉS.</w:t>
      </w:r>
    </w:p>
    <w:p>
      <w:pPr>
        <w:pStyle w:val="QuestionGSE"/>
        <w:rPr/>
      </w:pPr>
      <w:r>
        <w:rPr/>
        <w:t>QT13. Quelle rubrique couvre la protection de l’enfant et la prévention des risques ?</w:t>
      </w:r>
    </w:p>
    <w:p>
      <w:pPr>
        <w:pStyle w:val="AnswerGSE"/>
        <w:shd w:fill="F3F4F6"/>
        <w:rPr/>
      </w:pPr>
      <w:r>
        <w:rPr>
          <w:b/>
          <w:color w:val="2F6B3F"/>
        </w:rPr>
        <w:t xml:space="preserve">Réponse de référence : </w:t>
      </w:r>
      <w:r>
        <w:rPr/>
        <w:t>VIE SCOLAIRE &gt; SÉCURITÉ ET BIEN-ÊTRE.</w:t>
      </w:r>
    </w:p>
    <w:p>
      <w:pPr>
        <w:pStyle w:val="QuestionGSE"/>
        <w:rPr/>
      </w:pPr>
      <w:r>
        <w:rPr/>
        <w:t>QT14. Quelle rubrique couvre la chorale, le théâtre et les arts visuels ?</w:t>
      </w:r>
    </w:p>
    <w:p>
      <w:pPr>
        <w:pStyle w:val="AnswerGSE"/>
        <w:shd w:fill="F3F4F6"/>
        <w:rPr/>
      </w:pPr>
      <w:r>
        <w:rPr>
          <w:b/>
          <w:color w:val="2F6B3F"/>
        </w:rPr>
        <w:t xml:space="preserve">Réponse de référence : </w:t>
      </w:r>
      <w:r>
        <w:rPr/>
        <w:t>VIE SCOLAIRE &gt; ARTS, CULTURE ET TALENTS.</w:t>
      </w:r>
    </w:p>
    <w:p>
      <w:pPr>
        <w:pStyle w:val="QuestionGSE"/>
        <w:rPr/>
      </w:pPr>
      <w:r>
        <w:rPr/>
        <w:t>QT15. Quelle rubrique permet de voir les classes et activités en images ?</w:t>
      </w:r>
    </w:p>
    <w:p>
      <w:pPr>
        <w:pStyle w:val="AnswerGSE"/>
        <w:shd w:fill="F3F4F6"/>
        <w:rPr/>
      </w:pPr>
      <w:r>
        <w:rPr>
          <w:b/>
          <w:color w:val="2F6B3F"/>
        </w:rPr>
        <w:t xml:space="preserve">Réponse de référence : </w:t>
      </w:r>
      <w:r>
        <w:rPr/>
        <w:t>GALERIE.</w:t>
      </w:r>
    </w:p>
    <w:p>
      <w:pPr>
        <w:pStyle w:val="QuestionGSE"/>
        <w:rPr/>
      </w:pPr>
      <w:r>
        <w:rPr/>
        <w:t>QT16. Quelle rubrique présente les partenaires internationaux ?</w:t>
      </w:r>
    </w:p>
    <w:p>
      <w:pPr>
        <w:pStyle w:val="AnswerGSE"/>
        <w:shd w:fill="F3F4F6"/>
        <w:rPr/>
      </w:pPr>
      <w:r>
        <w:rPr>
          <w:b/>
          <w:color w:val="2F6B3F"/>
        </w:rPr>
        <w:t xml:space="preserve">Réponse de référence : </w:t>
      </w:r>
      <w:r>
        <w:rPr/>
        <w:t>NOS PARTENARIATS &gt; PARTENAIRES INTERNATIONAUX.</w:t>
      </w:r>
    </w:p>
    <w:p>
      <w:pPr>
        <w:pStyle w:val="QuestionGSE"/>
        <w:rPr/>
      </w:pPr>
      <w:r>
        <w:rPr/>
        <w:t>QT17. Quelle rubrique permet aux parents d’accéder à la FAQ ?</w:t>
      </w:r>
    </w:p>
    <w:p>
      <w:pPr>
        <w:pStyle w:val="AnswerGSE"/>
        <w:shd w:fill="F3F4F6"/>
        <w:rPr/>
      </w:pPr>
      <w:r>
        <w:rPr>
          <w:b/>
          <w:color w:val="2F6B3F"/>
        </w:rPr>
        <w:t xml:space="preserve">Réponse de référence : </w:t>
      </w:r>
      <w:r>
        <w:rPr/>
        <w:t>ESPACE PARENTS &gt; FAQ.</w:t>
      </w:r>
    </w:p>
    <w:p>
      <w:pPr>
        <w:pStyle w:val="QuestionGSE"/>
        <w:rPr/>
      </w:pPr>
      <w:r>
        <w:rPr/>
        <w:t>QT18. Quel accès est prévu pour un espace nécessitant une identification ?</w:t>
      </w:r>
    </w:p>
    <w:p>
      <w:pPr>
        <w:pStyle w:val="AnswerGSE"/>
        <w:shd w:fill="F3F4F6"/>
        <w:rPr/>
      </w:pPr>
      <w:r>
        <w:rPr>
          <w:b/>
          <w:color w:val="2F6B3F"/>
        </w:rPr>
        <w:t xml:space="preserve">Réponse de référence : </w:t>
      </w:r>
      <w:r>
        <w:rPr/>
        <w:t>SE CONNECTER.</w:t>
      </w:r>
    </w:p>
    <w:p>
      <w:pPr>
        <w:pStyle w:val="QuestionGSE"/>
        <w:rPr/>
      </w:pPr>
      <w:r>
        <w:rPr/>
        <w:t>QT19. Quels éléments du pied de page sont encore en anglais ?</w:t>
      </w:r>
    </w:p>
    <w:p>
      <w:pPr>
        <w:pStyle w:val="AnswerGSE"/>
        <w:shd w:fill="F3F4F6"/>
        <w:rPr/>
      </w:pPr>
      <w:r>
        <w:rPr>
          <w:b/>
          <w:color w:val="2F6B3F"/>
        </w:rPr>
        <w:t xml:space="preserve">Réponse de référence : </w:t>
      </w:r>
      <w:r>
        <w:rPr/>
        <w:t xml:space="preserve">Le texte institutionnel, « Useful Links » et « Contact us ». </w:t>
      </w:r>
    </w:p>
    <w:p>
      <w:pPr>
        <w:pStyle w:val="QuestionGSE"/>
        <w:rPr/>
      </w:pPr>
      <w:r>
        <w:rPr/>
        <w:t>QT20. Quelles données du pied de page sont identifiées comme génériques ou de démonstration ?</w:t>
      </w:r>
    </w:p>
    <w:p>
      <w:pPr>
        <w:pStyle w:val="AnswerGSE"/>
        <w:shd w:fill="F3F4F6"/>
        <w:rPr/>
      </w:pPr>
      <w:r>
        <w:rPr>
          <w:b/>
          <w:color w:val="2F6B3F"/>
        </w:rPr>
        <w:t xml:space="preserve">Réponse de référence : </w:t>
      </w:r>
      <w:r>
        <w:rPr/>
        <w:t>L’adresse américaine, le numéro +1 et l’adresse mail@example.com.</w:t>
      </w:r>
    </w:p>
    <w:p>
      <w:pPr>
        <w:pStyle w:val="QuestionGSE"/>
        <w:rPr/>
      </w:pPr>
      <w:r>
        <w:rPr/>
        <w:t>QT21. Quelle correction orthographique est recommandée pour le secondaire ?</w:t>
      </w:r>
    </w:p>
    <w:p>
      <w:pPr>
        <w:pStyle w:val="AnswerGSE"/>
        <w:shd w:fill="F3F4F6"/>
        <w:rPr/>
      </w:pPr>
      <w:r>
        <w:rPr>
          <w:b/>
          <w:color w:val="2F6B3F"/>
        </w:rPr>
        <w:t xml:space="preserve">Réponse de référence : </w:t>
      </w:r>
      <w:r>
        <w:rPr/>
        <w:t xml:space="preserve">Remplacer « PLUTARD » par « PLUS TARD » ou « PROCHAINEMENT ». </w:t>
      </w:r>
    </w:p>
    <w:p>
      <w:pPr>
        <w:pStyle w:val="QuestionGSE"/>
        <w:rPr/>
      </w:pPr>
      <w:r>
        <w:rPr/>
        <w:t>QT22. Pourquoi le texte intégré dans les images doit-il aussi exister en HTML ?</w:t>
      </w:r>
    </w:p>
    <w:p>
      <w:pPr>
        <w:pStyle w:val="AnswerGSE"/>
        <w:shd w:fill="F3F4F6"/>
        <w:rPr/>
      </w:pPr>
      <w:r>
        <w:rPr>
          <w:b/>
          <w:color w:val="2F6B3F"/>
        </w:rPr>
        <w:t xml:space="preserve">Réponse de référence : </w:t>
      </w:r>
      <w:r>
        <w:rPr/>
        <w:t>Pour améliorer l’accessibilité, le référencement et la traduction.</w:t>
      </w:r>
    </w:p>
    <w:p>
      <w:pPr>
        <w:pStyle w:val="QuestionGSE"/>
        <w:rPr/>
      </w:pPr>
      <w:r>
        <w:rPr/>
        <w:t>QT23. Quelle signature est commune aux trois visuels ?</w:t>
      </w:r>
    </w:p>
    <w:p>
      <w:pPr>
        <w:pStyle w:val="AnswerGSE"/>
        <w:shd w:fill="F3F4F6"/>
        <w:rPr/>
      </w:pPr>
      <w:r>
        <w:rPr>
          <w:b/>
          <w:color w:val="2F6B3F"/>
        </w:rPr>
        <w:t xml:space="preserve">Réponse de référence : </w:t>
      </w:r>
      <w:r>
        <w:rPr/>
        <w:t>EXCELLENCE • VALEURS • AVENIR.</w:t>
      </w:r>
    </w:p>
    <w:p>
      <w:pPr>
        <w:pStyle w:val="QuestionGSE"/>
        <w:rPr/>
      </w:pPr>
      <w:r>
        <w:rPr/>
        <w:t>QT24. Quel parcours global la page propose-t-elle au visiteur ?</w:t>
      </w:r>
    </w:p>
    <w:p>
      <w:pPr>
        <w:pStyle w:val="AnswerGSE"/>
        <w:shd w:fill="F3F4F6"/>
        <w:rPr/>
      </w:pPr>
      <w:r>
        <w:rPr>
          <w:b/>
          <w:color w:val="2F6B3F"/>
        </w:rPr>
        <w:t xml:space="preserve">Réponse de référence : </w:t>
      </w:r>
      <w:r>
        <w:rPr/>
        <w:t>Comprendre l’identité de l’école, découvrir ses avantages et programmes, obtenir des informations pratiques, puis inscrire l’enfant ou contacter l’établissement.</w:t>
      </w:r>
    </w:p>
    <w:p>
      <w:pPr>
        <w:pStyle w:val="QuestionGSE"/>
        <w:rPr/>
      </w:pPr>
      <w:r>
        <w:rPr/>
        <w:t>QT25. Quels contenus contribuent directement à la confiance des parents ?</w:t>
      </w:r>
    </w:p>
    <w:p>
      <w:pPr>
        <w:pStyle w:val="AnswerGSE"/>
        <w:shd w:fill="F3F4F6"/>
        <w:rPr/>
      </w:pPr>
      <w:r>
        <w:rPr>
          <w:b/>
          <w:color w:val="2F6B3F"/>
        </w:rPr>
        <w:t xml:space="preserve">Réponse de référence : </w:t>
      </w:r>
      <w:r>
        <w:rPr/>
        <w:t>L’excellence académique, l’encadrement personnalisé, l’éducation bilingue, les valeurs chrétiennes, la sécurité et le bien-être, ainsi que l’innovation pédagogique.</w:t>
      </w:r>
    </w:p>
    <w:p>
      <w:pPr>
        <w:pStyle w:val="Normal"/>
        <w:rPr/>
      </w:pPr>
      <w:r>
        <w:rPr/>
      </w:r>
      <w:r>
        <w:br w:type="page"/>
      </w:r>
    </w:p>
    <w:p>
      <w:pPr>
        <w:pStyle w:val="Normal"/>
        <w:spacing w:before="0" w:after="80"/>
        <w:jc w:val="center"/>
        <w:rPr/>
      </w:pPr>
      <w:r>
        <w:rPr>
          <w:b/>
          <w:color w:val="0B3D91"/>
          <w:sz w:val="46"/>
        </w:rPr>
        <w:t>PARTIE V</w:t>
      </w:r>
    </w:p>
    <w:p>
      <w:pPr>
        <w:pStyle w:val="Normal"/>
        <w:jc w:val="center"/>
        <w:rPr/>
      </w:pPr>
      <w:r>
        <w:rPr>
          <w:i/>
          <w:color w:val="253247"/>
          <w:sz w:val="24"/>
        </w:rPr>
        <w:t>Glossaire des mots clés, sigles, abréviations et termes difficiles</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Heading2"/>
        <w:rPr/>
      </w:pPr>
      <w:r>
        <w:rPr/>
        <w:t>A. Sigles, abréviations et expressions techniques</w:t>
      </w:r>
    </w:p>
    <w:p>
      <w:pPr>
        <w:pStyle w:val="GlossaryGSE"/>
        <w:shd w:fill="EAF2FB"/>
        <w:rPr/>
      </w:pPr>
      <w:r>
        <w:rPr>
          <w:b/>
          <w:color w:val="0B3D91"/>
        </w:rPr>
        <w:t xml:space="preserve">4K : </w:t>
      </w:r>
      <w:r>
        <w:rPr/>
        <w:t>Format d’image à très haute définition comportant environ quatre mille pixels de largeur. Dans le relevé, il désigne la qualité annoncée des visuels GSLE.</w:t>
      </w:r>
    </w:p>
    <w:p>
      <w:pPr>
        <w:pStyle w:val="GlossaryGSE"/>
        <w:shd w:fill="EAF2FB"/>
        <w:rPr/>
      </w:pPr>
      <w:r>
        <w:rPr>
          <w:b/>
          <w:color w:val="0B3D91"/>
        </w:rPr>
        <w:t xml:space="preserve">FAQ : </w:t>
      </w:r>
      <w:r>
        <w:rPr/>
        <w:t>Sigle anglais de Frequently Asked Questions, traduit par « Foire aux questions ». Il regroupe des réponses aux questions fréquentes.</w:t>
      </w:r>
    </w:p>
    <w:p>
      <w:pPr>
        <w:pStyle w:val="GlossaryGSE"/>
        <w:shd w:fill="EAF2FB"/>
        <w:rPr/>
      </w:pPr>
      <w:r>
        <w:rPr>
          <w:b/>
          <w:color w:val="0B3D91"/>
        </w:rPr>
        <w:t xml:space="preserve">FR : </w:t>
      </w:r>
      <w:r>
        <w:rPr/>
        <w:t>Abréviation courante de « français ».</w:t>
      </w:r>
    </w:p>
    <w:p>
      <w:pPr>
        <w:pStyle w:val="GlossaryGSE"/>
        <w:shd w:fill="EAF2FB"/>
        <w:rPr/>
      </w:pPr>
      <w:r>
        <w:rPr>
          <w:b/>
          <w:color w:val="0B3D91"/>
        </w:rPr>
        <w:t xml:space="preserve">GROUPE SCOLAIRE LES ÉMINENTS (GSE) : </w:t>
      </w:r>
      <w:r>
        <w:rPr/>
        <w:t>Nom institutionnel de l’établissement. « GSE » est l’abréviation utilisée dans l’écosystème du projet.</w:t>
      </w:r>
    </w:p>
    <w:p>
      <w:pPr>
        <w:pStyle w:val="GlossaryGSE"/>
        <w:shd w:fill="EAF2FB"/>
        <w:rPr/>
      </w:pPr>
      <w:r>
        <w:rPr>
          <w:b/>
          <w:color w:val="0B3D91"/>
        </w:rPr>
        <w:t xml:space="preserve">GSLE1 / GSLE2 / GSLE3 : </w:t>
      </w:r>
      <w:r>
        <w:rPr/>
        <w:t>Noms de fichiers employés dans le relevé pour distinguer les trois visuels institutionnels de la page d’accueil.</w:t>
      </w:r>
    </w:p>
    <w:p>
      <w:pPr>
        <w:pStyle w:val="GlossaryGSE"/>
        <w:shd w:fill="EAF2FB"/>
        <w:rPr/>
      </w:pPr>
      <w:r>
        <w:rPr>
          <w:b/>
          <w:color w:val="0B3D91"/>
        </w:rPr>
        <w:t xml:space="preserve">HTML : </w:t>
      </w:r>
      <w:r>
        <w:rPr/>
        <w:t>Langage utilisé pour structurer le contenu d’une page web. Un texte en HTML est lisible par les moteurs de recherche et les technologies d’assistance.</w:t>
      </w:r>
    </w:p>
    <w:p>
      <w:pPr>
        <w:pStyle w:val="GlossaryGSE"/>
        <w:shd w:fill="EAF2FB"/>
        <w:rPr/>
      </w:pPr>
      <w:r>
        <w:rPr>
          <w:b/>
          <w:color w:val="0B3D91"/>
        </w:rPr>
        <w:t xml:space="preserve">TX : </w:t>
      </w:r>
      <w:r>
        <w:rPr/>
        <w:t>Abréviation postale de l’État du Texas, aux États-Unis. Elle apparaît dans l’adresse de démonstration du pied de page.</w:t>
      </w:r>
    </w:p>
    <w:p>
      <w:pPr>
        <w:pStyle w:val="GlossaryGSE"/>
        <w:shd w:fill="EAF2FB"/>
        <w:rPr/>
      </w:pPr>
      <w:r>
        <w:rPr>
          <w:b/>
          <w:color w:val="0B3D91"/>
        </w:rPr>
        <w:t xml:space="preserve">Ultra HD : </w:t>
      </w:r>
      <w:r>
        <w:rPr/>
        <w:t>Abréviation de Ultra High Definition, c’est-à-dire très haute définition ; souvent associée au format 4K.</w:t>
      </w:r>
    </w:p>
    <w:p>
      <w:pPr>
        <w:pStyle w:val="GlossaryGSE"/>
        <w:shd w:fill="EAF2FB"/>
        <w:rPr/>
      </w:pPr>
      <w:r>
        <w:rPr>
          <w:b/>
          <w:color w:val="0B3D91"/>
        </w:rPr>
        <w:t xml:space="preserve">URL : </w:t>
      </w:r>
      <w:r>
        <w:rPr/>
        <w:t>Adresse permettant d’accéder à une ressource ou à une page sur Internet.</w:t>
      </w:r>
    </w:p>
    <w:p>
      <w:pPr>
        <w:pStyle w:val="GlossaryGSE"/>
        <w:shd w:fill="EAF2FB"/>
        <w:rPr/>
      </w:pPr>
      <w:r>
        <w:rPr>
          <w:b/>
          <w:color w:val="0B3D91"/>
        </w:rPr>
        <w:t xml:space="preserve">© : </w:t>
      </w:r>
      <w:r>
        <w:rPr/>
        <w:t>Symbole du copyright, utilisé pour signaler la protection et l’attribution d’un contenu.</w:t>
      </w:r>
    </w:p>
    <w:p>
      <w:pPr>
        <w:pStyle w:val="Heading2"/>
        <w:rPr/>
      </w:pPr>
      <w:r>
        <w:rPr/>
        <w:t>B. Mots clés et mots difficiles</w:t>
      </w:r>
    </w:p>
    <w:p>
      <w:pPr>
        <w:pStyle w:val="GlossaryGSE"/>
        <w:rPr/>
      </w:pPr>
      <w:r>
        <w:rPr>
          <w:b/>
          <w:color w:val="0B3D91"/>
        </w:rPr>
        <w:t xml:space="preserve">Accessibilité numérique : </w:t>
      </w:r>
      <w:r>
        <w:rPr/>
        <w:t>Conception d’un site permettant au plus grand nombre, y compris aux personnes vivant avec un handicap, de percevoir et d’utiliser les contenus.</w:t>
      </w:r>
    </w:p>
    <w:p>
      <w:pPr>
        <w:pStyle w:val="GlossaryGSE"/>
        <w:rPr/>
      </w:pPr>
      <w:r>
        <w:rPr>
          <w:b/>
          <w:color w:val="0B3D91"/>
        </w:rPr>
        <w:t xml:space="preserve">Accompagnement psychologique : </w:t>
      </w:r>
      <w:r>
        <w:rPr/>
        <w:t>Soutien destiné à aider un élève à faire face à des difficultés émotionnelles, relationnelles ou d’adaptation.</w:t>
      </w:r>
    </w:p>
    <w:p>
      <w:pPr>
        <w:pStyle w:val="GlossaryGSE"/>
        <w:rPr/>
      </w:pPr>
      <w:r>
        <w:rPr>
          <w:b/>
          <w:color w:val="0B3D91"/>
        </w:rPr>
        <w:t xml:space="preserve">Accueil : </w:t>
      </w:r>
      <w:r>
        <w:rPr/>
        <w:t>Page principale d’un site, conçue pour orienter le visiteur vers les informations essentielles.</w:t>
      </w:r>
    </w:p>
    <w:p>
      <w:pPr>
        <w:pStyle w:val="GlossaryGSE"/>
        <w:rPr/>
      </w:pPr>
      <w:r>
        <w:rPr>
          <w:b/>
          <w:color w:val="0B3D91"/>
        </w:rPr>
        <w:t xml:space="preserve">Actualités : </w:t>
      </w:r>
      <w:r>
        <w:rPr/>
        <w:t>Informations nouvelles concernant la vie, les activités ou les projets de l’établissement.</w:t>
      </w:r>
    </w:p>
    <w:p>
      <w:pPr>
        <w:pStyle w:val="GlossaryGSE"/>
        <w:rPr/>
      </w:pPr>
      <w:r>
        <w:rPr>
          <w:b/>
          <w:color w:val="0B3D91"/>
        </w:rPr>
        <w:t xml:space="preserve">Admission : </w:t>
      </w:r>
      <w:r>
        <w:rPr/>
        <w:t>Processus par lequel une école examine et accepte la demande d’entrée d’un élève.</w:t>
      </w:r>
    </w:p>
    <w:p>
      <w:pPr>
        <w:pStyle w:val="GlossaryGSE"/>
        <w:rPr/>
      </w:pPr>
      <w:r>
        <w:rPr>
          <w:b/>
          <w:color w:val="0B3D91"/>
        </w:rPr>
        <w:t xml:space="preserve">Anti-harcèlement : </w:t>
      </w:r>
      <w:r>
        <w:rPr/>
        <w:t>Ensemble de règles et d’actions visant à prévenir, détecter et traiter les comportements répétés d’intimidation ou de violence.</w:t>
      </w:r>
    </w:p>
    <w:p>
      <w:pPr>
        <w:pStyle w:val="GlossaryGSE"/>
        <w:rPr/>
      </w:pPr>
      <w:r>
        <w:rPr>
          <w:b/>
          <w:color w:val="0B3D91"/>
        </w:rPr>
        <w:t xml:space="preserve">Appel à l’action : </w:t>
      </w:r>
      <w:r>
        <w:rPr/>
        <w:t>Bouton ou message invitant le visiteur à accomplir une action précise, par exemple « INSCRIRE MON ENFANT ».</w:t>
      </w:r>
    </w:p>
    <w:p>
      <w:pPr>
        <w:pStyle w:val="GlossaryGSE"/>
        <w:rPr/>
      </w:pPr>
      <w:r>
        <w:rPr>
          <w:b/>
          <w:color w:val="0B3D91"/>
        </w:rPr>
        <w:t xml:space="preserve">Approche éducative : </w:t>
      </w:r>
      <w:r>
        <w:rPr/>
        <w:t>Ensemble des principes, méthodes et choix qui guident la manière d’enseigner et d’accompagner les élèves.</w:t>
      </w:r>
    </w:p>
    <w:p>
      <w:pPr>
        <w:pStyle w:val="GlossaryGSE"/>
        <w:rPr/>
      </w:pPr>
      <w:r>
        <w:rPr>
          <w:b/>
          <w:color w:val="0B3D91"/>
        </w:rPr>
        <w:t xml:space="preserve">Arts culinaires : </w:t>
      </w:r>
      <w:r>
        <w:rPr/>
        <w:t>Activités liées à la préparation, à la présentation et à la culture des aliments.</w:t>
      </w:r>
    </w:p>
    <w:p>
      <w:pPr>
        <w:pStyle w:val="GlossaryGSE"/>
        <w:rPr/>
      </w:pPr>
      <w:r>
        <w:rPr>
          <w:b/>
          <w:color w:val="0B3D91"/>
        </w:rPr>
        <w:t xml:space="preserve">Arts visuels : </w:t>
      </w:r>
      <w:r>
        <w:rPr/>
        <w:t>Formes d’expression artistique principalement perçues par la vue, comme le dessin, la peinture, la photographie ou la sculpture.</w:t>
      </w:r>
    </w:p>
    <w:p>
      <w:pPr>
        <w:pStyle w:val="GlossaryGSE"/>
        <w:rPr/>
      </w:pPr>
      <w:r>
        <w:rPr>
          <w:b/>
          <w:color w:val="0B3D91"/>
        </w:rPr>
        <w:t xml:space="preserve">Autonomie : </w:t>
      </w:r>
      <w:r>
        <w:rPr/>
        <w:t>Capacité d’agir, de réfléchir et d’accomplir certaines tâches avec une dépendance progressivement réduite envers l’adulte.</w:t>
      </w:r>
    </w:p>
    <w:p>
      <w:pPr>
        <w:pStyle w:val="GlossaryGSE"/>
        <w:rPr/>
      </w:pPr>
      <w:r>
        <w:rPr>
          <w:b/>
          <w:color w:val="0B3D91"/>
        </w:rPr>
        <w:t xml:space="preserve">Avenir : </w:t>
      </w:r>
      <w:r>
        <w:rPr/>
        <w:t>Ce qui concerne les étapes futures de la formation, de la vie et de l’insertion de l’élève.</w:t>
      </w:r>
    </w:p>
    <w:p>
      <w:pPr>
        <w:pStyle w:val="GlossaryGSE"/>
        <w:rPr/>
      </w:pPr>
      <w:r>
        <w:rPr>
          <w:b/>
          <w:color w:val="0B3D91"/>
        </w:rPr>
        <w:t xml:space="preserve">Bien-être : </w:t>
      </w:r>
      <w:r>
        <w:rPr/>
        <w:t>État dans lequel une personne se sent en sécurité, respectée, soutenue et capable de se développer harmonieusement.</w:t>
      </w:r>
    </w:p>
    <w:p>
      <w:pPr>
        <w:pStyle w:val="GlossaryGSE"/>
        <w:rPr/>
      </w:pPr>
      <w:r>
        <w:rPr>
          <w:b/>
          <w:color w:val="0B3D91"/>
        </w:rPr>
        <w:t xml:space="preserve">Bienveillant : </w:t>
      </w:r>
      <w:r>
        <w:rPr/>
        <w:t>Qui manifeste de l’attention, du respect et une volonté d’aider sans nuire.</w:t>
      </w:r>
    </w:p>
    <w:p>
      <w:pPr>
        <w:pStyle w:val="GlossaryGSE"/>
        <w:rPr/>
      </w:pPr>
      <w:r>
        <w:rPr>
          <w:b/>
          <w:color w:val="0B3D91"/>
        </w:rPr>
        <w:t xml:space="preserve">Bilingue : </w:t>
      </w:r>
      <w:r>
        <w:rPr/>
        <w:t>Qui utilise ou enseigne deux langues. Sur la page, ces langues sont le français et l’anglais.</w:t>
      </w:r>
    </w:p>
    <w:p>
      <w:pPr>
        <w:pStyle w:val="GlossaryGSE"/>
        <w:rPr/>
      </w:pPr>
      <w:r>
        <w:rPr>
          <w:b/>
          <w:color w:val="0B3D91"/>
        </w:rPr>
        <w:t xml:space="preserve">Bilinguisme : </w:t>
      </w:r>
      <w:r>
        <w:rPr/>
        <w:t>Capacité à utiliser deux langues et organisation éducative visant cette maîtrise.</w:t>
      </w:r>
    </w:p>
    <w:p>
      <w:pPr>
        <w:pStyle w:val="GlossaryGSE"/>
        <w:rPr/>
      </w:pPr>
      <w:r>
        <w:rPr>
          <w:b/>
          <w:color w:val="0B3D91"/>
        </w:rPr>
        <w:t xml:space="preserve">Camp de vacances : </w:t>
      </w:r>
      <w:r>
        <w:rPr/>
        <w:t>Programme organisé pendant une période de congé, comprenant des activités éducatives, culturelles ou récréatives.</w:t>
      </w:r>
    </w:p>
    <w:p>
      <w:pPr>
        <w:pStyle w:val="GlossaryGSE"/>
        <w:rPr/>
      </w:pPr>
      <w:r>
        <w:rPr>
          <w:b/>
          <w:color w:val="0B3D91"/>
        </w:rPr>
        <w:t xml:space="preserve">Chorale : </w:t>
      </w:r>
      <w:r>
        <w:rPr/>
        <w:t>Groupe de personnes qui chantent ensemble sous une direction commune.</w:t>
      </w:r>
    </w:p>
    <w:p>
      <w:pPr>
        <w:pStyle w:val="GlossaryGSE"/>
        <w:rPr/>
      </w:pPr>
      <w:r>
        <w:rPr>
          <w:b/>
          <w:color w:val="0B3D91"/>
        </w:rPr>
        <w:t xml:space="preserve">Communication internationale : </w:t>
      </w:r>
      <w:r>
        <w:rPr/>
        <w:t>Échange d’informations entre personnes ou organisations de pays et de langues différents.</w:t>
      </w:r>
    </w:p>
    <w:p>
      <w:pPr>
        <w:pStyle w:val="GlossaryGSE"/>
        <w:rPr/>
      </w:pPr>
      <w:r>
        <w:rPr>
          <w:b/>
          <w:color w:val="0B3D91"/>
        </w:rPr>
        <w:t xml:space="preserve">Compétence : </w:t>
      </w:r>
      <w:r>
        <w:rPr/>
        <w:t>Capacité à mobiliser des connaissances, des méthodes et des attitudes pour accomplir une tâche.</w:t>
      </w:r>
    </w:p>
    <w:p>
      <w:pPr>
        <w:pStyle w:val="GlossaryGSE"/>
        <w:rPr/>
      </w:pPr>
      <w:r>
        <w:rPr>
          <w:b/>
          <w:color w:val="0B3D91"/>
        </w:rPr>
        <w:t xml:space="preserve">Conditions d’admission : </w:t>
      </w:r>
      <w:r>
        <w:rPr/>
        <w:t>Critères qu’un candidat doit remplir pour pouvoir entrer dans l’établissement.</w:t>
      </w:r>
    </w:p>
    <w:p>
      <w:pPr>
        <w:pStyle w:val="GlossaryGSE"/>
        <w:rPr/>
      </w:pPr>
      <w:r>
        <w:rPr>
          <w:b/>
          <w:color w:val="0B3D91"/>
        </w:rPr>
        <w:t xml:space="preserve">Contrôle des accès : </w:t>
      </w:r>
      <w:r>
        <w:rPr/>
        <w:t>Mesures permettant de vérifier et de limiter l’entrée dans les espaces de l’école aux personnes autorisées.</w:t>
      </w:r>
    </w:p>
    <w:p>
      <w:pPr>
        <w:pStyle w:val="GlossaryGSE"/>
        <w:rPr/>
      </w:pPr>
      <w:r>
        <w:rPr>
          <w:b/>
          <w:color w:val="0B3D91"/>
        </w:rPr>
        <w:t xml:space="preserve">Copyright : </w:t>
      </w:r>
      <w:r>
        <w:rPr/>
        <w:t>Mention indiquant la protection et l’attribution d’une œuvre ou d’un contenu à son titulaire.</w:t>
      </w:r>
    </w:p>
    <w:p>
      <w:pPr>
        <w:pStyle w:val="GlossaryGSE"/>
        <w:rPr/>
      </w:pPr>
      <w:r>
        <w:rPr>
          <w:b/>
          <w:color w:val="0B3D91"/>
        </w:rPr>
        <w:t xml:space="preserve">Créativité : </w:t>
      </w:r>
      <w:r>
        <w:rPr/>
        <w:t>Capacité à imaginer, produire ou résoudre de manière originale.</w:t>
      </w:r>
    </w:p>
    <w:p>
      <w:pPr>
        <w:pStyle w:val="GlossaryGSE"/>
        <w:rPr/>
      </w:pPr>
      <w:r>
        <w:rPr>
          <w:b/>
          <w:color w:val="0B3D91"/>
        </w:rPr>
        <w:t xml:space="preserve">Discipline : </w:t>
      </w:r>
      <w:r>
        <w:rPr/>
        <w:t>Respect des règles, des engagements et des comportements nécessaires à la vie collective et au travail scolaire.</w:t>
      </w:r>
    </w:p>
    <w:p>
      <w:pPr>
        <w:pStyle w:val="GlossaryGSE"/>
        <w:rPr/>
      </w:pPr>
      <w:r>
        <w:rPr>
          <w:b/>
          <w:color w:val="0B3D91"/>
        </w:rPr>
        <w:t xml:space="preserve">Distinction : </w:t>
      </w:r>
      <w:r>
        <w:rPr/>
        <w:t>Reconnaissance accordée pour un résultat, une qualité ou une réalisation remarquable.</w:t>
      </w:r>
    </w:p>
    <w:p>
      <w:pPr>
        <w:pStyle w:val="GlossaryGSE"/>
        <w:rPr/>
      </w:pPr>
      <w:r>
        <w:rPr>
          <w:b/>
          <w:color w:val="0B3D91"/>
        </w:rPr>
        <w:t xml:space="preserve">Documents requis : </w:t>
      </w:r>
      <w:r>
        <w:rPr/>
        <w:t>Pièces qui doivent être fournies pour compléter une procédure administrative.</w:t>
      </w:r>
    </w:p>
    <w:p>
      <w:pPr>
        <w:pStyle w:val="GlossaryGSE"/>
        <w:rPr/>
      </w:pPr>
      <w:r>
        <w:rPr>
          <w:b/>
          <w:color w:val="0B3D91"/>
        </w:rPr>
        <w:t xml:space="preserve">Détection des talents : </w:t>
      </w:r>
      <w:r>
        <w:rPr/>
        <w:t>Démarche visant à repérer les aptitudes particulières d’un élève afin de mieux les développer.</w:t>
      </w:r>
    </w:p>
    <w:p>
      <w:pPr>
        <w:pStyle w:val="GlossaryGSE"/>
        <w:rPr/>
      </w:pPr>
      <w:r>
        <w:rPr>
          <w:b/>
          <w:color w:val="0B3D91"/>
        </w:rPr>
        <w:t xml:space="preserve">Développement global / holistic growth : </w:t>
      </w:r>
      <w:r>
        <w:rPr/>
        <w:t>Développement de plusieurs dimensions de l’élève : intellectuelle, physique, sociale, morale, émotionnelle et parfois spirituelle.</w:t>
      </w:r>
    </w:p>
    <w:p>
      <w:pPr>
        <w:pStyle w:val="GlossaryGSE"/>
        <w:rPr/>
      </w:pPr>
      <w:r>
        <w:rPr>
          <w:b/>
          <w:color w:val="0B3D91"/>
        </w:rPr>
        <w:t xml:space="preserve">Encadrement personnalisé : </w:t>
      </w:r>
      <w:r>
        <w:rPr/>
        <w:t>Suivi adapté aux besoins, au niveau et au rythme de l’élève.</w:t>
      </w:r>
    </w:p>
    <w:p>
      <w:pPr>
        <w:pStyle w:val="GlossaryGSE"/>
        <w:rPr/>
      </w:pPr>
      <w:r>
        <w:rPr>
          <w:b/>
          <w:color w:val="0B3D91"/>
        </w:rPr>
        <w:t xml:space="preserve">Enseignement rigoureux : </w:t>
      </w:r>
      <w:r>
        <w:rPr/>
        <w:t>Enseignement structuré, exigeant, méthodique et attentif à la qualité des apprentissages.</w:t>
      </w:r>
    </w:p>
    <w:p>
      <w:pPr>
        <w:pStyle w:val="GlossaryGSE"/>
        <w:rPr/>
      </w:pPr>
      <w:r>
        <w:rPr>
          <w:b/>
          <w:color w:val="0B3D91"/>
        </w:rPr>
        <w:t xml:space="preserve">Environnement d’apprentissage : </w:t>
      </w:r>
      <w:r>
        <w:rPr/>
        <w:t>Cadre matériel, humain, pédagogique et relationnel dans lequel l’élève apprend.</w:t>
      </w:r>
    </w:p>
    <w:p>
      <w:pPr>
        <w:pStyle w:val="GlossaryGSE"/>
        <w:rPr/>
      </w:pPr>
      <w:r>
        <w:rPr>
          <w:b/>
          <w:color w:val="0B3D91"/>
        </w:rPr>
        <w:t xml:space="preserve">Esprit critique : </w:t>
      </w:r>
      <w:r>
        <w:rPr/>
        <w:t>Capacité à analyser une information, à questionner, à comparer et à former un jugement argumenté.</w:t>
      </w:r>
    </w:p>
    <w:p>
      <w:pPr>
        <w:pStyle w:val="GlossaryGSE"/>
        <w:rPr/>
      </w:pPr>
      <w:r>
        <w:rPr>
          <w:b/>
          <w:color w:val="0B3D91"/>
        </w:rPr>
        <w:t xml:space="preserve">Excellence académique : </w:t>
      </w:r>
      <w:r>
        <w:rPr/>
        <w:t>Recherche d’un haut niveau de qualité dans l’enseignement, les apprentissages et les résultats.</w:t>
      </w:r>
    </w:p>
    <w:p>
      <w:pPr>
        <w:pStyle w:val="GlossaryGSE"/>
        <w:rPr/>
      </w:pPr>
      <w:r>
        <w:rPr>
          <w:b/>
          <w:color w:val="0B3D91"/>
        </w:rPr>
        <w:t xml:space="preserve">Exigence éducative : </w:t>
      </w:r>
      <w:r>
        <w:rPr/>
        <w:t>Niveau d’attente fixé pour garantir la qualité du travail, du comportement et des apprentissages.</w:t>
      </w:r>
    </w:p>
    <w:p>
      <w:pPr>
        <w:pStyle w:val="GlossaryGSE"/>
        <w:rPr/>
      </w:pPr>
      <w:r>
        <w:rPr>
          <w:b/>
          <w:color w:val="0B3D91"/>
        </w:rPr>
        <w:t xml:space="preserve">Foi : </w:t>
      </w:r>
      <w:r>
        <w:rPr/>
        <w:t>Adhésion spirituelle et confiance religieuse ; sur la page, elle est citée comme fondement des valeurs chrétiennes.</w:t>
      </w:r>
    </w:p>
    <w:p>
      <w:pPr>
        <w:pStyle w:val="GlossaryGSE"/>
        <w:rPr/>
      </w:pPr>
      <w:r>
        <w:rPr>
          <w:b/>
          <w:color w:val="0B3D91"/>
        </w:rPr>
        <w:t xml:space="preserve">Galerie : </w:t>
      </w:r>
      <w:r>
        <w:rPr/>
        <w:t>Espace d’un site regroupant des photographies ou des vidéos.</w:t>
      </w:r>
    </w:p>
    <w:p>
      <w:pPr>
        <w:pStyle w:val="GlossaryGSE"/>
        <w:rPr/>
      </w:pPr>
      <w:r>
        <w:rPr>
          <w:b/>
          <w:color w:val="0B3D91"/>
        </w:rPr>
        <w:t xml:space="preserve">Globalisé : </w:t>
      </w:r>
      <w:r>
        <w:rPr/>
        <w:t>Caractérisé par des échanges et des interdépendances croissantes à l’échelle mondiale.</w:t>
      </w:r>
    </w:p>
    <w:p>
      <w:pPr>
        <w:pStyle w:val="GlossaryGSE"/>
        <w:rPr/>
      </w:pPr>
      <w:r>
        <w:rPr>
          <w:b/>
          <w:color w:val="0B3D91"/>
        </w:rPr>
        <w:t xml:space="preserve">Innovation pédagogique : </w:t>
      </w:r>
      <w:r>
        <w:rPr/>
        <w:t>Introduction de méthodes, d’organisations ou d’outils nouveaux ou améliorés pour mieux enseigner et apprendre.</w:t>
      </w:r>
    </w:p>
    <w:p>
      <w:pPr>
        <w:pStyle w:val="GlossaryGSE"/>
        <w:rPr/>
      </w:pPr>
      <w:r>
        <w:rPr>
          <w:b/>
          <w:color w:val="0B3D91"/>
        </w:rPr>
        <w:t xml:space="preserve">Inscription : </w:t>
      </w:r>
      <w:r>
        <w:rPr/>
        <w:t>Démarche administrative qui enregistre officiellement un élève dans l’établissement.</w:t>
      </w:r>
    </w:p>
    <w:p>
      <w:pPr>
        <w:pStyle w:val="GlossaryGSE"/>
        <w:rPr/>
      </w:pPr>
      <w:r>
        <w:rPr>
          <w:b/>
          <w:color w:val="0B3D91"/>
        </w:rPr>
        <w:t xml:space="preserve">Inscription en ligne : </w:t>
      </w:r>
      <w:r>
        <w:rPr/>
        <w:t>Procédure d’inscription effectuée au moyen d’un formulaire ou d’un service accessible sur Internet.</w:t>
      </w:r>
    </w:p>
    <w:p>
      <w:pPr>
        <w:pStyle w:val="GlossaryGSE"/>
        <w:rPr/>
      </w:pPr>
      <w:r>
        <w:rPr>
          <w:b/>
          <w:color w:val="0B3D91"/>
        </w:rPr>
        <w:t xml:space="preserve">Intégrité : </w:t>
      </w:r>
      <w:r>
        <w:rPr/>
        <w:t>Qualité d’une personne honnête, cohérente et attachée à des principes moraux.</w:t>
      </w:r>
    </w:p>
    <w:p>
      <w:pPr>
        <w:pStyle w:val="GlossaryGSE"/>
        <w:rPr/>
      </w:pPr>
      <w:r>
        <w:rPr>
          <w:b/>
          <w:color w:val="0B3D91"/>
        </w:rPr>
        <w:t xml:space="preserve">Journal scolaire : </w:t>
      </w:r>
      <w:r>
        <w:rPr/>
        <w:t>Publication réalisée dans le cadre de l’école pour informer, valoriser les activités et développer l’expression des élèves.</w:t>
      </w:r>
    </w:p>
    <w:p>
      <w:pPr>
        <w:pStyle w:val="GlossaryGSE"/>
        <w:rPr/>
      </w:pPr>
      <w:r>
        <w:rPr>
          <w:b/>
          <w:color w:val="0B3D91"/>
        </w:rPr>
        <w:t xml:space="preserve">Leadership : </w:t>
      </w:r>
      <w:r>
        <w:rPr/>
        <w:t>Capacité à guider, inspirer, prendre des initiatives et assumer des responsabilités.</w:t>
      </w:r>
    </w:p>
    <w:p>
      <w:pPr>
        <w:pStyle w:val="GlossaryGSE"/>
        <w:rPr/>
      </w:pPr>
      <w:r>
        <w:rPr>
          <w:b/>
          <w:color w:val="0B3D91"/>
        </w:rPr>
        <w:t xml:space="preserve">Liens utiles / Useful Links : </w:t>
      </w:r>
      <w:r>
        <w:rPr/>
        <w:t>Raccourcis vers les principales rubriques du site. « Useful Links » est l’intitulé anglais relevé dans le pied de page.</w:t>
      </w:r>
    </w:p>
    <w:p>
      <w:pPr>
        <w:pStyle w:val="GlossaryGSE"/>
        <w:rPr/>
      </w:pPr>
      <w:r>
        <w:rPr>
          <w:b/>
          <w:color w:val="0B3D91"/>
        </w:rPr>
        <w:t xml:space="preserve">Maternelle : </w:t>
      </w:r>
      <w:r>
        <w:rPr/>
        <w:t>Premier niveau scolaire destiné aux jeunes enfants, centré notamment sur l’éveil, la socialisation et les premières compétences.</w:t>
      </w:r>
    </w:p>
    <w:p>
      <w:pPr>
        <w:pStyle w:val="GlossaryGSE"/>
        <w:rPr/>
      </w:pPr>
      <w:r>
        <w:rPr>
          <w:b/>
          <w:color w:val="0B3D91"/>
        </w:rPr>
        <w:t xml:space="preserve">Mission : </w:t>
      </w:r>
      <w:r>
        <w:rPr/>
        <w:t>Rôle fondamental que l’institution se donne et actions principales qu’elle s’engage à accomplir.</w:t>
      </w:r>
    </w:p>
    <w:p>
      <w:pPr>
        <w:pStyle w:val="GlossaryGSE"/>
        <w:rPr/>
      </w:pPr>
      <w:r>
        <w:rPr>
          <w:b/>
          <w:color w:val="0B3D91"/>
        </w:rPr>
        <w:t xml:space="preserve">Monde moderne : </w:t>
      </w:r>
      <w:r>
        <w:rPr/>
        <w:t>Expression désignant le contexte contemporain marqué par les évolutions sociales, scientifiques, technologiques et économiques.</w:t>
      </w:r>
    </w:p>
    <w:p>
      <w:pPr>
        <w:pStyle w:val="GlossaryGSE"/>
        <w:rPr/>
      </w:pPr>
      <w:r>
        <w:rPr>
          <w:b/>
          <w:color w:val="0B3D91"/>
        </w:rPr>
        <w:t xml:space="preserve">Multiculturel : </w:t>
      </w:r>
      <w:r>
        <w:rPr/>
        <w:t>Qui réunit ou prend en compte plusieurs cultures.</w:t>
      </w:r>
    </w:p>
    <w:p>
      <w:pPr>
        <w:pStyle w:val="GlossaryGSE"/>
        <w:rPr/>
      </w:pPr>
      <w:r>
        <w:rPr>
          <w:b/>
          <w:color w:val="0B3D91"/>
        </w:rPr>
        <w:t xml:space="preserve">Méthode pédagogique : </w:t>
      </w:r>
      <w:r>
        <w:rPr/>
        <w:t>Manière structurée d’organiser l’enseignement et les activités d’apprentissage.</w:t>
      </w:r>
    </w:p>
    <w:p>
      <w:pPr>
        <w:pStyle w:val="GlossaryGSE"/>
        <w:rPr/>
      </w:pPr>
      <w:r>
        <w:rPr>
          <w:b/>
          <w:color w:val="0B3D91"/>
        </w:rPr>
        <w:t xml:space="preserve">Navigation : </w:t>
      </w:r>
      <w:r>
        <w:rPr/>
        <w:t>Organisation des menus et liens permettant de se déplacer entre les pages d’un site.</w:t>
      </w:r>
    </w:p>
    <w:p>
      <w:pPr>
        <w:pStyle w:val="GlossaryGSE"/>
        <w:rPr/>
      </w:pPr>
      <w:r>
        <w:rPr>
          <w:b/>
          <w:color w:val="0B3D91"/>
        </w:rPr>
        <w:t xml:space="preserve">Opportunité mondiale : </w:t>
      </w:r>
      <w:r>
        <w:rPr/>
        <w:t>Possibilité d’étude, d’échange ou de développement accessible dans un contexte international.</w:t>
      </w:r>
    </w:p>
    <w:p>
      <w:pPr>
        <w:pStyle w:val="GlossaryGSE"/>
        <w:rPr/>
      </w:pPr>
      <w:r>
        <w:rPr>
          <w:b/>
          <w:color w:val="0B3D91"/>
        </w:rPr>
        <w:t xml:space="preserve">Ouverture internationale : </w:t>
      </w:r>
      <w:r>
        <w:rPr/>
        <w:t>Préparation à comprendre, communiquer et agir dans un environnement mondial et multiculturel.</w:t>
      </w:r>
    </w:p>
    <w:p>
      <w:pPr>
        <w:pStyle w:val="GlossaryGSE"/>
        <w:rPr/>
      </w:pPr>
      <w:r>
        <w:rPr>
          <w:b/>
          <w:color w:val="0B3D91"/>
        </w:rPr>
        <w:t xml:space="preserve">Partenaire académique : </w:t>
      </w:r>
      <w:r>
        <w:rPr/>
        <w:t>Organisation collaborant avec l’école dans le domaine de l’enseignement, de la recherche ou de la formation.</w:t>
      </w:r>
    </w:p>
    <w:p>
      <w:pPr>
        <w:pStyle w:val="GlossaryGSE"/>
        <w:rPr/>
      </w:pPr>
      <w:r>
        <w:rPr>
          <w:b/>
          <w:color w:val="0B3D91"/>
        </w:rPr>
        <w:t xml:space="preserve">Partenaire chrétien : </w:t>
      </w:r>
      <w:r>
        <w:rPr/>
        <w:t>Organisation chrétienne collaborant avec l’école dans un cadre compatible avec ses orientations spirituelles.</w:t>
      </w:r>
    </w:p>
    <w:p>
      <w:pPr>
        <w:pStyle w:val="GlossaryGSE"/>
        <w:rPr/>
      </w:pPr>
      <w:r>
        <w:rPr>
          <w:b/>
          <w:color w:val="0B3D91"/>
        </w:rPr>
        <w:t xml:space="preserve">Partenaire culturel : </w:t>
      </w:r>
      <w:r>
        <w:rPr/>
        <w:t>Organisation collaborant dans les domaines des arts, de la culture ou du patrimoine.</w:t>
      </w:r>
    </w:p>
    <w:p>
      <w:pPr>
        <w:pStyle w:val="GlossaryGSE"/>
        <w:rPr/>
      </w:pPr>
      <w:r>
        <w:rPr>
          <w:b/>
          <w:color w:val="0B3D91"/>
        </w:rPr>
        <w:t xml:space="preserve">Partenaire international : </w:t>
      </w:r>
      <w:r>
        <w:rPr/>
        <w:t>Organisation située à l’étranger ou exerçant une coopération transnationale.</w:t>
      </w:r>
    </w:p>
    <w:p>
      <w:pPr>
        <w:pStyle w:val="GlossaryGSE"/>
        <w:rPr/>
      </w:pPr>
      <w:r>
        <w:rPr>
          <w:b/>
          <w:color w:val="0B3D91"/>
        </w:rPr>
        <w:t xml:space="preserve">Partenaire stratégique : </w:t>
      </w:r>
      <w:r>
        <w:rPr/>
        <w:t>Organisation dont la coopération contribue de manière importante aux objectifs à long terme de l’école.</w:t>
      </w:r>
    </w:p>
    <w:p>
      <w:pPr>
        <w:pStyle w:val="GlossaryGSE"/>
        <w:rPr/>
      </w:pPr>
      <w:r>
        <w:rPr>
          <w:b/>
          <w:color w:val="0B3D91"/>
        </w:rPr>
        <w:t xml:space="preserve">Pied de page : </w:t>
      </w:r>
      <w:r>
        <w:rPr/>
        <w:t>Partie inférieure répétée d’un site, contenant souvent une présentation, des liens, des contacts et des mentions légales.</w:t>
      </w:r>
    </w:p>
    <w:p>
      <w:pPr>
        <w:pStyle w:val="GlossaryGSE"/>
        <w:rPr/>
      </w:pPr>
      <w:r>
        <w:rPr>
          <w:b/>
          <w:color w:val="0B3D91"/>
        </w:rPr>
        <w:t xml:space="preserve">Plus tard / prochainement : </w:t>
      </w:r>
      <w:r>
        <w:rPr/>
        <w:t>Formulations correctes pouvant annoncer une offre prévue à une étape ultérieure. Le relevé signale que « PLUTARD » est incorrect.</w:t>
      </w:r>
    </w:p>
    <w:p>
      <w:pPr>
        <w:pStyle w:val="GlossaryGSE"/>
        <w:rPr/>
      </w:pPr>
      <w:r>
        <w:rPr>
          <w:b/>
          <w:color w:val="0B3D91"/>
        </w:rPr>
        <w:t xml:space="preserve">Politique : </w:t>
      </w:r>
      <w:r>
        <w:rPr/>
        <w:t>Ensemble formalisé de principes, de règles et de procédures appliqués dans un domaine.</w:t>
      </w:r>
    </w:p>
    <w:p>
      <w:pPr>
        <w:pStyle w:val="GlossaryGSE"/>
        <w:rPr/>
      </w:pPr>
      <w:r>
        <w:rPr>
          <w:b/>
          <w:color w:val="0B3D91"/>
        </w:rPr>
        <w:t xml:space="preserve">Potentiel : </w:t>
      </w:r>
      <w:r>
        <w:rPr/>
        <w:t>Ensemble des capacités susceptibles d’être développées chez une personne.</w:t>
      </w:r>
    </w:p>
    <w:p>
      <w:pPr>
        <w:pStyle w:val="GlossaryGSE"/>
        <w:rPr/>
      </w:pPr>
      <w:r>
        <w:rPr>
          <w:b/>
          <w:color w:val="0B3D91"/>
        </w:rPr>
        <w:t xml:space="preserve">Powered by : </w:t>
      </w:r>
      <w:r>
        <w:rPr/>
        <w:t>Expression anglaise signifiant approximativement « réalisé, propulsé ou fourni par » selon le contexte technique.</w:t>
      </w:r>
    </w:p>
    <w:p>
      <w:pPr>
        <w:pStyle w:val="GlossaryGSE"/>
        <w:rPr/>
      </w:pPr>
      <w:r>
        <w:rPr>
          <w:b/>
          <w:color w:val="0B3D91"/>
        </w:rPr>
        <w:t xml:space="preserve">Primaire : </w:t>
      </w:r>
      <w:r>
        <w:rPr/>
        <w:t>Niveau scolaire où se développent les connaissances fondamentales et les bases de la réussite.</w:t>
      </w:r>
    </w:p>
    <w:p>
      <w:pPr>
        <w:pStyle w:val="GlossaryGSE"/>
        <w:rPr/>
      </w:pPr>
      <w:r>
        <w:rPr>
          <w:b/>
          <w:color w:val="0B3D91"/>
        </w:rPr>
        <w:t xml:space="preserve">Procédure d’inscription : </w:t>
      </w:r>
      <w:r>
        <w:rPr/>
        <w:t>Suite ordonnée des étapes à accomplir pour inscrire un élève.</w:t>
      </w:r>
    </w:p>
    <w:p>
      <w:pPr>
        <w:pStyle w:val="GlossaryGSE"/>
        <w:rPr/>
      </w:pPr>
      <w:r>
        <w:rPr>
          <w:b/>
          <w:color w:val="0B3D91"/>
        </w:rPr>
        <w:t xml:space="preserve">Programme scolaire : </w:t>
      </w:r>
      <w:r>
        <w:rPr/>
        <w:t>Ensemble structuré des enseignements, objectifs et activités prévus pour un niveau ou une section.</w:t>
      </w:r>
    </w:p>
    <w:p>
      <w:pPr>
        <w:pStyle w:val="GlossaryGSE"/>
        <w:rPr/>
      </w:pPr>
      <w:r>
        <w:rPr>
          <w:b/>
          <w:color w:val="0B3D91"/>
        </w:rPr>
        <w:t xml:space="preserve">Programme spirituel : </w:t>
      </w:r>
      <w:r>
        <w:rPr/>
        <w:t>Ensemble d’activités et d’enseignements liés à la formation spirituelle et aux valeurs religieuses de l’école.</w:t>
      </w:r>
    </w:p>
    <w:p>
      <w:pPr>
        <w:pStyle w:val="GlossaryGSE"/>
        <w:rPr/>
      </w:pPr>
      <w:r>
        <w:rPr>
          <w:b/>
          <w:color w:val="0B3D91"/>
        </w:rPr>
        <w:t xml:space="preserve">Protection de l’enfant : </w:t>
      </w:r>
      <w:r>
        <w:rPr/>
        <w:t>Mesures visant à prévenir les violences, abus, négligences, discriminations et autres atteintes aux droits de l’enfant.</w:t>
      </w:r>
    </w:p>
    <w:p>
      <w:pPr>
        <w:pStyle w:val="GlossaryGSE"/>
        <w:rPr/>
      </w:pPr>
      <w:r>
        <w:rPr>
          <w:b/>
          <w:color w:val="0B3D91"/>
        </w:rPr>
        <w:t xml:space="preserve">Prévention des risques : </w:t>
      </w:r>
      <w:r>
        <w:rPr/>
        <w:t>Actions mises en place pour réduire la probabilité et les conséquences d’un danger.</w:t>
      </w:r>
    </w:p>
    <w:p>
      <w:pPr>
        <w:pStyle w:val="GlossaryGSE"/>
        <w:rPr/>
      </w:pPr>
      <w:r>
        <w:rPr>
          <w:b/>
          <w:color w:val="0B3D91"/>
        </w:rPr>
        <w:t xml:space="preserve">Pédagogie active : </w:t>
      </w:r>
      <w:r>
        <w:rPr/>
        <w:t>Approche dans laquelle l’élève participe, expérimente, cherche, échange et construit activement ses apprentissages.</w:t>
      </w:r>
    </w:p>
    <w:p>
      <w:pPr>
        <w:pStyle w:val="GlossaryGSE"/>
        <w:rPr/>
      </w:pPr>
      <w:r>
        <w:rPr>
          <w:b/>
          <w:color w:val="0B3D91"/>
        </w:rPr>
        <w:t xml:space="preserve">Respect : </w:t>
      </w:r>
      <w:r>
        <w:rPr/>
        <w:t>Reconnaissance de la dignité, des droits, des règles et des différences d’autrui.</w:t>
      </w:r>
    </w:p>
    <w:p>
      <w:pPr>
        <w:pStyle w:val="GlossaryGSE"/>
        <w:rPr/>
      </w:pPr>
      <w:r>
        <w:rPr>
          <w:b/>
          <w:color w:val="0B3D91"/>
        </w:rPr>
        <w:t xml:space="preserve">Responsabilité : </w:t>
      </w:r>
      <w:r>
        <w:rPr/>
        <w:t>Capacité à assumer ses devoirs, ses décisions et les conséquences de ses actes.</w:t>
      </w:r>
    </w:p>
    <w:p>
      <w:pPr>
        <w:pStyle w:val="GlossaryGSE"/>
        <w:rPr/>
      </w:pPr>
      <w:r>
        <w:rPr>
          <w:b/>
          <w:color w:val="0B3D91"/>
        </w:rPr>
        <w:t xml:space="preserve">Rigueur académique : </w:t>
      </w:r>
      <w:r>
        <w:rPr/>
        <w:t>Exigence de précision, de méthode, de régularité et de qualité dans le travail scolaire.</w:t>
      </w:r>
    </w:p>
    <w:p>
      <w:pPr>
        <w:pStyle w:val="GlossaryGSE"/>
        <w:rPr/>
      </w:pPr>
      <w:r>
        <w:rPr>
          <w:b/>
          <w:color w:val="0B3D91"/>
        </w:rPr>
        <w:t xml:space="preserve">Rythme d’apprentissage : </w:t>
      </w:r>
      <w:r>
        <w:rPr/>
        <w:t>Vitesse et manière propres à une personne pour comprendre, pratiquer et consolider un apprentissage.</w:t>
      </w:r>
    </w:p>
    <w:p>
      <w:pPr>
        <w:pStyle w:val="GlossaryGSE"/>
        <w:rPr/>
      </w:pPr>
      <w:r>
        <w:rPr>
          <w:b/>
          <w:color w:val="0B3D91"/>
        </w:rPr>
        <w:t xml:space="preserve">Référencement : </w:t>
      </w:r>
      <w:r>
        <w:rPr/>
        <w:t>Techniques permettant aux contenus d’un site d’être compris et mieux retrouvés par les moteurs de recherche.</w:t>
      </w:r>
    </w:p>
    <w:p>
      <w:pPr>
        <w:pStyle w:val="GlossaryGSE"/>
        <w:rPr/>
      </w:pPr>
      <w:r>
        <w:rPr>
          <w:b/>
          <w:color w:val="0B3D91"/>
        </w:rPr>
        <w:t xml:space="preserve">Se connecter : </w:t>
      </w:r>
      <w:r>
        <w:rPr/>
        <w:t>Action d’entrer dans un espace numérique au moyen d’identifiants ou d’un autre mécanisme d’authentification.</w:t>
      </w:r>
    </w:p>
    <w:p>
      <w:pPr>
        <w:pStyle w:val="GlossaryGSE"/>
        <w:rPr/>
      </w:pPr>
      <w:r>
        <w:rPr>
          <w:b/>
          <w:color w:val="0B3D91"/>
        </w:rPr>
        <w:t xml:space="preserve">Secondaire : </w:t>
      </w:r>
      <w:r>
        <w:rPr/>
        <w:t>Niveau scolaire qui suit le primaire et prépare notamment aux études supérieures, à la vie active et aux défis futurs.</w:t>
      </w:r>
    </w:p>
    <w:p>
      <w:pPr>
        <w:pStyle w:val="GlossaryGSE"/>
        <w:rPr/>
      </w:pPr>
      <w:r>
        <w:rPr>
          <w:b/>
          <w:color w:val="0B3D91"/>
        </w:rPr>
        <w:t xml:space="preserve">Socialisation : </w:t>
      </w:r>
      <w:r>
        <w:rPr/>
        <w:t>Apprentissage de la vie avec les autres, des règles communes, de la communication et de la coopération.</w:t>
      </w:r>
    </w:p>
    <w:p>
      <w:pPr>
        <w:pStyle w:val="GlossaryGSE"/>
        <w:rPr/>
      </w:pPr>
      <w:r>
        <w:rPr>
          <w:b/>
          <w:color w:val="0B3D91"/>
        </w:rPr>
        <w:t xml:space="preserve">Sortie éducative : </w:t>
      </w:r>
      <w:r>
        <w:rPr/>
        <w:t>Déplacement organisé hors de l’école avec un objectif d’apprentissage ou de découverte.</w:t>
      </w:r>
    </w:p>
    <w:p>
      <w:pPr>
        <w:pStyle w:val="GlossaryGSE"/>
        <w:rPr/>
      </w:pPr>
      <w:r>
        <w:rPr>
          <w:b/>
          <w:color w:val="0B3D91"/>
        </w:rPr>
        <w:t xml:space="preserve">Sous-menu : </w:t>
      </w:r>
      <w:r>
        <w:rPr/>
        <w:t>Liste d’options rattachées à une rubrique principale du menu.</w:t>
      </w:r>
    </w:p>
    <w:p>
      <w:pPr>
        <w:pStyle w:val="GlossaryGSE"/>
        <w:rPr/>
      </w:pPr>
      <w:r>
        <w:rPr>
          <w:b/>
          <w:color w:val="0B3D91"/>
        </w:rPr>
        <w:t xml:space="preserve">Suivi attentif : </w:t>
      </w:r>
      <w:r>
        <w:rPr/>
        <w:t>Observation et accompagnement réguliers de l’évolution, des besoins et des difficultés de l’élève.</w:t>
      </w:r>
    </w:p>
    <w:p>
      <w:pPr>
        <w:pStyle w:val="GlossaryGSE"/>
        <w:rPr/>
      </w:pPr>
      <w:r>
        <w:rPr>
          <w:b/>
          <w:color w:val="0B3D91"/>
        </w:rPr>
        <w:t xml:space="preserve">Suivi médical : </w:t>
      </w:r>
      <w:r>
        <w:rPr/>
        <w:t>Surveillance et prise en compte des besoins de santé de l’élève dans les limites du dispositif scolaire.</w:t>
      </w:r>
    </w:p>
    <w:p>
      <w:pPr>
        <w:pStyle w:val="GlossaryGSE"/>
        <w:rPr/>
      </w:pPr>
      <w:r>
        <w:rPr>
          <w:b/>
          <w:color w:val="0B3D91"/>
        </w:rPr>
        <w:t xml:space="preserve">Supportive environment : </w:t>
      </w:r>
      <w:r>
        <w:rPr/>
        <w:t>Expression anglaise signifiant « environnement favorable, soutenant ou bienveillant ».</w:t>
      </w:r>
    </w:p>
    <w:p>
      <w:pPr>
        <w:pStyle w:val="GlossaryGSE"/>
        <w:rPr/>
      </w:pPr>
      <w:r>
        <w:rPr>
          <w:b/>
          <w:color w:val="0B3D91"/>
        </w:rPr>
        <w:t xml:space="preserve">Sécurité physique : </w:t>
      </w:r>
      <w:r>
        <w:rPr/>
        <w:t>Protection des personnes contre les accidents, intrusions, violences et dangers matériels.</w:t>
      </w:r>
    </w:p>
    <w:p>
      <w:pPr>
        <w:pStyle w:val="GlossaryGSE"/>
        <w:rPr/>
      </w:pPr>
      <w:r>
        <w:rPr>
          <w:b/>
          <w:color w:val="0B3D91"/>
        </w:rPr>
        <w:t xml:space="preserve">Technologie éducative : </w:t>
      </w:r>
      <w:r>
        <w:rPr/>
        <w:t>Outil ou système technologique utilisé pour soutenir l’enseignement, l’apprentissage ou le suivi pédagogique.</w:t>
      </w:r>
    </w:p>
    <w:p>
      <w:pPr>
        <w:pStyle w:val="GlossaryGSE"/>
        <w:rPr/>
      </w:pPr>
      <w:r>
        <w:rPr>
          <w:b/>
          <w:color w:val="0B3D91"/>
        </w:rPr>
        <w:t xml:space="preserve">Témoignage : </w:t>
      </w:r>
      <w:r>
        <w:rPr/>
        <w:t>Déclaration d’une personne relatant son expérience ou son appréciation de l’établissement.</w:t>
      </w:r>
    </w:p>
    <w:p>
      <w:pPr>
        <w:pStyle w:val="GlossaryGSE"/>
        <w:rPr/>
      </w:pPr>
      <w:r>
        <w:rPr>
          <w:b/>
          <w:color w:val="0B3D91"/>
        </w:rPr>
        <w:t xml:space="preserve">Valeur humaine : </w:t>
      </w:r>
      <w:r>
        <w:rPr/>
        <w:t>Principe guidant les comportements et les relations, par exemple le respect, l’intégrité ou la responsabilité.</w:t>
      </w:r>
    </w:p>
    <w:p>
      <w:pPr>
        <w:pStyle w:val="GlossaryGSE"/>
        <w:rPr/>
      </w:pPr>
      <w:r>
        <w:rPr>
          <w:b/>
          <w:color w:val="0B3D91"/>
        </w:rPr>
        <w:t xml:space="preserve">Valeurs chrétiennes : </w:t>
      </w:r>
      <w:r>
        <w:rPr/>
        <w:t>Principes moraux et spirituels présentés comme fondés sur la foi chrétienne.</w:t>
      </w:r>
    </w:p>
    <w:p>
      <w:pPr>
        <w:pStyle w:val="GlossaryGSE"/>
        <w:rPr/>
      </w:pPr>
      <w:r>
        <w:rPr>
          <w:b/>
          <w:color w:val="0B3D91"/>
        </w:rPr>
        <w:t xml:space="preserve">Vision : </w:t>
      </w:r>
      <w:r>
        <w:rPr/>
        <w:t>Image de l’avenir souhaité par l’institution et direction générale qu’elle veut suivre.</w:t>
      </w:r>
    </w:p>
    <w:p>
      <w:pPr>
        <w:pStyle w:val="GlossaryGSE"/>
        <w:rPr/>
      </w:pPr>
      <w:r>
        <w:rPr>
          <w:b/>
          <w:color w:val="0B3D91"/>
        </w:rPr>
        <w:t xml:space="preserve">Éducation bilingue : </w:t>
      </w:r>
      <w:r>
        <w:rPr/>
        <w:t>Enseignement organisé pour développer progressivement la maîtrise de deux langues.</w:t>
      </w:r>
    </w:p>
    <w:p>
      <w:pPr>
        <w:pStyle w:val="GlossaryGSE"/>
        <w:rPr/>
      </w:pPr>
      <w:r>
        <w:rPr>
          <w:b/>
          <w:color w:val="0B3D91"/>
        </w:rPr>
        <w:t xml:space="preserve">Éducation chrétienne : </w:t>
      </w:r>
      <w:r>
        <w:rPr/>
        <w:t>Formation qui s’appuie sur la foi chrétienne et sur des valeurs présentées comme conformes à cette foi.</w:t>
      </w:r>
    </w:p>
    <w:p>
      <w:pPr>
        <w:pStyle w:val="GlossaryGSE"/>
        <w:rPr/>
      </w:pPr>
      <w:r>
        <w:rPr>
          <w:b/>
          <w:color w:val="0B3D91"/>
        </w:rPr>
        <w:t xml:space="preserve">Élan / éveil : </w:t>
      </w:r>
      <w:r>
        <w:rPr/>
        <w:t>Mise en activité progressive des capacités sensorielles, intellectuelles, sociales ou artistiques de l’enfant.</w:t>
      </w:r>
    </w:p>
    <w:p>
      <w:pPr>
        <w:pStyle w:val="GlossaryGSE"/>
        <w:rPr/>
      </w:pPr>
      <w:r>
        <w:rPr>
          <w:b/>
          <w:color w:val="0B3D91"/>
        </w:rPr>
        <w:t xml:space="preserve">Épanouissement personnel : </w:t>
      </w:r>
      <w:r>
        <w:rPr/>
        <w:t>Développement harmonieux des capacités, de la confiance, des relations et du bien-être d’une personne.</w:t>
      </w:r>
    </w:p>
    <w:p>
      <w:pPr>
        <w:pStyle w:val="GlossaryGSE"/>
        <w:rPr/>
      </w:pPr>
      <w:r>
        <w:rPr>
          <w:b/>
          <w:color w:val="0B3D91"/>
        </w:rPr>
        <w:t xml:space="preserve">Études supérieures : </w:t>
      </w:r>
      <w:r>
        <w:rPr/>
        <w:t>Études poursuivies après la fin de l’enseignement secondaire.</w:t>
      </w:r>
    </w:p>
    <w:p>
      <w:pPr>
        <w:pStyle w:val="Heading2"/>
        <w:rPr/>
      </w:pPr>
      <w:r>
        <w:rPr/>
        <w:t>C. Compréhension du texte anglais du pied de page</w:t>
      </w:r>
    </w:p>
    <w:p>
      <w:pPr>
        <w:pStyle w:val="Normal"/>
        <w:shd w:fill="EAF2FB"/>
        <w:rPr/>
      </w:pPr>
      <w:r>
        <w:rPr>
          <w:b/>
          <w:color w:val="0B3D91"/>
        </w:rPr>
        <w:t xml:space="preserve">Texte relevé : </w:t>
      </w:r>
      <w:r>
        <w:rPr/>
        <w:t>“Dedicated to providing quality education and fostering holistic growth. We strive to create a supportive environment where every student learns and grows.”</w:t>
      </w:r>
    </w:p>
    <w:p>
      <w:pPr>
        <w:pStyle w:val="Normal"/>
        <w:rPr/>
      </w:pPr>
      <w:r>
        <w:rPr>
          <w:b/>
          <w:color w:val="2F6B3F"/>
        </w:rPr>
        <w:t xml:space="preserve">Traduction explicative : </w:t>
      </w:r>
      <w:r>
        <w:rPr/>
        <w:t>« Dévoués à offrir une éducation de qualité et à favoriser le développement global. Nous nous efforçons de créer un environnement favorable dans lequel chaque élève apprend et grandit. »</w:t>
      </w:r>
    </w:p>
    <w:p>
      <w:pPr>
        <w:pStyle w:val="Normal"/>
        <w:pBdr>
          <w:left w:val="single" w:sz="10" w:space="6" w:color="D4AF37"/>
        </w:pBdr>
        <w:shd w:fill="FFF7DF"/>
        <w:rPr/>
      </w:pPr>
      <w:r>
        <w:rPr/>
        <w:t>Cette traduction facilite la compréhension ; elle n’efface pas le constat éditorial selon lequel la page française devrait afficher un pied de page harmonisé en français.</w:t>
      </w:r>
    </w:p>
    <w:p>
      <w:pPr>
        <w:pStyle w:val="Normal"/>
        <w:rPr/>
      </w:pPr>
      <w:r>
        <w:rPr/>
      </w:r>
      <w:r>
        <w:br w:type="page"/>
      </w:r>
    </w:p>
    <w:p>
      <w:pPr>
        <w:pStyle w:val="Normal"/>
        <w:spacing w:before="0" w:after="80"/>
        <w:jc w:val="center"/>
        <w:rPr/>
      </w:pPr>
      <w:r>
        <w:rPr>
          <w:b/>
          <w:color w:val="0B3D91"/>
          <w:sz w:val="46"/>
        </w:rPr>
        <w:t>PARTIE VI</w:t>
      </w:r>
    </w:p>
    <w:p>
      <w:pPr>
        <w:pStyle w:val="Normal"/>
        <w:jc w:val="center"/>
        <w:rPr/>
      </w:pPr>
      <w:r>
        <w:rPr>
          <w:i/>
          <w:color w:val="253247"/>
          <w:sz w:val="24"/>
        </w:rPr>
        <w:t>Recommandations d’exploitation de la banque</w:t>
      </w:r>
    </w:p>
    <w:tbl>
      <w:tblPr>
        <w:tblW w:w="10311"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3437"/>
        <w:gridCol w:w="3437"/>
        <w:gridCol w:w="3437"/>
      </w:tblGrid>
      <w:tr>
        <w:trPr/>
        <w:tc>
          <w:tcPr>
            <w:tcW w:w="3437" w:type="dxa"/>
            <w:tcBorders/>
            <w:shd w:fill="0B3D91"/>
          </w:tcPr>
          <w:p>
            <w:pPr>
              <w:pStyle w:val="Normal"/>
              <w:widowControl/>
              <w:bidi w:val="0"/>
              <w:spacing w:lineRule="auto" w:line="252" w:before="0" w:after="80"/>
              <w:jc w:val="start"/>
              <w:rPr/>
            </w:pPr>
            <w:r>
              <w:rPr/>
            </w:r>
          </w:p>
        </w:tc>
        <w:tc>
          <w:tcPr>
            <w:tcW w:w="3437" w:type="dxa"/>
            <w:tcBorders/>
            <w:shd w:fill="D4AF37"/>
          </w:tcPr>
          <w:p>
            <w:pPr>
              <w:pStyle w:val="Normal"/>
              <w:widowControl/>
              <w:bidi w:val="0"/>
              <w:spacing w:lineRule="auto" w:line="252" w:before="0" w:after="80"/>
              <w:jc w:val="start"/>
              <w:rPr/>
            </w:pPr>
            <w:r>
              <w:rPr/>
            </w:r>
          </w:p>
        </w:tc>
        <w:tc>
          <w:tcPr>
            <w:tcW w:w="3437" w:type="dxa"/>
            <w:tcBorders/>
            <w:shd w:fill="0B3D91"/>
          </w:tcPr>
          <w:p>
            <w:pPr>
              <w:pStyle w:val="Normal"/>
              <w:widowControl/>
              <w:bidi w:val="0"/>
              <w:spacing w:lineRule="auto" w:line="252" w:before="0" w:after="80"/>
              <w:jc w:val="start"/>
              <w:rPr/>
            </w:pPr>
            <w:r>
              <w:rPr/>
            </w:r>
          </w:p>
        </w:tc>
      </w:tr>
    </w:tbl>
    <w:p>
      <w:pPr>
        <w:pStyle w:val="Heading2"/>
        <w:rPr/>
      </w:pPr>
      <w:r>
        <w:rPr/>
        <w:t>1. Pour ÉMINA et la FAQ</w:t>
      </w:r>
    </w:p>
    <w:p>
      <w:pPr>
        <w:pStyle w:val="ListBullet"/>
        <w:numPr>
          <w:ilvl w:val="0"/>
          <w:numId w:val="1"/>
        </w:numPr>
        <w:rPr/>
      </w:pPr>
      <w:r>
        <w:rPr/>
        <w:t>Associer chaque question à la réponse de référence de sa fiche, sans compléter automatiquement par des informations non présentes sur la page.</w:t>
      </w:r>
    </w:p>
    <w:p>
      <w:pPr>
        <w:pStyle w:val="ListBullet"/>
        <w:numPr>
          <w:ilvl w:val="0"/>
          <w:numId w:val="1"/>
        </w:numPr>
        <w:rPr/>
      </w:pPr>
      <w:r>
        <w:rPr/>
        <w:t>Utiliser les chemins de navigation pour guider le visiteur vers la rubrique correcte.</w:t>
      </w:r>
    </w:p>
    <w:p>
      <w:pPr>
        <w:pStyle w:val="ListBullet"/>
        <w:numPr>
          <w:ilvl w:val="0"/>
          <w:numId w:val="1"/>
        </w:numPr>
        <w:rPr/>
      </w:pPr>
      <w:r>
        <w:rPr/>
        <w:t>Lorsque la question exige un détail absent de la page d’accueil, signaler que la page d’accueil ne le précise pas et orienter vers la page spécialisée ou vers le contact officiel.</w:t>
      </w:r>
    </w:p>
    <w:p>
      <w:pPr>
        <w:pStyle w:val="ListBullet"/>
        <w:numPr>
          <w:ilvl w:val="0"/>
          <w:numId w:val="1"/>
        </w:numPr>
        <w:rPr/>
      </w:pPr>
      <w:r>
        <w:rPr/>
        <w:t>Conserver une distinction claire entre le texte publié et les analyses « raison, importance et liens ».</w:t>
      </w:r>
    </w:p>
    <w:p>
      <w:pPr>
        <w:pStyle w:val="Heading2"/>
        <w:rPr/>
      </w:pPr>
      <w:r>
        <w:rPr/>
        <w:t>2. Pour la formation du personnel</w:t>
      </w:r>
    </w:p>
    <w:p>
      <w:pPr>
        <w:pStyle w:val="ListBullet"/>
        <w:numPr>
          <w:ilvl w:val="0"/>
          <w:numId w:val="1"/>
        </w:numPr>
        <w:rPr/>
      </w:pPr>
      <w:r>
        <w:rPr/>
        <w:t>Former les agents à reconnaître les six arguments de choix et les six raisons de confiance.</w:t>
      </w:r>
    </w:p>
    <w:p>
      <w:pPr>
        <w:pStyle w:val="ListBullet"/>
        <w:numPr>
          <w:ilvl w:val="0"/>
          <w:numId w:val="1"/>
        </w:numPr>
        <w:rPr/>
      </w:pPr>
      <w:r>
        <w:rPr/>
        <w:t>Faire mémoriser la structure Admissions et les principaux chemins de navigation.</w:t>
      </w:r>
    </w:p>
    <w:p>
      <w:pPr>
        <w:pStyle w:val="ListBullet"/>
        <w:numPr>
          <w:ilvl w:val="0"/>
          <w:numId w:val="1"/>
        </w:numPr>
        <w:rPr/>
      </w:pPr>
      <w:r>
        <w:rPr/>
        <w:t>Utiliser les questions transversales pour les simulations d’accueil des parents et des partenaires.</w:t>
      </w:r>
    </w:p>
    <w:p>
      <w:pPr>
        <w:pStyle w:val="ListBullet"/>
        <w:numPr>
          <w:ilvl w:val="0"/>
          <w:numId w:val="1"/>
        </w:numPr>
        <w:rPr/>
      </w:pPr>
      <w:r>
        <w:rPr/>
        <w:t>Vérifier régulièrement que les réponses correspondent toujours au contenu réellement publié après chaque mise à jour du site.</w:t>
      </w:r>
    </w:p>
    <w:p>
      <w:pPr>
        <w:pStyle w:val="Heading2"/>
        <w:rPr/>
      </w:pPr>
      <w:r>
        <w:rPr/>
        <w:t>3. Corrections éditoriales prioritaires rappelées par le relevé</w:t>
      </w:r>
    </w:p>
    <w:p>
      <w:pPr>
        <w:pStyle w:val="ListBullet"/>
        <w:numPr>
          <w:ilvl w:val="0"/>
          <w:numId w:val="1"/>
        </w:numPr>
        <w:rPr/>
      </w:pPr>
      <w:r>
        <w:rPr/>
        <w:t>Corriger « SECONDAIRE (PLUTARD) » en « SECONDAIRE (PLUS TARD) » ou « SECONDAIRE — PROCHAINEMENT ».</w:t>
      </w:r>
    </w:p>
    <w:p>
      <w:pPr>
        <w:pStyle w:val="ListBullet"/>
        <w:numPr>
          <w:ilvl w:val="0"/>
          <w:numId w:val="1"/>
        </w:numPr>
        <w:rPr/>
      </w:pPr>
      <w:r>
        <w:rPr/>
        <w:t>Remplacer les coordonnées de démonstration du pied de page par les coordonnées officielles validées.</w:t>
      </w:r>
    </w:p>
    <w:p>
      <w:pPr>
        <w:pStyle w:val="ListBullet"/>
        <w:numPr>
          <w:ilvl w:val="0"/>
          <w:numId w:val="1"/>
        </w:numPr>
        <w:rPr/>
      </w:pPr>
      <w:r>
        <w:rPr/>
        <w:t>Harmoniser en français les intitulés et le texte du pied de page de la version française.</w:t>
      </w:r>
    </w:p>
    <w:p>
      <w:pPr>
        <w:pStyle w:val="ListBullet"/>
        <w:numPr>
          <w:ilvl w:val="0"/>
          <w:numId w:val="1"/>
        </w:numPr>
        <w:rPr/>
      </w:pPr>
      <w:r>
        <w:rPr/>
        <w:t>Vérifier la cohérence de la signature « EXCELLENCE • VALEURS • AVENIR » avec la devise et les valeurs institutionnelles retenues.</w:t>
      </w:r>
    </w:p>
    <w:p>
      <w:pPr>
        <w:pStyle w:val="ListBullet"/>
        <w:numPr>
          <w:ilvl w:val="0"/>
          <w:numId w:val="1"/>
        </w:numPr>
        <w:rPr/>
      </w:pPr>
      <w:r>
        <w:rPr/>
        <w:t>Différencier plus nettement « Pourquoi choisir » et « Pourquoi les parents nous font confiance » afin de limiter la redondance.</w:t>
      </w:r>
    </w:p>
    <w:p>
      <w:pPr>
        <w:pStyle w:val="ListBullet"/>
        <w:numPr>
          <w:ilvl w:val="0"/>
          <w:numId w:val="1"/>
        </w:numPr>
        <w:rPr/>
      </w:pPr>
      <w:r>
        <w:rPr/>
        <w:t>Reproduire en texte HTML les contenus actuellement inscrits dans les images pour l’accessibilité, le référencement et la traduction.</w:t>
      </w:r>
    </w:p>
    <w:p>
      <w:pPr>
        <w:pStyle w:val="Heading1"/>
        <w:rPr/>
      </w:pPr>
      <w:r>
        <w:rPr/>
        <w:t>Conclusion</w:t>
      </w:r>
    </w:p>
    <w:p>
      <w:pPr>
        <w:pStyle w:val="Normal"/>
        <w:pBdr>
          <w:left w:val="single" w:sz="12" w:space="6" w:color="0B3D91"/>
        </w:pBdr>
        <w:shd w:fill="EAF2FB"/>
        <w:rPr/>
      </w:pPr>
      <w:r>
        <w:rPr/>
        <w:t>La banque comprend 444 questions-réponses fondées sur 38 fiches de titres ou sections et complétées par 104 définitions. Elle peut servir de base à une FAQ institutionnelle, à la formation du personnel, à l’enrichissement de la base locale de connaissances d’ÉMINA et à la préparation de réponses cohérentes aux visiteurs, parents, agents et partenaires.</w:t>
      </w:r>
    </w:p>
    <w:p>
      <w:pPr>
        <w:pStyle w:val="Normal"/>
        <w:jc w:val="center"/>
        <w:rPr>
          <w:b/>
          <w:color w:val="0B3D91"/>
          <w:sz w:val="24"/>
        </w:rPr>
      </w:pPr>
      <w:r>
        <w:rPr>
          <w:b/>
          <w:color w:val="0B3D91"/>
          <w:sz w:val="24"/>
        </w:rPr>
        <w:t>FIN DE LA BANQUE DE QUESTIONS — PAGE D’ACCUEIL</w:t>
      </w:r>
      <w:r>
        <w:br w:type="page"/>
      </w:r>
    </w:p>
    <w:p>
      <w:pPr>
        <w:pStyle w:val="Normal"/>
        <w:jc w:val="center"/>
        <w:rPr>
          <w:b/>
          <w:color w:val="0B3D91"/>
          <w:sz w:val="24"/>
        </w:rPr>
      </w:pPr>
      <w:r>
        <w:rPr>
          <w:b/>
          <w:color w:val="0B3D91"/>
          <w:sz w:val="24"/>
        </w:rPr>
      </w:r>
    </w:p>
    <w:p>
      <w:pPr>
        <w:pStyle w:val="Normal"/>
        <w:spacing w:before="800" w:after="120"/>
        <w:jc w:val="center"/>
        <w:rPr/>
      </w:pPr>
      <w:r>
        <w:rPr>
          <w:rFonts w:ascii="Arial" w:hAnsi="Arial"/>
          <w:b/>
          <w:color w:val="082A63"/>
          <w:sz w:val="50"/>
        </w:rPr>
        <w:t>GROUPE SCOLAIRE</w:t>
        <w:br/>
        <w:t>LES ÉMINENTS</w:t>
      </w:r>
    </w:p>
    <w:p>
      <w:pPr>
        <w:pStyle w:val="Normal"/>
        <w:spacing w:before="360" w:after="120"/>
        <w:jc w:val="center"/>
        <w:rPr/>
      </w:pPr>
      <w:r>
        <w:rPr>
          <w:b/>
          <w:color w:val="0B3D91"/>
          <w:sz w:val="38"/>
        </w:rPr>
        <w:t>RELEVÉ COMPLET DES POINTS DÉVELOPPÉS</w:t>
        <w:br/>
        <w:t>SUR LA PAGE D’ACCUEIL DU SITE</w:t>
      </w:r>
    </w:p>
    <w:p>
      <w:pPr>
        <w:pStyle w:val="Normal"/>
        <w:spacing w:before="200" w:after="120"/>
        <w:jc w:val="center"/>
        <w:rPr/>
      </w:pPr>
      <w:r>
        <w:rPr>
          <w:i/>
          <w:color w:val="5B6573"/>
          <w:sz w:val="22"/>
        </w:rPr>
        <w:t>Inventaire des contenus, rubriques, messages, appels à l’action, menus et éléments de pied de page</w:t>
      </w:r>
    </w:p>
    <w:tbl>
      <w:tblPr>
        <w:tblW w:w="7540" w:type="dxa"/>
        <w:jc w:val="center"/>
        <w:tblInd w:w="0" w:type="dxa"/>
        <w:tblLayout w:type="fixed"/>
        <w:tblCellMar>
          <w:top w:w="20" w:type="dxa"/>
          <w:start w:w="20" w:type="dxa"/>
          <w:bottom w:w="20" w:type="dxa"/>
          <w:end w:w="20" w:type="dxa"/>
        </w:tblCellMar>
        <w:tblLook w:val="04a0" w:noHBand="0" w:noVBand="1" w:firstColumn="1" w:lastRow="0" w:lastColumn="0" w:firstRow="1"/>
      </w:tblPr>
      <w:tblGrid>
        <w:gridCol w:w="3117"/>
        <w:gridCol w:w="1305"/>
        <w:gridCol w:w="3118"/>
      </w:tblGrid>
      <w:tr>
        <w:trPr/>
        <w:tc>
          <w:tcPr>
            <w:tcW w:w="3117" w:type="dxa"/>
            <w:tcBorders/>
            <w:shd w:fill="0B3D91"/>
          </w:tcPr>
          <w:p>
            <w:pPr>
              <w:pStyle w:val="Normal"/>
              <w:spacing w:before="0" w:after="80"/>
              <w:rPr/>
            </w:pPr>
            <w:r>
              <w:rPr/>
            </w:r>
          </w:p>
        </w:tc>
        <w:tc>
          <w:tcPr>
            <w:tcW w:w="1305" w:type="dxa"/>
            <w:tcBorders/>
            <w:shd w:fill="D4A017"/>
          </w:tcPr>
          <w:p>
            <w:pPr>
              <w:pStyle w:val="Normal"/>
              <w:spacing w:before="0" w:after="80"/>
              <w:rPr/>
            </w:pPr>
            <w:r>
              <w:rPr/>
            </w:r>
          </w:p>
        </w:tc>
        <w:tc>
          <w:tcPr>
            <w:tcW w:w="3118" w:type="dxa"/>
            <w:tcBorders/>
            <w:shd w:fill="0B3D91"/>
          </w:tcPr>
          <w:p>
            <w:pPr>
              <w:pStyle w:val="Normal"/>
              <w:spacing w:before="0" w:after="80"/>
              <w:rPr/>
            </w:pPr>
            <w:r>
              <w:rPr/>
            </w:r>
          </w:p>
        </w:tc>
      </w:tr>
    </w:tbl>
    <w:p>
      <w:pPr>
        <w:pStyle w:val="Normal"/>
        <w:rPr/>
      </w:pPr>
      <w:r>
        <w:rPr/>
      </w:r>
    </w:p>
    <w:p>
      <w:pPr>
        <w:pStyle w:val="Normal"/>
        <w:jc w:val="center"/>
        <w:rPr/>
      </w:pPr>
      <w:r>
        <w:rPr/>
        <w:drawing>
          <wp:inline distT="0" distB="0" distL="0" distR="0">
            <wp:extent cx="5687695" cy="3199765"/>
            <wp:effectExtent l="0" t="0" r="0" b="0"/>
            <wp:docPr id="8" name="Image2" descr="Visuel institutionnel de la page d’accueil : Pourquoi choisir le Groupe Scolaire Les Éminent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Visuel institutionnel de la page d’accueil : Pourquoi choisir le Groupe Scolaire Les Éminents" title=""/>
                    <pic:cNvPicPr>
                      <a:picLocks noChangeAspect="1" noChangeArrowheads="1"/>
                    </pic:cNvPicPr>
                  </pic:nvPicPr>
                  <pic:blipFill>
                    <a:blip r:embed="rId9"/>
                    <a:stretch>
                      <a:fillRect/>
                    </a:stretch>
                  </pic:blipFill>
                  <pic:spPr bwMode="auto">
                    <a:xfrm>
                      <a:off x="0" y="0"/>
                      <a:ext cx="5687695" cy="3199765"/>
                    </a:xfrm>
                    <a:prstGeom prst="rect">
                      <a:avLst/>
                    </a:prstGeom>
                    <a:noFill/>
                  </pic:spPr>
                </pic:pic>
              </a:graphicData>
            </a:graphic>
          </wp:inline>
        </w:drawing>
      </w:r>
    </w:p>
    <w:p>
      <w:pPr>
        <w:pStyle w:val="Normal"/>
        <w:spacing w:before="200" w:after="120"/>
        <w:jc w:val="center"/>
        <w:rPr/>
      </w:pPr>
      <w:r>
        <w:rPr>
          <w:b/>
          <w:color w:val="082A63"/>
          <w:sz w:val="21"/>
        </w:rPr>
        <w:t>Relevé effectué le 1er juillet 2026</w:t>
      </w:r>
    </w:p>
    <w:p>
      <w:pPr>
        <w:pStyle w:val="Normal"/>
        <w:jc w:val="center"/>
        <w:rPr/>
      </w:pPr>
      <w:hyperlink r:id="rId10">
        <w:r>
          <w:rPr>
            <w:rStyle w:val="Hyperlink"/>
            <w:color w:val="0B3D91"/>
            <w:u w:val="single"/>
          </w:rPr>
          <w:t>Site public consulté : gsleseminents.com</w:t>
        </w:r>
      </w:hyperlink>
    </w:p>
    <w:p>
      <w:pPr>
        <w:pStyle w:val="Normal"/>
        <w:rPr/>
      </w:pPr>
      <w:r>
        <w:rPr/>
      </w:r>
      <w:r>
        <w:br w:type="page"/>
      </w:r>
    </w:p>
    <w:p>
      <w:pPr>
        <w:pStyle w:val="Heading1"/>
        <w:keepNext w:val="true"/>
        <w:spacing w:before="0" w:after="100"/>
        <w:rPr/>
      </w:pPr>
      <w:r>
        <w:rPr/>
        <w:t>1. Objet et périmètre du document</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Objet du relevé</w:t>
            </w:r>
          </w:p>
          <w:p>
            <w:pPr>
              <w:pStyle w:val="Normal"/>
              <w:spacing w:lineRule="auto" w:line="264" w:before="0" w:after="0"/>
              <w:rPr/>
            </w:pPr>
            <w:r>
              <w:rPr/>
              <w:t>Ce document rassemble méthodiquement tous les éléments textuels et structurants observables sur la page d’accueil : navigation, boutons, messages institutionnels, programmes, avantages, arguments de confiance, liens utiles, contacts et mentions de pied de page.</w:t>
            </w:r>
          </w:p>
        </w:tc>
      </w:tr>
    </w:tbl>
    <w:p>
      <w:pPr>
        <w:pStyle w:val="Normal"/>
        <w:rPr/>
      </w:pPr>
      <w:r>
        <w:rPr/>
        <w:t>Le sous-domaine indiqué dans la demande (« test.gsleseminents.com ») n’a pas été exposé séparément à l’outil de consultation. Le relevé porte donc sur la page d’accueil publiquement accessible et indexée sous le domaine principal du GROUPE SCOLAIRE LES ÉMINENTS, dont les trois visuels institutionnels de juin 2026 ont également été consultés directement.</w:t>
      </w:r>
    </w:p>
    <w:p>
      <w:pPr>
        <w:pStyle w:val="Heading1"/>
        <w:keepNext w:val="true"/>
        <w:rPr/>
      </w:pPr>
      <w:r>
        <w:rPr/>
        <w:t>2. Vue d’ensemble des éléments présents</w:t>
      </w:r>
    </w:p>
    <w:tbl>
      <w:tblPr>
        <w:tblStyle w:val="TableGrid"/>
        <w:tblW w:w="1020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100"/>
        <w:gridCol w:w="5099"/>
      </w:tblGrid>
      <w:tr>
        <w:trPr>
          <w:tblHeader w:val="true"/>
        </w:trPr>
        <w:tc>
          <w:tcPr>
            <w:tcW w:w="5100" w:type="dxa"/>
            <w:tcBorders/>
            <w:shd w:fill="0B3D91"/>
          </w:tcPr>
          <w:p>
            <w:pPr>
              <w:pStyle w:val="Normal"/>
              <w:spacing w:before="0" w:after="80"/>
              <w:rPr>
                <w:rFonts w:cs=""/>
                <w:kern w:val="0"/>
                <w:szCs w:val="22"/>
                <w:lang w:val="en-US" w:eastAsia="en-US" w:bidi="ar-SA"/>
              </w:rPr>
            </w:pPr>
            <w:r>
              <w:rPr>
                <w:rFonts w:cs=""/>
                <w:b/>
                <w:color w:val="FFFFFF"/>
                <w:kern w:val="0"/>
                <w:szCs w:val="22"/>
                <w:lang w:val="en-US" w:eastAsia="en-US" w:bidi="ar-SA"/>
              </w:rPr>
              <w:t>Composante</w:t>
            </w:r>
          </w:p>
        </w:tc>
        <w:tc>
          <w:tcPr>
            <w:tcW w:w="5099" w:type="dxa"/>
            <w:tcBorders/>
            <w:shd w:fill="0B3D91"/>
          </w:tcPr>
          <w:p>
            <w:pPr>
              <w:pStyle w:val="Normal"/>
              <w:spacing w:before="0" w:after="80"/>
              <w:rPr>
                <w:rFonts w:cs=""/>
                <w:kern w:val="0"/>
                <w:szCs w:val="22"/>
                <w:lang w:val="en-US" w:eastAsia="en-US" w:bidi="ar-SA"/>
              </w:rPr>
            </w:pPr>
            <w:r>
              <w:rPr>
                <w:rFonts w:cs=""/>
                <w:b/>
                <w:color w:val="FFFFFF"/>
                <w:kern w:val="0"/>
                <w:szCs w:val="22"/>
                <w:lang w:val="en-US" w:eastAsia="en-US" w:bidi="ar-SA"/>
              </w:rPr>
              <w:t>Contenu relevé</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En-tête institutionnel</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Logo du site, menu principal et accès aux grandes rubriques.</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Appel à l’action principal</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Bouton « INSCRIRE MON ENFANT ».</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Visuel 1</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Pourquoi choisir le GROUPE SCOLAIRE LES ÉMINENTS ?</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Visuel 2</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Nos programmes scolaires.</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Bloc de redirection</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Invitation à découvrir les programmes et bouton associé.</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Visuel 3</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Pourquoi les parents nous font confiance.</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Pied de page</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Présentation, liens utiles, bloc de contact et copyright.</w:t>
            </w:r>
          </w:p>
        </w:tc>
      </w:tr>
    </w:tbl>
    <w:p>
      <w:pPr>
        <w:pStyle w:val="Normal"/>
        <w:rPr/>
      </w:pPr>
      <w:r>
        <w:rPr/>
      </w:r>
      <w:r>
        <w:br w:type="page"/>
      </w:r>
    </w:p>
    <w:p>
      <w:pPr>
        <w:pStyle w:val="Heading1"/>
        <w:keepNext w:val="true"/>
        <w:spacing w:before="0" w:after="100"/>
        <w:rPr/>
      </w:pPr>
      <w:r>
        <w:rPr/>
        <w:t>3. En-tête, navigation et accès directs</w:t>
      </w:r>
    </w:p>
    <w:p>
      <w:pPr>
        <w:pStyle w:val="Heading2"/>
        <w:keepNext w:val="true"/>
        <w:rPr/>
      </w:pPr>
      <w:r>
        <w:rPr/>
        <w:t>3.1. Appel à l’action visible</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D4A017"/>
              <w:start w:val="single" w:sz="10" w:space="0" w:color="D4A017"/>
              <w:bottom w:val="single" w:sz="10" w:space="0" w:color="D4A017"/>
              <w:end w:val="single" w:sz="10" w:space="0" w:color="D4A017"/>
            </w:tcBorders>
            <w:shd w:fill="FFF7DF"/>
          </w:tcPr>
          <w:p>
            <w:pPr>
              <w:pStyle w:val="Normal"/>
              <w:spacing w:before="0" w:after="80"/>
              <w:rPr/>
            </w:pPr>
            <w:r>
              <w:rPr>
                <w:b/>
                <w:color w:val="082A63"/>
                <w:sz w:val="22"/>
              </w:rPr>
              <w:t>Bouton principal</w:t>
            </w:r>
          </w:p>
          <w:p>
            <w:pPr>
              <w:pStyle w:val="Normal"/>
              <w:spacing w:lineRule="auto" w:line="264" w:before="0" w:after="0"/>
              <w:rPr/>
            </w:pPr>
            <w:r>
              <w:rPr/>
              <w:t>INSCRIRE MON ENFANT</w:t>
            </w:r>
          </w:p>
        </w:tc>
      </w:tr>
    </w:tbl>
    <w:p>
      <w:pPr>
        <w:pStyle w:val="Heading2"/>
        <w:keepNext w:val="true"/>
        <w:rPr/>
      </w:pPr>
      <w:r>
        <w:rPr/>
        <w:t>3.2. Menu principal et sous-menus</w:t>
      </w:r>
    </w:p>
    <w:p>
      <w:pPr>
        <w:pStyle w:val="Normal"/>
        <w:rPr/>
      </w:pPr>
      <w:r>
        <w:rPr/>
        <w:t>La page d’accueil présente l’architecture de navigation suivante :</w:t>
      </w:r>
    </w:p>
    <w:tbl>
      <w:tblPr>
        <w:tblW w:w="9270" w:type="dxa"/>
        <w:jc w:val="center"/>
        <w:tblInd w:w="0" w:type="dxa"/>
        <w:tblLayout w:type="fixed"/>
        <w:tblCellMar>
          <w:top w:w="60" w:type="dxa"/>
          <w:start w:w="80" w:type="dxa"/>
          <w:bottom w:w="60" w:type="dxa"/>
          <w:end w:w="80" w:type="dxa"/>
        </w:tblCellMar>
        <w:tblLook w:val="04a0" w:noHBand="0" w:noVBand="1" w:firstColumn="1" w:lastRow="0" w:lastColumn="0" w:firstRow="1"/>
      </w:tblPr>
      <w:tblGrid>
        <w:gridCol w:w="3090"/>
        <w:gridCol w:w="3090"/>
        <w:gridCol w:w="3090"/>
      </w:tblGrid>
      <w:tr>
        <w:trPr/>
        <w:tc>
          <w:tcPr>
            <w:tcW w:w="3090" w:type="dxa"/>
            <w:tcBorders>
              <w:top w:val="single" w:sz="4" w:space="0" w:color="D9E2F2"/>
              <w:start w:val="single" w:sz="4" w:space="0" w:color="D9E2F2"/>
              <w:bottom w:val="single" w:sz="4" w:space="0" w:color="D9E2F2"/>
              <w:end w:val="single" w:sz="4" w:space="0" w:color="D9E2F2"/>
            </w:tcBorders>
          </w:tcPr>
          <w:p>
            <w:pPr>
              <w:pStyle w:val="Normal"/>
              <w:spacing w:before="20" w:after="0"/>
              <w:rPr/>
            </w:pPr>
            <w:r>
              <w:rPr>
                <w:b/>
                <w:color w:val="082A63"/>
                <w:sz w:val="16"/>
              </w:rPr>
              <w:t>1. ACCUEIL</w:t>
            </w:r>
          </w:p>
          <w:p>
            <w:pPr>
              <w:pStyle w:val="Normal"/>
              <w:spacing w:before="20" w:after="0"/>
              <w:rPr/>
            </w:pPr>
            <w:r>
              <w:rPr>
                <w:b/>
                <w:color w:val="082A63"/>
                <w:sz w:val="16"/>
              </w:rPr>
              <w:t>2. À PROPOS DE NOUS</w:t>
            </w:r>
          </w:p>
          <w:p>
            <w:pPr>
              <w:pStyle w:val="Normal"/>
              <w:spacing w:before="0" w:after="0"/>
              <w:ind w:start="113"/>
              <w:rPr/>
            </w:pPr>
            <w:r>
              <w:rPr>
                <w:b/>
                <w:sz w:val="14"/>
              </w:rPr>
              <w:t xml:space="preserve">• </w:t>
            </w:r>
            <w:r>
              <w:rPr>
                <w:b/>
                <w:sz w:val="14"/>
              </w:rPr>
              <w:t>NOTRE VISION ET MISSION</w:t>
            </w:r>
          </w:p>
          <w:p>
            <w:pPr>
              <w:pStyle w:val="Normal"/>
              <w:spacing w:before="0" w:after="0"/>
              <w:ind w:start="272"/>
              <w:rPr/>
            </w:pPr>
            <w:r>
              <w:rPr>
                <w:sz w:val="13"/>
              </w:rPr>
              <w:t xml:space="preserve">– </w:t>
            </w:r>
            <w:r>
              <w:rPr>
                <w:sz w:val="13"/>
              </w:rPr>
              <w:t>Notre vision</w:t>
            </w:r>
          </w:p>
          <w:p>
            <w:pPr>
              <w:pStyle w:val="Normal"/>
              <w:spacing w:before="0" w:after="0"/>
              <w:ind w:start="272"/>
              <w:rPr/>
            </w:pPr>
            <w:r>
              <w:rPr>
                <w:sz w:val="13"/>
              </w:rPr>
              <w:t xml:space="preserve">– </w:t>
            </w:r>
            <w:r>
              <w:rPr>
                <w:sz w:val="13"/>
              </w:rPr>
              <w:t>Notre mission</w:t>
            </w:r>
          </w:p>
          <w:p>
            <w:pPr>
              <w:pStyle w:val="Normal"/>
              <w:spacing w:before="0" w:after="0"/>
              <w:ind w:start="272"/>
              <w:rPr/>
            </w:pPr>
            <w:r>
              <w:rPr>
                <w:sz w:val="13"/>
              </w:rPr>
              <w:t xml:space="preserve">– </w:t>
            </w:r>
            <w:r>
              <w:rPr>
                <w:sz w:val="13"/>
              </w:rPr>
              <w:t>Nos valeurs</w:t>
            </w:r>
          </w:p>
          <w:p>
            <w:pPr>
              <w:pStyle w:val="Normal"/>
              <w:spacing w:before="0" w:after="0"/>
              <w:ind w:start="272"/>
              <w:rPr/>
            </w:pPr>
            <w:r>
              <w:rPr>
                <w:sz w:val="13"/>
              </w:rPr>
              <w:t xml:space="preserve">– </w:t>
            </w:r>
            <w:r>
              <w:rPr>
                <w:sz w:val="13"/>
              </w:rPr>
              <w:t>Notre devise</w:t>
            </w:r>
          </w:p>
          <w:p>
            <w:pPr>
              <w:pStyle w:val="Normal"/>
              <w:spacing w:before="0" w:after="0"/>
              <w:ind w:start="113"/>
              <w:rPr/>
            </w:pPr>
            <w:r>
              <w:rPr>
                <w:b/>
                <w:sz w:val="14"/>
              </w:rPr>
              <w:t xml:space="preserve">• </w:t>
            </w:r>
            <w:r>
              <w:rPr>
                <w:b/>
                <w:sz w:val="14"/>
              </w:rPr>
              <w:t>NOTRE APPROCHE ÉDUCATIVE</w:t>
            </w:r>
          </w:p>
          <w:p>
            <w:pPr>
              <w:pStyle w:val="Normal"/>
              <w:spacing w:before="0" w:after="0"/>
              <w:ind w:start="272"/>
              <w:rPr/>
            </w:pPr>
            <w:r>
              <w:rPr>
                <w:sz w:val="13"/>
              </w:rPr>
              <w:t xml:space="preserve">– </w:t>
            </w:r>
            <w:r>
              <w:rPr>
                <w:sz w:val="13"/>
              </w:rPr>
              <w:t>Excellence académique</w:t>
            </w:r>
          </w:p>
          <w:p>
            <w:pPr>
              <w:pStyle w:val="Normal"/>
              <w:spacing w:before="0" w:after="0"/>
              <w:ind w:start="272"/>
              <w:rPr/>
            </w:pPr>
            <w:r>
              <w:rPr>
                <w:sz w:val="13"/>
              </w:rPr>
              <w:t xml:space="preserve">– </w:t>
            </w:r>
            <w:r>
              <w:rPr>
                <w:sz w:val="13"/>
              </w:rPr>
              <w:t>Enseignement bilingue</w:t>
            </w:r>
          </w:p>
          <w:p>
            <w:pPr>
              <w:pStyle w:val="Normal"/>
              <w:spacing w:before="0" w:after="0"/>
              <w:ind w:start="272"/>
              <w:rPr/>
            </w:pPr>
            <w:r>
              <w:rPr>
                <w:sz w:val="13"/>
              </w:rPr>
              <w:t xml:space="preserve">– </w:t>
            </w:r>
            <w:r>
              <w:rPr>
                <w:sz w:val="13"/>
              </w:rPr>
              <w:t>Pédagogie active</w:t>
            </w:r>
          </w:p>
          <w:p>
            <w:pPr>
              <w:pStyle w:val="Normal"/>
              <w:spacing w:before="0" w:after="0"/>
              <w:ind w:start="272"/>
              <w:rPr/>
            </w:pPr>
            <w:r>
              <w:rPr>
                <w:sz w:val="13"/>
              </w:rPr>
              <w:t xml:space="preserve">– </w:t>
            </w:r>
            <w:r>
              <w:rPr>
                <w:sz w:val="13"/>
              </w:rPr>
              <w:t>Éducation chrétienne</w:t>
            </w:r>
          </w:p>
          <w:p>
            <w:pPr>
              <w:pStyle w:val="Normal"/>
              <w:spacing w:before="0" w:after="0"/>
              <w:ind w:start="272"/>
              <w:rPr/>
            </w:pPr>
            <w:r>
              <w:rPr>
                <w:sz w:val="13"/>
              </w:rPr>
              <w:t xml:space="preserve">– </w:t>
            </w:r>
            <w:r>
              <w:rPr>
                <w:sz w:val="13"/>
              </w:rPr>
              <w:t>Technologies éducatives</w:t>
            </w:r>
          </w:p>
          <w:p>
            <w:pPr>
              <w:pStyle w:val="Normal"/>
              <w:spacing w:before="0" w:after="0"/>
              <w:ind w:start="113"/>
              <w:rPr/>
            </w:pPr>
            <w:r>
              <w:rPr>
                <w:sz w:val="14"/>
              </w:rPr>
              <w:t xml:space="preserve">• </w:t>
            </w:r>
            <w:r>
              <w:rPr>
                <w:sz w:val="14"/>
              </w:rPr>
              <w:t>MOT DU PROMOTEUR</w:t>
            </w:r>
          </w:p>
          <w:p>
            <w:pPr>
              <w:pStyle w:val="Normal"/>
              <w:spacing w:before="0" w:after="0"/>
              <w:ind w:start="113"/>
              <w:rPr/>
            </w:pPr>
            <w:r>
              <w:rPr>
                <w:sz w:val="14"/>
              </w:rPr>
              <w:t xml:space="preserve">• </w:t>
            </w:r>
            <w:r>
              <w:rPr>
                <w:sz w:val="14"/>
              </w:rPr>
              <w:t>MOT DE LA DIRECTION</w:t>
            </w:r>
          </w:p>
          <w:p>
            <w:pPr>
              <w:pStyle w:val="Normal"/>
              <w:spacing w:before="0" w:after="0"/>
              <w:ind w:start="113"/>
              <w:rPr/>
            </w:pPr>
            <w:r>
              <w:rPr>
                <w:sz w:val="14"/>
              </w:rPr>
              <w:t xml:space="preserve">• </w:t>
            </w:r>
            <w:r>
              <w:rPr>
                <w:sz w:val="14"/>
              </w:rPr>
              <w:t>NOTRE ÉQUIPE</w:t>
            </w:r>
          </w:p>
          <w:p>
            <w:pPr>
              <w:pStyle w:val="Normal"/>
              <w:spacing w:before="0" w:after="0"/>
              <w:ind w:start="113"/>
              <w:rPr/>
            </w:pPr>
            <w:r>
              <w:rPr>
                <w:sz w:val="14"/>
              </w:rPr>
              <w:t xml:space="preserve">• </w:t>
            </w:r>
            <w:r>
              <w:rPr>
                <w:sz w:val="14"/>
              </w:rPr>
              <w:t>NOS INFRASTRUCTURES</w:t>
            </w:r>
          </w:p>
          <w:p>
            <w:pPr>
              <w:pStyle w:val="Normal"/>
              <w:spacing w:before="20" w:after="0"/>
              <w:rPr/>
            </w:pPr>
            <w:r>
              <w:rPr>
                <w:b/>
                <w:color w:val="082A63"/>
                <w:sz w:val="16"/>
              </w:rPr>
              <w:t>3. NOS PROGRAMMES SCOLAIRES</w:t>
            </w:r>
          </w:p>
          <w:p>
            <w:pPr>
              <w:pStyle w:val="Normal"/>
              <w:spacing w:before="0" w:after="0"/>
              <w:ind w:start="113"/>
              <w:rPr/>
            </w:pPr>
            <w:r>
              <w:rPr>
                <w:sz w:val="14"/>
              </w:rPr>
              <w:t xml:space="preserve">• </w:t>
            </w:r>
            <w:r>
              <w:rPr>
                <w:sz w:val="14"/>
              </w:rPr>
              <w:t>SECTION MATERNELLE</w:t>
            </w:r>
          </w:p>
          <w:p>
            <w:pPr>
              <w:pStyle w:val="Normal"/>
              <w:spacing w:before="0" w:after="0"/>
              <w:ind w:start="113"/>
              <w:rPr/>
            </w:pPr>
            <w:r>
              <w:rPr>
                <w:sz w:val="14"/>
              </w:rPr>
              <w:t xml:space="preserve">• </w:t>
            </w:r>
            <w:r>
              <w:rPr>
                <w:sz w:val="14"/>
              </w:rPr>
              <w:t>SECTION PRIMAIRE</w:t>
            </w:r>
          </w:p>
          <w:p>
            <w:pPr>
              <w:pStyle w:val="Normal"/>
              <w:spacing w:before="0" w:after="0"/>
              <w:ind w:start="113"/>
              <w:rPr/>
            </w:pPr>
            <w:r>
              <w:rPr>
                <w:sz w:val="14"/>
              </w:rPr>
              <w:t xml:space="preserve">• </w:t>
            </w:r>
            <w:r>
              <w:rPr>
                <w:sz w:val="14"/>
              </w:rPr>
              <w:t>SECTION SECONDAIRE</w:t>
            </w:r>
          </w:p>
          <w:p>
            <w:pPr>
              <w:pStyle w:val="Normal"/>
              <w:spacing w:before="0" w:after="0"/>
              <w:ind w:start="113"/>
              <w:rPr/>
            </w:pPr>
            <w:r>
              <w:rPr>
                <w:sz w:val="14"/>
              </w:rPr>
              <w:t xml:space="preserve">• </w:t>
            </w:r>
            <w:r>
              <w:rPr>
                <w:sz w:val="14"/>
              </w:rPr>
              <w:t>PROGRAMME BILINGUE</w:t>
            </w:r>
          </w:p>
          <w:p>
            <w:pPr>
              <w:pStyle w:val="Normal"/>
              <w:spacing w:before="0" w:after="0"/>
              <w:ind w:start="113"/>
              <w:rPr/>
            </w:pPr>
            <w:r>
              <w:rPr>
                <w:sz w:val="14"/>
              </w:rPr>
              <w:t xml:space="preserve">• </w:t>
            </w:r>
            <w:r>
              <w:rPr>
                <w:sz w:val="14"/>
              </w:rPr>
              <w:t>PROGRAMME SPIRITUEL</w:t>
            </w:r>
          </w:p>
          <w:p>
            <w:pPr>
              <w:pStyle w:val="Normal"/>
              <w:spacing w:before="20" w:after="0"/>
              <w:rPr/>
            </w:pPr>
            <w:r>
              <w:rPr>
                <w:b/>
                <w:color w:val="082A63"/>
                <w:sz w:val="16"/>
              </w:rPr>
              <w:t>4. ADMISSIONS</w:t>
            </w:r>
          </w:p>
          <w:p>
            <w:pPr>
              <w:pStyle w:val="Normal"/>
              <w:spacing w:before="0" w:after="0"/>
              <w:ind w:start="113"/>
              <w:rPr/>
            </w:pPr>
            <w:r>
              <w:rPr>
                <w:sz w:val="14"/>
              </w:rPr>
              <w:t xml:space="preserve">• </w:t>
            </w:r>
            <w:r>
              <w:rPr>
                <w:sz w:val="14"/>
              </w:rPr>
              <w:t>CONDITIONS D’ADMISSION</w:t>
            </w:r>
          </w:p>
          <w:p>
            <w:pPr>
              <w:pStyle w:val="Normal"/>
              <w:spacing w:before="0" w:after="0"/>
              <w:ind w:start="113"/>
              <w:rPr/>
            </w:pPr>
            <w:r>
              <w:rPr>
                <w:sz w:val="14"/>
              </w:rPr>
              <w:t xml:space="preserve">• </w:t>
            </w:r>
            <w:r>
              <w:rPr>
                <w:sz w:val="14"/>
              </w:rPr>
              <w:t>PROCÉDURE D’INSCRIPTION</w:t>
            </w:r>
          </w:p>
          <w:p>
            <w:pPr>
              <w:pStyle w:val="Normal"/>
              <w:spacing w:before="0" w:after="0"/>
              <w:ind w:start="113"/>
              <w:rPr/>
            </w:pPr>
            <w:r>
              <w:rPr>
                <w:sz w:val="14"/>
              </w:rPr>
              <w:t xml:space="preserve">• </w:t>
            </w:r>
            <w:r>
              <w:rPr>
                <w:sz w:val="14"/>
              </w:rPr>
              <w:t>DOCUMENTS REQUIS</w:t>
            </w:r>
          </w:p>
          <w:p>
            <w:pPr>
              <w:pStyle w:val="Normal"/>
              <w:spacing w:before="0" w:after="0"/>
              <w:ind w:start="113"/>
              <w:rPr/>
            </w:pPr>
            <w:r>
              <w:rPr>
                <w:sz w:val="14"/>
              </w:rPr>
              <w:t xml:space="preserve">• </w:t>
            </w:r>
            <w:r>
              <w:rPr>
                <w:sz w:val="14"/>
              </w:rPr>
              <w:t>FRAIS SCOLAIRES</w:t>
            </w:r>
          </w:p>
          <w:p>
            <w:pPr>
              <w:pStyle w:val="Normal"/>
              <w:spacing w:before="0" w:after="0"/>
              <w:ind w:start="113"/>
              <w:rPr/>
            </w:pPr>
            <w:r>
              <w:rPr>
                <w:sz w:val="14"/>
              </w:rPr>
              <w:t xml:space="preserve">• </w:t>
            </w:r>
            <w:r>
              <w:rPr>
                <w:sz w:val="14"/>
              </w:rPr>
              <w:t>INSCRIPTION EN LIGNE</w:t>
            </w:r>
          </w:p>
          <w:p>
            <w:pPr>
              <w:pStyle w:val="Normal"/>
              <w:spacing w:before="0" w:after="0"/>
              <w:ind w:start="113"/>
              <w:rPr/>
            </w:pPr>
            <w:r>
              <w:rPr>
                <w:sz w:val="14"/>
              </w:rPr>
              <w:t xml:space="preserve">• </w:t>
            </w:r>
            <w:r>
              <w:rPr>
                <w:sz w:val="14"/>
              </w:rPr>
              <w:t>TÉLÉCHARGEMENTS</w:t>
            </w:r>
          </w:p>
        </w:tc>
        <w:tc>
          <w:tcPr>
            <w:tcW w:w="3090" w:type="dxa"/>
            <w:tcBorders>
              <w:top w:val="single" w:sz="4" w:space="0" w:color="D9E2F2"/>
              <w:start w:val="single" w:sz="4" w:space="0" w:color="D9E2F2"/>
              <w:bottom w:val="single" w:sz="4" w:space="0" w:color="D9E2F2"/>
              <w:end w:val="single" w:sz="4" w:space="0" w:color="D9E2F2"/>
            </w:tcBorders>
          </w:tcPr>
          <w:p>
            <w:pPr>
              <w:pStyle w:val="Normal"/>
              <w:spacing w:before="20" w:after="0"/>
              <w:rPr/>
            </w:pPr>
            <w:r>
              <w:rPr>
                <w:b/>
                <w:color w:val="082A63"/>
                <w:sz w:val="16"/>
              </w:rPr>
              <w:t>5. VIE SCOLAIRE</w:t>
            </w:r>
          </w:p>
          <w:p>
            <w:pPr>
              <w:pStyle w:val="Normal"/>
              <w:spacing w:before="0" w:after="0"/>
              <w:ind w:start="113"/>
              <w:rPr/>
            </w:pPr>
            <w:r>
              <w:rPr>
                <w:b/>
                <w:sz w:val="14"/>
              </w:rPr>
              <w:t xml:space="preserve">• </w:t>
            </w:r>
            <w:r>
              <w:rPr>
                <w:b/>
                <w:sz w:val="14"/>
              </w:rPr>
              <w:t>ACTIVITÉS</w:t>
            </w:r>
          </w:p>
          <w:p>
            <w:pPr>
              <w:pStyle w:val="Normal"/>
              <w:spacing w:before="0" w:after="0"/>
              <w:ind w:start="272"/>
              <w:rPr/>
            </w:pPr>
            <w:r>
              <w:rPr>
                <w:sz w:val="13"/>
              </w:rPr>
              <w:t xml:space="preserve">– </w:t>
            </w:r>
            <w:r>
              <w:rPr>
                <w:sz w:val="13"/>
              </w:rPr>
              <w:t>Clubs</w:t>
            </w:r>
          </w:p>
          <w:p>
            <w:pPr>
              <w:pStyle w:val="Normal"/>
              <w:spacing w:before="0" w:after="0"/>
              <w:ind w:start="272"/>
              <w:rPr/>
            </w:pPr>
            <w:r>
              <w:rPr>
                <w:sz w:val="13"/>
              </w:rPr>
              <w:t xml:space="preserve">– </w:t>
            </w:r>
            <w:r>
              <w:rPr>
                <w:sz w:val="13"/>
              </w:rPr>
              <w:t>Activités sportives</w:t>
            </w:r>
          </w:p>
          <w:p>
            <w:pPr>
              <w:pStyle w:val="Normal"/>
              <w:spacing w:before="0" w:after="0"/>
              <w:ind w:start="272"/>
              <w:rPr/>
            </w:pPr>
            <w:r>
              <w:rPr>
                <w:sz w:val="13"/>
              </w:rPr>
              <w:t xml:space="preserve">– </w:t>
            </w:r>
            <w:r>
              <w:rPr>
                <w:sz w:val="13"/>
              </w:rPr>
              <w:t>Sorties éducatives</w:t>
            </w:r>
          </w:p>
          <w:p>
            <w:pPr>
              <w:pStyle w:val="Normal"/>
              <w:spacing w:before="0" w:after="0"/>
              <w:ind w:start="272"/>
              <w:rPr/>
            </w:pPr>
            <w:r>
              <w:rPr>
                <w:sz w:val="13"/>
              </w:rPr>
              <w:t xml:space="preserve">– </w:t>
            </w:r>
            <w:r>
              <w:rPr>
                <w:sz w:val="13"/>
              </w:rPr>
              <w:t>Journées culturelles</w:t>
            </w:r>
          </w:p>
          <w:p>
            <w:pPr>
              <w:pStyle w:val="Normal"/>
              <w:spacing w:before="0" w:after="0"/>
              <w:ind w:start="272"/>
              <w:rPr/>
            </w:pPr>
            <w:r>
              <w:rPr>
                <w:sz w:val="13"/>
              </w:rPr>
              <w:t xml:space="preserve">– </w:t>
            </w:r>
            <w:r>
              <w:rPr>
                <w:sz w:val="13"/>
              </w:rPr>
              <w:t>Concours</w:t>
            </w:r>
          </w:p>
          <w:p>
            <w:pPr>
              <w:pStyle w:val="Normal"/>
              <w:spacing w:before="0" w:after="0"/>
              <w:ind w:start="272"/>
              <w:rPr/>
            </w:pPr>
            <w:r>
              <w:rPr>
                <w:sz w:val="13"/>
              </w:rPr>
              <w:t xml:space="preserve">– </w:t>
            </w:r>
            <w:r>
              <w:rPr>
                <w:sz w:val="13"/>
              </w:rPr>
              <w:t>Camps de vacances</w:t>
            </w:r>
          </w:p>
          <w:p>
            <w:pPr>
              <w:pStyle w:val="Normal"/>
              <w:spacing w:before="0" w:after="0"/>
              <w:ind w:start="113"/>
              <w:rPr/>
            </w:pPr>
            <w:r>
              <w:rPr>
                <w:sz w:val="14"/>
              </w:rPr>
              <w:t xml:space="preserve">• </w:t>
            </w:r>
            <w:r>
              <w:rPr>
                <w:sz w:val="14"/>
              </w:rPr>
              <w:t>DISCIPLINE ET VALEURS CHRÉTIENNES</w:t>
            </w:r>
          </w:p>
          <w:p>
            <w:pPr>
              <w:pStyle w:val="Normal"/>
              <w:spacing w:before="0" w:after="0"/>
              <w:ind w:start="113"/>
              <w:rPr/>
            </w:pPr>
            <w:r>
              <w:rPr>
                <w:b/>
                <w:sz w:val="14"/>
              </w:rPr>
              <w:t xml:space="preserve">• </w:t>
            </w:r>
            <w:r>
              <w:rPr>
                <w:b/>
                <w:sz w:val="14"/>
              </w:rPr>
              <w:t>SÉCURITÉ ET BIEN-ÊTRE</w:t>
            </w:r>
          </w:p>
          <w:p>
            <w:pPr>
              <w:pStyle w:val="Normal"/>
              <w:spacing w:before="0" w:after="0"/>
              <w:ind w:start="272"/>
              <w:rPr/>
            </w:pPr>
            <w:r>
              <w:rPr>
                <w:sz w:val="13"/>
              </w:rPr>
              <w:t xml:space="preserve">– </w:t>
            </w:r>
            <w:r>
              <w:rPr>
                <w:sz w:val="13"/>
              </w:rPr>
              <w:t>Sécurité physique</w:t>
            </w:r>
          </w:p>
          <w:p>
            <w:pPr>
              <w:pStyle w:val="Normal"/>
              <w:spacing w:before="0" w:after="0"/>
              <w:ind w:start="272"/>
              <w:rPr/>
            </w:pPr>
            <w:r>
              <w:rPr>
                <w:sz w:val="13"/>
              </w:rPr>
              <w:t xml:space="preserve">– </w:t>
            </w:r>
            <w:r>
              <w:rPr>
                <w:sz w:val="13"/>
              </w:rPr>
              <w:t>Contrôle des accès</w:t>
            </w:r>
          </w:p>
          <w:p>
            <w:pPr>
              <w:pStyle w:val="Normal"/>
              <w:spacing w:before="0" w:after="0"/>
              <w:ind w:start="272"/>
              <w:rPr/>
            </w:pPr>
            <w:r>
              <w:rPr>
                <w:sz w:val="13"/>
              </w:rPr>
              <w:t xml:space="preserve">– </w:t>
            </w:r>
            <w:r>
              <w:rPr>
                <w:sz w:val="13"/>
              </w:rPr>
              <w:t>Encadrement des élèves</w:t>
            </w:r>
          </w:p>
          <w:p>
            <w:pPr>
              <w:pStyle w:val="Normal"/>
              <w:spacing w:before="0" w:after="0"/>
              <w:ind w:start="272"/>
              <w:rPr/>
            </w:pPr>
            <w:r>
              <w:rPr>
                <w:sz w:val="13"/>
              </w:rPr>
              <w:t xml:space="preserve">– </w:t>
            </w:r>
            <w:r>
              <w:rPr>
                <w:sz w:val="13"/>
              </w:rPr>
              <w:t>Suivi médical</w:t>
            </w:r>
          </w:p>
          <w:p>
            <w:pPr>
              <w:pStyle w:val="Normal"/>
              <w:spacing w:before="0" w:after="0"/>
              <w:ind w:start="272"/>
              <w:rPr/>
            </w:pPr>
            <w:r>
              <w:rPr>
                <w:sz w:val="13"/>
              </w:rPr>
              <w:t xml:space="preserve">– </w:t>
            </w:r>
            <w:r>
              <w:rPr>
                <w:sz w:val="13"/>
              </w:rPr>
              <w:t>Prévention des risques</w:t>
            </w:r>
          </w:p>
          <w:p>
            <w:pPr>
              <w:pStyle w:val="Normal"/>
              <w:spacing w:before="0" w:after="0"/>
              <w:ind w:start="272"/>
              <w:rPr/>
            </w:pPr>
            <w:r>
              <w:rPr>
                <w:sz w:val="13"/>
              </w:rPr>
              <w:t xml:space="preserve">– </w:t>
            </w:r>
            <w:r>
              <w:rPr>
                <w:sz w:val="13"/>
              </w:rPr>
              <w:t>Protection de l’enfant</w:t>
            </w:r>
          </w:p>
          <w:p>
            <w:pPr>
              <w:pStyle w:val="Normal"/>
              <w:spacing w:before="0" w:after="0"/>
              <w:ind w:start="272"/>
              <w:rPr/>
            </w:pPr>
            <w:r>
              <w:rPr>
                <w:sz w:val="13"/>
              </w:rPr>
              <w:t xml:space="preserve">– </w:t>
            </w:r>
            <w:r>
              <w:rPr>
                <w:sz w:val="13"/>
              </w:rPr>
              <w:t>Accompagnement psychologique</w:t>
            </w:r>
          </w:p>
          <w:p>
            <w:pPr>
              <w:pStyle w:val="Normal"/>
              <w:spacing w:before="0" w:after="0"/>
              <w:ind w:start="272"/>
              <w:rPr/>
            </w:pPr>
            <w:r>
              <w:rPr>
                <w:sz w:val="13"/>
              </w:rPr>
              <w:t xml:space="preserve">– </w:t>
            </w:r>
            <w:r>
              <w:rPr>
                <w:sz w:val="13"/>
              </w:rPr>
              <w:t>Politique anti-harcèlement</w:t>
            </w:r>
          </w:p>
          <w:p>
            <w:pPr>
              <w:pStyle w:val="Normal"/>
              <w:spacing w:before="0" w:after="0"/>
              <w:ind w:start="113"/>
              <w:rPr/>
            </w:pPr>
            <w:r>
              <w:rPr>
                <w:b/>
                <w:sz w:val="14"/>
              </w:rPr>
              <w:t xml:space="preserve">• </w:t>
            </w:r>
            <w:r>
              <w:rPr>
                <w:b/>
                <w:sz w:val="14"/>
              </w:rPr>
              <w:t>ARTS, CULTURE ET TALENTS</w:t>
            </w:r>
          </w:p>
          <w:p>
            <w:pPr>
              <w:pStyle w:val="Normal"/>
              <w:spacing w:before="0" w:after="0"/>
              <w:ind w:start="272"/>
              <w:rPr/>
            </w:pPr>
            <w:r>
              <w:rPr>
                <w:sz w:val="13"/>
              </w:rPr>
              <w:t xml:space="preserve">– </w:t>
            </w:r>
            <w:r>
              <w:rPr>
                <w:sz w:val="13"/>
              </w:rPr>
              <w:t>Éveil musical</w:t>
            </w:r>
          </w:p>
          <w:p>
            <w:pPr>
              <w:pStyle w:val="Normal"/>
              <w:spacing w:before="0" w:after="0"/>
              <w:ind w:start="272"/>
              <w:rPr/>
            </w:pPr>
            <w:r>
              <w:rPr>
                <w:sz w:val="13"/>
              </w:rPr>
              <w:t xml:space="preserve">– </w:t>
            </w:r>
            <w:r>
              <w:rPr>
                <w:sz w:val="13"/>
              </w:rPr>
              <w:t>Chorale</w:t>
            </w:r>
          </w:p>
          <w:p>
            <w:pPr>
              <w:pStyle w:val="Normal"/>
              <w:spacing w:before="0" w:after="0"/>
              <w:ind w:start="272"/>
              <w:rPr/>
            </w:pPr>
            <w:r>
              <w:rPr>
                <w:sz w:val="13"/>
              </w:rPr>
              <w:t xml:space="preserve">– </w:t>
            </w:r>
            <w:r>
              <w:rPr>
                <w:sz w:val="13"/>
              </w:rPr>
              <w:t>Théâtre et expression orale</w:t>
            </w:r>
          </w:p>
          <w:p>
            <w:pPr>
              <w:pStyle w:val="Normal"/>
              <w:spacing w:before="0" w:after="0"/>
              <w:ind w:start="272"/>
              <w:rPr/>
            </w:pPr>
            <w:r>
              <w:rPr>
                <w:sz w:val="13"/>
              </w:rPr>
              <w:t xml:space="preserve">– </w:t>
            </w:r>
            <w:r>
              <w:rPr>
                <w:sz w:val="13"/>
              </w:rPr>
              <w:t>Arts visuels</w:t>
            </w:r>
          </w:p>
          <w:p>
            <w:pPr>
              <w:pStyle w:val="Normal"/>
              <w:spacing w:before="0" w:after="0"/>
              <w:ind w:start="272"/>
              <w:rPr/>
            </w:pPr>
            <w:r>
              <w:rPr>
                <w:sz w:val="13"/>
              </w:rPr>
              <w:t xml:space="preserve">– </w:t>
            </w:r>
            <w:r>
              <w:rPr>
                <w:sz w:val="13"/>
              </w:rPr>
              <w:t>Arts culinaires</w:t>
            </w:r>
          </w:p>
          <w:p>
            <w:pPr>
              <w:pStyle w:val="Normal"/>
              <w:spacing w:before="0" w:after="0"/>
              <w:ind w:start="272"/>
              <w:rPr/>
            </w:pPr>
            <w:r>
              <w:rPr>
                <w:sz w:val="13"/>
              </w:rPr>
              <w:t xml:space="preserve">– </w:t>
            </w:r>
            <w:r>
              <w:rPr>
                <w:sz w:val="13"/>
              </w:rPr>
              <w:t>Danse éducative</w:t>
            </w:r>
          </w:p>
          <w:p>
            <w:pPr>
              <w:pStyle w:val="Normal"/>
              <w:spacing w:before="0" w:after="0"/>
              <w:ind w:start="272"/>
              <w:rPr/>
            </w:pPr>
            <w:r>
              <w:rPr>
                <w:sz w:val="13"/>
              </w:rPr>
              <w:t xml:space="preserve">– </w:t>
            </w:r>
            <w:r>
              <w:rPr>
                <w:sz w:val="13"/>
              </w:rPr>
              <w:t>Photographie</w:t>
            </w:r>
          </w:p>
          <w:p>
            <w:pPr>
              <w:pStyle w:val="Normal"/>
              <w:spacing w:before="0" w:after="0"/>
              <w:ind w:start="272"/>
              <w:rPr/>
            </w:pPr>
            <w:r>
              <w:rPr>
                <w:sz w:val="13"/>
              </w:rPr>
              <w:t xml:space="preserve">– </w:t>
            </w:r>
            <w:r>
              <w:rPr>
                <w:sz w:val="13"/>
              </w:rPr>
              <w:t>Journal scolaire</w:t>
            </w:r>
          </w:p>
          <w:p>
            <w:pPr>
              <w:pStyle w:val="Normal"/>
              <w:spacing w:before="0" w:after="0"/>
              <w:ind w:start="272"/>
              <w:rPr/>
            </w:pPr>
            <w:r>
              <w:rPr>
                <w:sz w:val="13"/>
              </w:rPr>
              <w:t xml:space="preserve">– </w:t>
            </w:r>
            <w:r>
              <w:rPr>
                <w:sz w:val="13"/>
              </w:rPr>
              <w:t>Culture congolaise et africaine</w:t>
            </w:r>
          </w:p>
          <w:p>
            <w:pPr>
              <w:pStyle w:val="Normal"/>
              <w:spacing w:before="0" w:after="0"/>
              <w:ind w:start="272"/>
              <w:rPr/>
            </w:pPr>
            <w:r>
              <w:rPr>
                <w:sz w:val="13"/>
              </w:rPr>
              <w:t xml:space="preserve">– </w:t>
            </w:r>
            <w:r>
              <w:rPr>
                <w:sz w:val="13"/>
              </w:rPr>
              <w:t>Festivals et expositions</w:t>
            </w:r>
          </w:p>
          <w:p>
            <w:pPr>
              <w:pStyle w:val="Normal"/>
              <w:spacing w:before="0" w:after="0"/>
              <w:ind w:start="272"/>
              <w:rPr/>
            </w:pPr>
            <w:r>
              <w:rPr>
                <w:sz w:val="13"/>
              </w:rPr>
              <w:t xml:space="preserve">– </w:t>
            </w:r>
            <w:r>
              <w:rPr>
                <w:sz w:val="13"/>
              </w:rPr>
              <w:t>Détection des talents</w:t>
            </w:r>
          </w:p>
          <w:p>
            <w:pPr>
              <w:pStyle w:val="Normal"/>
              <w:spacing w:before="0" w:after="0"/>
              <w:ind w:start="113"/>
              <w:rPr/>
            </w:pPr>
            <w:r>
              <w:rPr>
                <w:sz w:val="14"/>
              </w:rPr>
              <w:t xml:space="preserve">• </w:t>
            </w:r>
            <w:r>
              <w:rPr>
                <w:sz w:val="14"/>
              </w:rPr>
              <w:t>RÉSULTATS ET DISTINCTIONS</w:t>
            </w:r>
          </w:p>
          <w:p>
            <w:pPr>
              <w:pStyle w:val="Normal"/>
              <w:spacing w:before="0" w:after="0"/>
              <w:ind w:start="113"/>
              <w:rPr/>
            </w:pPr>
            <w:r>
              <w:rPr>
                <w:sz w:val="14"/>
              </w:rPr>
              <w:t xml:space="preserve">• </w:t>
            </w:r>
            <w:r>
              <w:rPr>
                <w:sz w:val="14"/>
              </w:rPr>
              <w:t>TÉMOIGNAGES</w:t>
            </w:r>
          </w:p>
          <w:p>
            <w:pPr>
              <w:pStyle w:val="Normal"/>
              <w:spacing w:before="20" w:after="0"/>
              <w:rPr/>
            </w:pPr>
            <w:r>
              <w:rPr>
                <w:b/>
                <w:color w:val="082A63"/>
                <w:sz w:val="16"/>
              </w:rPr>
              <w:t>6. GALERIE</w:t>
            </w:r>
          </w:p>
          <w:p>
            <w:pPr>
              <w:pStyle w:val="Normal"/>
              <w:spacing w:before="0" w:after="0"/>
              <w:ind w:start="113"/>
              <w:rPr/>
            </w:pPr>
            <w:r>
              <w:rPr>
                <w:b/>
                <w:sz w:val="14"/>
              </w:rPr>
              <w:t xml:space="preserve">• </w:t>
            </w:r>
            <w:r>
              <w:rPr>
                <w:b/>
                <w:sz w:val="14"/>
              </w:rPr>
              <w:t>GALERIE PHOTOS</w:t>
            </w:r>
          </w:p>
          <w:p>
            <w:pPr>
              <w:pStyle w:val="Normal"/>
              <w:spacing w:before="0" w:after="0"/>
              <w:ind w:start="272"/>
              <w:rPr/>
            </w:pPr>
            <w:r>
              <w:rPr>
                <w:sz w:val="13"/>
              </w:rPr>
              <w:t xml:space="preserve">– </w:t>
            </w:r>
            <w:r>
              <w:rPr>
                <w:sz w:val="13"/>
              </w:rPr>
              <w:t>École</w:t>
            </w:r>
          </w:p>
          <w:p>
            <w:pPr>
              <w:pStyle w:val="Normal"/>
              <w:spacing w:before="0" w:after="0"/>
              <w:ind w:start="272"/>
              <w:rPr/>
            </w:pPr>
            <w:r>
              <w:rPr>
                <w:sz w:val="13"/>
              </w:rPr>
              <w:t xml:space="preserve">– </w:t>
            </w:r>
            <w:r>
              <w:rPr>
                <w:sz w:val="13"/>
              </w:rPr>
              <w:t>Classes</w:t>
            </w:r>
          </w:p>
          <w:p>
            <w:pPr>
              <w:pStyle w:val="Normal"/>
              <w:spacing w:before="0" w:after="0"/>
              <w:ind w:start="272"/>
              <w:rPr/>
            </w:pPr>
            <w:r>
              <w:rPr>
                <w:sz w:val="13"/>
              </w:rPr>
              <w:t xml:space="preserve">– </w:t>
            </w:r>
            <w:r>
              <w:rPr>
                <w:sz w:val="13"/>
              </w:rPr>
              <w:t>Activités</w:t>
            </w:r>
          </w:p>
          <w:p>
            <w:pPr>
              <w:pStyle w:val="Normal"/>
              <w:spacing w:before="0" w:after="0"/>
              <w:ind w:start="272"/>
              <w:rPr/>
            </w:pPr>
            <w:r>
              <w:rPr>
                <w:sz w:val="13"/>
              </w:rPr>
              <w:t xml:space="preserve">– </w:t>
            </w:r>
            <w:r>
              <w:rPr>
                <w:sz w:val="13"/>
              </w:rPr>
              <w:t>Spectacles</w:t>
            </w:r>
          </w:p>
          <w:p>
            <w:pPr>
              <w:pStyle w:val="Normal"/>
              <w:spacing w:before="0" w:after="0"/>
              <w:ind w:start="272"/>
              <w:rPr/>
            </w:pPr>
            <w:r>
              <w:rPr>
                <w:sz w:val="13"/>
              </w:rPr>
              <w:t xml:space="preserve">– </w:t>
            </w:r>
            <w:r>
              <w:rPr>
                <w:sz w:val="13"/>
              </w:rPr>
              <w:t>Journées culturelles</w:t>
            </w:r>
          </w:p>
          <w:p>
            <w:pPr>
              <w:pStyle w:val="Normal"/>
              <w:spacing w:before="0" w:after="0"/>
              <w:ind w:start="113"/>
              <w:rPr/>
            </w:pPr>
            <w:r>
              <w:rPr>
                <w:b/>
                <w:sz w:val="14"/>
              </w:rPr>
              <w:t xml:space="preserve">• </w:t>
            </w:r>
            <w:r>
              <w:rPr>
                <w:b/>
                <w:sz w:val="14"/>
              </w:rPr>
              <w:t>GALERIE VIDÉOS</w:t>
            </w:r>
          </w:p>
          <w:p>
            <w:pPr>
              <w:pStyle w:val="Normal"/>
              <w:spacing w:before="0" w:after="0"/>
              <w:ind w:start="272"/>
              <w:rPr/>
            </w:pPr>
            <w:r>
              <w:rPr>
                <w:sz w:val="13"/>
              </w:rPr>
              <w:t xml:space="preserve">– </w:t>
            </w:r>
            <w:r>
              <w:rPr>
                <w:sz w:val="13"/>
              </w:rPr>
              <w:t>École</w:t>
            </w:r>
          </w:p>
          <w:p>
            <w:pPr>
              <w:pStyle w:val="Normal"/>
              <w:spacing w:before="0" w:after="0"/>
              <w:ind w:start="272"/>
              <w:rPr/>
            </w:pPr>
            <w:r>
              <w:rPr>
                <w:sz w:val="13"/>
              </w:rPr>
              <w:t xml:space="preserve">– </w:t>
            </w:r>
            <w:r>
              <w:rPr>
                <w:sz w:val="13"/>
              </w:rPr>
              <w:t>Classes</w:t>
            </w:r>
          </w:p>
          <w:p>
            <w:pPr>
              <w:pStyle w:val="Normal"/>
              <w:spacing w:before="0" w:after="0"/>
              <w:ind w:start="272"/>
              <w:rPr/>
            </w:pPr>
            <w:r>
              <w:rPr>
                <w:sz w:val="13"/>
              </w:rPr>
              <w:t xml:space="preserve">– </w:t>
            </w:r>
            <w:r>
              <w:rPr>
                <w:sz w:val="13"/>
              </w:rPr>
              <w:t>Activités</w:t>
            </w:r>
          </w:p>
          <w:p>
            <w:pPr>
              <w:pStyle w:val="Normal"/>
              <w:spacing w:before="0" w:after="0"/>
              <w:ind w:start="272"/>
              <w:rPr/>
            </w:pPr>
            <w:r>
              <w:rPr>
                <w:sz w:val="13"/>
              </w:rPr>
              <w:t xml:space="preserve">– </w:t>
            </w:r>
            <w:r>
              <w:rPr>
                <w:sz w:val="13"/>
              </w:rPr>
              <w:t>Spectacles</w:t>
            </w:r>
          </w:p>
          <w:p>
            <w:pPr>
              <w:pStyle w:val="Normal"/>
              <w:spacing w:before="0" w:after="0"/>
              <w:ind w:start="272"/>
              <w:rPr/>
            </w:pPr>
            <w:r>
              <w:rPr>
                <w:sz w:val="13"/>
              </w:rPr>
              <w:t xml:space="preserve">– </w:t>
            </w:r>
            <w:r>
              <w:rPr>
                <w:sz w:val="13"/>
              </w:rPr>
              <w:t>Journées culturelles</w:t>
            </w:r>
          </w:p>
        </w:tc>
        <w:tc>
          <w:tcPr>
            <w:tcW w:w="3090" w:type="dxa"/>
            <w:tcBorders>
              <w:top w:val="single" w:sz="4" w:space="0" w:color="D9E2F2"/>
              <w:start w:val="single" w:sz="4" w:space="0" w:color="D9E2F2"/>
              <w:bottom w:val="single" w:sz="4" w:space="0" w:color="D9E2F2"/>
              <w:end w:val="single" w:sz="4" w:space="0" w:color="D9E2F2"/>
            </w:tcBorders>
          </w:tcPr>
          <w:p>
            <w:pPr>
              <w:pStyle w:val="Normal"/>
              <w:spacing w:before="20" w:after="0"/>
              <w:rPr/>
            </w:pPr>
            <w:r>
              <w:rPr>
                <w:b/>
                <w:color w:val="082A63"/>
                <w:sz w:val="16"/>
              </w:rPr>
              <w:t>7. ACTUALITÉS</w:t>
            </w:r>
          </w:p>
          <w:p>
            <w:pPr>
              <w:pStyle w:val="Normal"/>
              <w:spacing w:before="0" w:after="0"/>
              <w:ind w:start="113"/>
              <w:rPr/>
            </w:pPr>
            <w:r>
              <w:rPr>
                <w:sz w:val="14"/>
              </w:rPr>
              <w:t xml:space="preserve">• </w:t>
            </w:r>
            <w:r>
              <w:rPr>
                <w:sz w:val="14"/>
              </w:rPr>
              <w:t>ACTUALITÉS DE L’ÉCOLE</w:t>
            </w:r>
          </w:p>
          <w:p>
            <w:pPr>
              <w:pStyle w:val="Normal"/>
              <w:spacing w:before="0" w:after="0"/>
              <w:ind w:start="113"/>
              <w:rPr/>
            </w:pPr>
            <w:r>
              <w:rPr>
                <w:sz w:val="14"/>
              </w:rPr>
              <w:t xml:space="preserve">• </w:t>
            </w:r>
            <w:r>
              <w:rPr>
                <w:sz w:val="14"/>
              </w:rPr>
              <w:t>AUTRES ACTUALITÉS</w:t>
            </w:r>
          </w:p>
          <w:p>
            <w:pPr>
              <w:pStyle w:val="Normal"/>
              <w:spacing w:before="20" w:after="0"/>
              <w:rPr/>
            </w:pPr>
            <w:r>
              <w:rPr>
                <w:b/>
                <w:color w:val="082A63"/>
                <w:sz w:val="16"/>
              </w:rPr>
              <w:t>8. NOS PARTENARIATS</w:t>
            </w:r>
          </w:p>
          <w:p>
            <w:pPr>
              <w:pStyle w:val="Normal"/>
              <w:spacing w:before="0" w:after="0"/>
              <w:ind w:start="113"/>
              <w:rPr/>
            </w:pPr>
            <w:r>
              <w:rPr>
                <w:sz w:val="14"/>
              </w:rPr>
              <w:t xml:space="preserve">• </w:t>
            </w:r>
            <w:r>
              <w:rPr>
                <w:sz w:val="14"/>
              </w:rPr>
              <w:t>PARTENAIRES ACADÉMIQUES</w:t>
            </w:r>
          </w:p>
          <w:p>
            <w:pPr>
              <w:pStyle w:val="Normal"/>
              <w:spacing w:before="0" w:after="0"/>
              <w:ind w:start="113"/>
              <w:rPr/>
            </w:pPr>
            <w:r>
              <w:rPr>
                <w:sz w:val="14"/>
              </w:rPr>
              <w:t xml:space="preserve">• </w:t>
            </w:r>
            <w:r>
              <w:rPr>
                <w:sz w:val="14"/>
              </w:rPr>
              <w:t>PARTENAIRES CULTURELS</w:t>
            </w:r>
          </w:p>
          <w:p>
            <w:pPr>
              <w:pStyle w:val="Normal"/>
              <w:spacing w:before="0" w:after="0"/>
              <w:ind w:start="113"/>
              <w:rPr/>
            </w:pPr>
            <w:r>
              <w:rPr>
                <w:sz w:val="14"/>
              </w:rPr>
              <w:t xml:space="preserve">• </w:t>
            </w:r>
            <w:r>
              <w:rPr>
                <w:sz w:val="14"/>
              </w:rPr>
              <w:t>PARTENAIRES INTERNATIONAUX</w:t>
            </w:r>
          </w:p>
          <w:p>
            <w:pPr>
              <w:pStyle w:val="Normal"/>
              <w:spacing w:before="0" w:after="0"/>
              <w:ind w:start="113"/>
              <w:rPr/>
            </w:pPr>
            <w:r>
              <w:rPr>
                <w:sz w:val="14"/>
              </w:rPr>
              <w:t xml:space="preserve">• </w:t>
            </w:r>
            <w:r>
              <w:rPr>
                <w:sz w:val="14"/>
              </w:rPr>
              <w:t>PARTENAIRES CHRÉTIENS</w:t>
            </w:r>
          </w:p>
          <w:p>
            <w:pPr>
              <w:pStyle w:val="Normal"/>
              <w:spacing w:before="0" w:after="0"/>
              <w:ind w:start="113"/>
              <w:rPr/>
            </w:pPr>
            <w:r>
              <w:rPr>
                <w:sz w:val="14"/>
              </w:rPr>
              <w:t xml:space="preserve">• </w:t>
            </w:r>
            <w:r>
              <w:rPr>
                <w:sz w:val="14"/>
              </w:rPr>
              <w:t>PARTENAIRES STRATÉGIQUES</w:t>
            </w:r>
          </w:p>
          <w:p>
            <w:pPr>
              <w:pStyle w:val="Normal"/>
              <w:spacing w:before="20" w:after="0"/>
              <w:rPr/>
            </w:pPr>
            <w:r>
              <w:rPr>
                <w:b/>
                <w:color w:val="082A63"/>
                <w:sz w:val="16"/>
              </w:rPr>
              <w:t>9. CONTACT</w:t>
            </w:r>
          </w:p>
          <w:p>
            <w:pPr>
              <w:pStyle w:val="Normal"/>
              <w:spacing w:before="20" w:after="0"/>
              <w:rPr/>
            </w:pPr>
            <w:r>
              <w:rPr>
                <w:b/>
                <w:color w:val="082A63"/>
                <w:sz w:val="16"/>
              </w:rPr>
              <w:t>10. ESPACE PARENTS</w:t>
            </w:r>
          </w:p>
          <w:p>
            <w:pPr>
              <w:pStyle w:val="Normal"/>
              <w:spacing w:before="0" w:after="0"/>
              <w:ind w:start="113"/>
              <w:rPr/>
            </w:pPr>
            <w:r>
              <w:rPr>
                <w:sz w:val="14"/>
              </w:rPr>
              <w:t xml:space="preserve">• </w:t>
            </w:r>
            <w:r>
              <w:rPr>
                <w:sz w:val="14"/>
              </w:rPr>
              <w:t>FAQ</w:t>
            </w:r>
          </w:p>
          <w:p>
            <w:pPr>
              <w:pStyle w:val="Normal"/>
              <w:spacing w:before="20" w:after="0"/>
              <w:rPr/>
            </w:pPr>
            <w:r>
              <w:rPr>
                <w:b/>
                <w:color w:val="082A63"/>
                <w:sz w:val="16"/>
              </w:rPr>
              <w:t>11. SE CONNECTER</w:t>
            </w:r>
          </w:p>
        </w:tc>
      </w:tr>
    </w:tbl>
    <w:p>
      <w:pPr>
        <w:pStyle w:val="Normal"/>
        <w:rPr/>
      </w:pPr>
      <w:r>
        <w:rPr/>
      </w:r>
    </w:p>
    <w:p>
      <w:pPr>
        <w:pStyle w:val="Normal"/>
        <w:spacing w:before="100" w:after="120"/>
        <w:rPr/>
      </w:pPr>
      <w:r>
        <w:rPr>
          <w:b/>
          <w:color w:val="082A63"/>
        </w:rPr>
        <w:t xml:space="preserve">Observation de structure : </w:t>
      </w:r>
      <w:r>
        <w:rPr/>
        <w:t>dans l’extraction publique de la page, le bloc de navigation apparaît une seconde fois après le troisième visuel. Le contenu est identique ; il n’est donc pas retranscrit deux fois dans ce document.</w:t>
      </w:r>
    </w:p>
    <w:p>
      <w:pPr>
        <w:pStyle w:val="Normal"/>
        <w:rPr/>
      </w:pPr>
      <w:r>
        <w:rPr/>
      </w:r>
      <w:r>
        <w:br w:type="page"/>
      </w:r>
    </w:p>
    <w:p>
      <w:pPr>
        <w:pStyle w:val="Heading1"/>
        <w:keepNext w:val="true"/>
        <w:spacing w:before="0" w:after="100"/>
        <w:rPr/>
      </w:pPr>
      <w:r>
        <w:rPr/>
        <w:t>4. Premier visuel institutionnel : pourquoi choisir l’école ?</w:t>
      </w:r>
    </w:p>
    <w:p>
      <w:pPr>
        <w:pStyle w:val="Normal"/>
        <w:jc w:val="center"/>
        <w:rPr/>
      </w:pPr>
      <w:r>
        <w:rPr>
          <w:b/>
          <w:color w:val="082A63"/>
          <w:sz w:val="28"/>
        </w:rPr>
        <w:t>POURQUOI CHOISIR LE GROUPE SCOLAIRE LES ÉMINENTS ?</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Message introductif</w:t>
            </w:r>
          </w:p>
          <w:p>
            <w:pPr>
              <w:pStyle w:val="Normal"/>
              <w:spacing w:lineRule="auto" w:line="264" w:before="0" w:after="0"/>
              <w:rPr/>
            </w:pPr>
            <w:r>
              <w:rPr/>
              <w:t>Le Groupe Scolaire LES ÉMINENTS offre un environnement d’apprentissage sécurisé, bilingue et chrétien, où chaque enfant est accompagné vers l’excellence académique, le leadership, l’innovation et l’épanouissement personnel.</w:t>
            </w:r>
          </w:p>
        </w:tc>
      </w:tr>
    </w:tbl>
    <w:p>
      <w:pPr>
        <w:pStyle w:val="Normal"/>
        <w:jc w:val="center"/>
        <w:rPr/>
      </w:pPr>
      <w:r>
        <w:rPr/>
        <w:drawing>
          <wp:inline distT="0" distB="0" distL="0" distR="0">
            <wp:extent cx="5615940" cy="3159125"/>
            <wp:effectExtent l="0" t="0" r="0" b="0"/>
            <wp:docPr id="9"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title=""/>
                    <pic:cNvPicPr>
                      <a:picLocks noChangeAspect="1" noChangeArrowheads="1"/>
                    </pic:cNvPicPr>
                  </pic:nvPicPr>
                  <pic:blipFill>
                    <a:blip r:embed="rId11"/>
                    <a:stretch>
                      <a:fillRect/>
                    </a:stretch>
                  </pic:blipFill>
                  <pic:spPr bwMode="auto">
                    <a:xfrm>
                      <a:off x="0" y="0"/>
                      <a:ext cx="5615940" cy="3159125"/>
                    </a:xfrm>
                    <a:prstGeom prst="rect">
                      <a:avLst/>
                    </a:prstGeom>
                    <a:noFill/>
                  </pic:spPr>
                </pic:pic>
              </a:graphicData>
            </a:graphic>
          </wp:inline>
        </w:drawing>
      </w:r>
    </w:p>
    <w:p>
      <w:pPr>
        <w:pStyle w:val="CaptionGSE"/>
        <w:rPr/>
      </w:pPr>
      <w:r>
        <w:rPr/>
        <w:t>Visuel affiché sur la page d’accueil — fichier GSLE1 UltraHD 4K. Signature : GROUPE SCOLAIRE LES ÉMINENTS — EXCELLENCE • VALEURS • AVENIR.</w:t>
      </w:r>
    </w:p>
    <w:p>
      <w:pPr>
        <w:pStyle w:val="Heading2"/>
        <w:keepNext w:val="true"/>
        <w:rPr/>
      </w:pPr>
      <w:r>
        <w:rPr/>
        <w:t>4.1. Les six arguments développés</w:t>
      </w:r>
    </w:p>
    <w:tbl>
      <w:tblPr>
        <w:tblW w:w="9184" w:type="dxa"/>
        <w:jc w:val="center"/>
        <w:tblInd w:w="0" w:type="dxa"/>
        <w:tblLayout w:type="fixed"/>
        <w:tblCellMar>
          <w:top w:w="130" w:type="dxa"/>
          <w:start w:w="160" w:type="dxa"/>
          <w:bottom w:w="130" w:type="dxa"/>
          <w:end w:w="160" w:type="dxa"/>
        </w:tblCellMar>
        <w:tblLook w:val="04a0" w:noHBand="0" w:noVBand="1" w:firstColumn="1" w:lastRow="0" w:lastColumn="0" w:firstRow="1"/>
      </w:tblPr>
      <w:tblGrid>
        <w:gridCol w:w="4592"/>
        <w:gridCol w:w="4591"/>
      </w:tblGrid>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Excellence académique</w:t>
            </w:r>
          </w:p>
          <w:p>
            <w:pPr>
              <w:pStyle w:val="Normal"/>
              <w:spacing w:lineRule="auto" w:line="259" w:before="0" w:after="0"/>
              <w:rPr/>
            </w:pPr>
            <w:r>
              <w:rPr>
                <w:sz w:val="19"/>
              </w:rPr>
              <w:t>Un enseignement rigoureux favorisant la réussite et le développement du potentiel de chaque élève.</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Bilinguisme</w:t>
            </w:r>
          </w:p>
          <w:p>
            <w:pPr>
              <w:pStyle w:val="Normal"/>
              <w:spacing w:lineRule="auto" w:line="259" w:before="0" w:after="0"/>
              <w:rPr/>
            </w:pPr>
            <w:r>
              <w:rPr>
                <w:sz w:val="19"/>
              </w:rPr>
              <w:t>Un programme bilingue permettant aux élèves de maîtriser le français et l’anglais.</w:t>
            </w:r>
          </w:p>
        </w:tc>
      </w:tr>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Valeurs chrétiennes</w:t>
            </w:r>
          </w:p>
          <w:p>
            <w:pPr>
              <w:pStyle w:val="Normal"/>
              <w:spacing w:lineRule="auto" w:line="259" w:before="0" w:after="0"/>
              <w:rPr/>
            </w:pPr>
            <w:r>
              <w:rPr>
                <w:sz w:val="19"/>
              </w:rPr>
              <w:t>Une formation fondée sur la foi, l’intégrité, la discipline et le respect.</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Innovation pédagogique</w:t>
            </w:r>
          </w:p>
          <w:p>
            <w:pPr>
              <w:pStyle w:val="Normal"/>
              <w:spacing w:lineRule="auto" w:line="259" w:before="0" w:after="0"/>
              <w:rPr/>
            </w:pPr>
            <w:r>
              <w:rPr>
                <w:sz w:val="19"/>
              </w:rPr>
              <w:t>Des méthodes modernes et des technologies éducatives au service de la réussite.</w:t>
            </w:r>
          </w:p>
        </w:tc>
      </w:tr>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Encadrement personnalisé</w:t>
            </w:r>
          </w:p>
          <w:p>
            <w:pPr>
              <w:pStyle w:val="Normal"/>
              <w:spacing w:lineRule="auto" w:line="259" w:before="0" w:after="0"/>
              <w:rPr/>
            </w:pPr>
            <w:r>
              <w:rPr>
                <w:sz w:val="19"/>
              </w:rPr>
              <w:t>Chaque élève bénéficie d’un suivi attentif favorisant sa réussite et son épanouissement.</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Ouverture internationale</w:t>
            </w:r>
          </w:p>
          <w:p>
            <w:pPr>
              <w:pStyle w:val="Normal"/>
              <w:spacing w:lineRule="auto" w:line="259" w:before="0" w:after="0"/>
              <w:rPr/>
            </w:pPr>
            <w:r>
              <w:rPr>
                <w:sz w:val="19"/>
              </w:rPr>
              <w:t>Une formation préparant les élèves à évoluer dans un monde globalisé et multiculturel.</w:t>
            </w:r>
          </w:p>
        </w:tc>
      </w:tr>
    </w:tbl>
    <w:p>
      <w:pPr>
        <w:pStyle w:val="Normal"/>
        <w:rPr/>
      </w:pPr>
      <w:r>
        <w:rPr/>
      </w:r>
    </w:p>
    <w:p>
      <w:pPr>
        <w:pStyle w:val="Normal"/>
        <w:rPr/>
      </w:pPr>
      <w:r>
        <w:rPr/>
      </w:r>
      <w:r>
        <w:br w:type="page"/>
      </w:r>
    </w:p>
    <w:p>
      <w:pPr>
        <w:pStyle w:val="Heading1"/>
        <w:keepNext w:val="true"/>
        <w:spacing w:before="0" w:after="100"/>
        <w:rPr/>
      </w:pPr>
      <w:r>
        <w:rPr/>
        <w:t>5. Deuxième visuel institutionnel : les programmes scolaires</w:t>
      </w:r>
    </w:p>
    <w:p>
      <w:pPr>
        <w:pStyle w:val="Normal"/>
        <w:jc w:val="center"/>
        <w:rPr/>
      </w:pPr>
      <w:r>
        <w:rPr>
          <w:b/>
          <w:color w:val="082A63"/>
          <w:sz w:val="30"/>
        </w:rPr>
        <w:t>NOS PROGRAMMES SCOLAIRES</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Message introductif</w:t>
            </w:r>
          </w:p>
          <w:p>
            <w:pPr>
              <w:pStyle w:val="Normal"/>
              <w:spacing w:lineRule="auto" w:line="264" w:before="0" w:after="0"/>
              <w:rPr/>
            </w:pPr>
            <w:r>
              <w:rPr/>
              <w:t>De la maternelle au secondaire, le Groupe Scolaire LES ÉMINENTS accompagne chaque élève dans un parcours éducatif d’excellence, alliant rigueur académique, valeurs humaines et ouverture sur le monde.</w:t>
            </w:r>
          </w:p>
        </w:tc>
      </w:tr>
    </w:tbl>
    <w:p>
      <w:pPr>
        <w:pStyle w:val="Normal"/>
        <w:jc w:val="center"/>
        <w:rPr/>
      </w:pPr>
      <w:r>
        <w:rPr/>
        <w:drawing>
          <wp:inline distT="0" distB="0" distL="0" distR="0">
            <wp:extent cx="5615940" cy="3159125"/>
            <wp:effectExtent l="0" t="0" r="0" b="0"/>
            <wp:docPr id="10"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title=""/>
                    <pic:cNvPicPr>
                      <a:picLocks noChangeAspect="1" noChangeArrowheads="1"/>
                    </pic:cNvPicPr>
                  </pic:nvPicPr>
                  <pic:blipFill>
                    <a:blip r:embed="rId12"/>
                    <a:stretch>
                      <a:fillRect/>
                    </a:stretch>
                  </pic:blipFill>
                  <pic:spPr bwMode="auto">
                    <a:xfrm>
                      <a:off x="0" y="0"/>
                      <a:ext cx="5615940" cy="3159125"/>
                    </a:xfrm>
                    <a:prstGeom prst="rect">
                      <a:avLst/>
                    </a:prstGeom>
                    <a:noFill/>
                  </pic:spPr>
                </pic:pic>
              </a:graphicData>
            </a:graphic>
          </wp:inline>
        </w:drawing>
      </w:r>
    </w:p>
    <w:p>
      <w:pPr>
        <w:pStyle w:val="CaptionGSE"/>
        <w:rPr/>
      </w:pPr>
      <w:r>
        <w:rPr/>
        <w:t>Visuel affiché sur la page d’accueil — fichier GSLE2 UltraHD 4K. Signature : GROUPE SCOLAIRE LES ÉMINENTS — EXCELLENCE • VALEURS • AVENIR.</w:t>
      </w:r>
    </w:p>
    <w:p>
      <w:pPr>
        <w:pStyle w:val="Normal"/>
        <w:rPr/>
      </w:pPr>
      <w:r>
        <w:rPr/>
      </w:r>
      <w:r>
        <w:br w:type="page"/>
      </w:r>
    </w:p>
    <w:p>
      <w:pPr>
        <w:pStyle w:val="Heading2"/>
        <w:keepNext w:val="true"/>
        <w:spacing w:before="0" w:after="100"/>
        <w:rPr/>
      </w:pPr>
      <w:r>
        <w:rPr/>
        <w:t>5.1. Niveaux et programmes présentés</w:t>
      </w:r>
    </w:p>
    <w:tbl>
      <w:tblPr>
        <w:tblStyle w:val="TableGrid"/>
        <w:tblW w:w="1020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00"/>
        <w:gridCol w:w="3400"/>
        <w:gridCol w:w="3400"/>
      </w:tblGrid>
      <w:tr>
        <w:trPr>
          <w:tblHeader w:val="true"/>
        </w:trPr>
        <w:tc>
          <w:tcPr>
            <w:tcW w:w="3400" w:type="dxa"/>
            <w:tcBorders/>
            <w:shd w:fill="0B3D91"/>
          </w:tcPr>
          <w:p>
            <w:pPr>
              <w:pStyle w:val="Normal"/>
              <w:spacing w:before="0" w:after="80"/>
              <w:rPr>
                <w:rFonts w:cs=""/>
                <w:kern w:val="0"/>
                <w:szCs w:val="22"/>
                <w:lang w:val="en-US" w:eastAsia="en-US" w:bidi="ar-SA"/>
              </w:rPr>
            </w:pPr>
            <w:r>
              <w:rPr>
                <w:rFonts w:cs=""/>
                <w:b/>
                <w:color w:val="FFFFFF"/>
                <w:kern w:val="0"/>
                <w:szCs w:val="22"/>
                <w:lang w:val="en-US" w:eastAsia="en-US" w:bidi="ar-SA"/>
              </w:rPr>
              <w:t>Niveau / programme</w:t>
            </w:r>
          </w:p>
        </w:tc>
        <w:tc>
          <w:tcPr>
            <w:tcW w:w="3400" w:type="dxa"/>
            <w:tcBorders/>
            <w:shd w:fill="0B3D91"/>
          </w:tcPr>
          <w:p>
            <w:pPr>
              <w:pStyle w:val="Normal"/>
              <w:spacing w:before="0" w:after="80"/>
              <w:rPr>
                <w:rFonts w:cs=""/>
                <w:kern w:val="0"/>
                <w:szCs w:val="22"/>
                <w:lang w:val="en-US" w:eastAsia="en-US" w:bidi="ar-SA"/>
              </w:rPr>
            </w:pPr>
            <w:r>
              <w:rPr>
                <w:rFonts w:cs=""/>
                <w:b/>
                <w:color w:val="FFFFFF"/>
                <w:kern w:val="0"/>
                <w:szCs w:val="22"/>
                <w:lang w:val="en-US" w:eastAsia="en-US" w:bidi="ar-SA"/>
              </w:rPr>
              <w:t>Promesse</w:t>
            </w:r>
          </w:p>
        </w:tc>
        <w:tc>
          <w:tcPr>
            <w:tcW w:w="3400" w:type="dxa"/>
            <w:tcBorders/>
            <w:shd w:fill="0B3D91"/>
          </w:tcPr>
          <w:p>
            <w:pPr>
              <w:pStyle w:val="Normal"/>
              <w:spacing w:before="0" w:after="80"/>
              <w:rPr>
                <w:rFonts w:cs=""/>
                <w:kern w:val="0"/>
                <w:szCs w:val="22"/>
                <w:lang w:val="en-US" w:eastAsia="en-US" w:bidi="ar-SA"/>
              </w:rPr>
            </w:pPr>
            <w:r>
              <w:rPr>
                <w:rFonts w:cs=""/>
                <w:b/>
                <w:color w:val="FFFFFF"/>
                <w:kern w:val="0"/>
                <w:szCs w:val="22"/>
                <w:lang w:val="en-US" w:eastAsia="en-US" w:bidi="ar-SA"/>
              </w:rPr>
              <w:t>Développement affiché</w:t>
            </w:r>
          </w:p>
        </w:tc>
      </w:tr>
      <w:tr>
        <w:trPr/>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82A63"/>
                <w:kern w:val="0"/>
                <w:szCs w:val="22"/>
                <w:lang w:val="en-US" w:eastAsia="en-US" w:bidi="ar-SA"/>
              </w:rPr>
              <w:t>MATERNELLE</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Éveil, découverte et socialisation</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Développer la créativité, l’autonomie et les premières compétences de l’enfant dans un environnement sécurisant.</w:t>
            </w:r>
          </w:p>
        </w:tc>
      </w:tr>
      <w:tr>
        <w:trPr/>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82A63"/>
                <w:kern w:val="0"/>
                <w:szCs w:val="22"/>
                <w:lang w:val="en-US" w:eastAsia="en-US" w:bidi="ar-SA"/>
              </w:rPr>
              <w:t>PRIMAIRE</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Les fondations de la réussite</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Acquisition des connaissances fondamentales, développement de l’esprit critique et goût de l’apprentissage.</w:t>
            </w:r>
          </w:p>
        </w:tc>
      </w:tr>
      <w:tr>
        <w:trPr/>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82A63"/>
                <w:kern w:val="0"/>
                <w:szCs w:val="22"/>
                <w:lang w:val="en-US" w:eastAsia="en-US" w:bidi="ar-SA"/>
              </w:rPr>
              <w:t>SECONDAIRE (PLUTARD)</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Excellence et préparation à l’avenir</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Une formation solide préparant les élèves aux études supérieures et aux défis du monde moderne.</w:t>
            </w:r>
          </w:p>
        </w:tc>
      </w:tr>
      <w:tr>
        <w:trPr/>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82A63"/>
                <w:kern w:val="0"/>
                <w:szCs w:val="22"/>
                <w:lang w:val="en-US" w:eastAsia="en-US" w:bidi="ar-SA"/>
              </w:rPr>
              <w:t>SECTION BILINGUE</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Maîtriser le français et l’anglais</w:t>
            </w:r>
          </w:p>
        </w:tc>
        <w:tc>
          <w:tcPr>
            <w:tcW w:w="34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Un enseignement favorisant la communication internationale et l’ouverture aux opportunités mondiales.</w:t>
            </w:r>
          </w:p>
        </w:tc>
      </w:tr>
    </w:tbl>
    <w:p>
      <w:pPr>
        <w:pStyle w:val="Heading2"/>
        <w:keepNext w:val="true"/>
        <w:rPr/>
      </w:pPr>
      <w:r>
        <w:rPr/>
        <w:t>5.2. Bloc de redirection vers les programmes</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Texte d’accompagnement</w:t>
            </w:r>
          </w:p>
          <w:p>
            <w:pPr>
              <w:pStyle w:val="Normal"/>
              <w:spacing w:lineRule="auto" w:line="264" w:before="0" w:after="0"/>
              <w:rPr/>
            </w:pPr>
            <w:r>
              <w:rPr/>
              <w:t>Découvrez en détail nos programmes, nos méthodes pédagogiques et les opportunités offertes à chaque niveau d’enseignement.</w:t>
            </w:r>
          </w:p>
        </w:tc>
      </w:tr>
      <w:tr>
        <w:trPr/>
        <w:tc>
          <w:tcPr>
            <w:tcW w:w="10200" w:type="dxa"/>
            <w:tcBorders>
              <w:top w:val="single" w:sz="10" w:space="0" w:color="D4A017"/>
              <w:start w:val="single" w:sz="10" w:space="0" w:color="D4A017"/>
              <w:bottom w:val="single" w:sz="10" w:space="0" w:color="D4A017"/>
              <w:end w:val="single" w:sz="10" w:space="0" w:color="D4A017"/>
            </w:tcBorders>
            <w:shd w:fill="FFF7DF"/>
          </w:tcPr>
          <w:p>
            <w:pPr>
              <w:pStyle w:val="Normal"/>
              <w:spacing w:before="0" w:after="80"/>
              <w:rPr/>
            </w:pPr>
            <w:r>
              <w:rPr>
                <w:b/>
                <w:color w:val="082A63"/>
                <w:sz w:val="22"/>
              </w:rPr>
              <w:t>Bouton</w:t>
            </w:r>
          </w:p>
          <w:p>
            <w:pPr>
              <w:pStyle w:val="Normal"/>
              <w:spacing w:lineRule="auto" w:line="264" w:before="0" w:after="0"/>
              <w:rPr/>
            </w:pPr>
            <w:r>
              <w:rPr/>
              <w:t>Découvrir tous nos programmes</w:t>
            </w:r>
          </w:p>
        </w:tc>
      </w:tr>
    </w:tbl>
    <w:p>
      <w:pPr>
        <w:pStyle w:val="Normal"/>
        <w:rPr/>
      </w:pPr>
      <w:r>
        <w:rPr/>
      </w:r>
      <w:r>
        <w:br w:type="page"/>
      </w:r>
    </w:p>
    <w:p>
      <w:pPr>
        <w:pStyle w:val="Heading1"/>
        <w:keepNext w:val="true"/>
        <w:spacing w:before="0" w:after="100"/>
        <w:rPr/>
      </w:pPr>
      <w:r>
        <w:rPr/>
        <w:t>6. Troisième visuel institutionnel : confiance des parents</w:t>
      </w:r>
    </w:p>
    <w:p>
      <w:pPr>
        <w:pStyle w:val="Normal"/>
        <w:jc w:val="center"/>
        <w:rPr/>
      </w:pPr>
      <w:r>
        <w:rPr>
          <w:b/>
          <w:color w:val="082A63"/>
          <w:sz w:val="30"/>
        </w:rPr>
        <w:t>POURQUOI LES PARENTS NOUS FONT CONFIANCE</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Message introductif</w:t>
            </w:r>
          </w:p>
          <w:p>
            <w:pPr>
              <w:pStyle w:val="Normal"/>
              <w:spacing w:lineRule="auto" w:line="264" w:before="0" w:after="0"/>
              <w:rPr/>
            </w:pPr>
            <w:r>
              <w:rPr/>
              <w:t>Le Groupe Scolaire LES ÉMINENTS offre un environnement d’apprentissage sécurisé, exigeant et bienveillant où chaque enfant est accompagné vers l’excellence académique et l’épanouissement personnel.</w:t>
            </w:r>
          </w:p>
        </w:tc>
      </w:tr>
    </w:tbl>
    <w:p>
      <w:pPr>
        <w:pStyle w:val="Normal"/>
        <w:jc w:val="center"/>
        <w:rPr/>
      </w:pPr>
      <w:r>
        <w:rPr/>
        <w:drawing>
          <wp:inline distT="0" distB="0" distL="0" distR="0">
            <wp:extent cx="5615940" cy="3159125"/>
            <wp:effectExtent l="0" t="0" r="0" b="0"/>
            <wp:docPr id="11"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title=""/>
                    <pic:cNvPicPr>
                      <a:picLocks noChangeAspect="1" noChangeArrowheads="1"/>
                    </pic:cNvPicPr>
                  </pic:nvPicPr>
                  <pic:blipFill>
                    <a:blip r:embed="rId13"/>
                    <a:stretch>
                      <a:fillRect/>
                    </a:stretch>
                  </pic:blipFill>
                  <pic:spPr bwMode="auto">
                    <a:xfrm>
                      <a:off x="0" y="0"/>
                      <a:ext cx="5615940" cy="3159125"/>
                    </a:xfrm>
                    <a:prstGeom prst="rect">
                      <a:avLst/>
                    </a:prstGeom>
                    <a:noFill/>
                  </pic:spPr>
                </pic:pic>
              </a:graphicData>
            </a:graphic>
          </wp:inline>
        </w:drawing>
      </w:r>
    </w:p>
    <w:p>
      <w:pPr>
        <w:pStyle w:val="CaptionGSE"/>
        <w:rPr/>
      </w:pPr>
      <w:r>
        <w:rPr/>
        <w:t>Visuel affiché sur la page d’accueil — fichier GSLE3 UltraHD 4K. Signature : GROUPE SCOLAIRE LES ÉMINENTS — EXCELLENCE • VALEURS • AVENIR.</w:t>
      </w:r>
    </w:p>
    <w:p>
      <w:pPr>
        <w:pStyle w:val="Heading2"/>
        <w:keepNext w:val="true"/>
        <w:rPr/>
      </w:pPr>
      <w:r>
        <w:rPr/>
        <w:t>6.1. Les six raisons de confiance développées</w:t>
      </w:r>
    </w:p>
    <w:tbl>
      <w:tblPr>
        <w:tblW w:w="9184" w:type="dxa"/>
        <w:jc w:val="center"/>
        <w:tblInd w:w="0" w:type="dxa"/>
        <w:tblLayout w:type="fixed"/>
        <w:tblCellMar>
          <w:top w:w="130" w:type="dxa"/>
          <w:start w:w="160" w:type="dxa"/>
          <w:bottom w:w="130" w:type="dxa"/>
          <w:end w:w="160" w:type="dxa"/>
        </w:tblCellMar>
        <w:tblLook w:val="04a0" w:noHBand="0" w:noVBand="1" w:firstColumn="1" w:lastRow="0" w:lastColumn="0" w:firstRow="1"/>
      </w:tblPr>
      <w:tblGrid>
        <w:gridCol w:w="4592"/>
        <w:gridCol w:w="4591"/>
      </w:tblGrid>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Excellence académique</w:t>
            </w:r>
          </w:p>
          <w:p>
            <w:pPr>
              <w:pStyle w:val="Normal"/>
              <w:spacing w:lineRule="auto" w:line="259" w:before="0" w:after="0"/>
              <w:rPr/>
            </w:pPr>
            <w:r>
              <w:rPr>
                <w:sz w:val="19"/>
              </w:rPr>
              <w:t>Des résultats solides et un enseignement de qualité favorisant la réussite de chaque élève.</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Encadrement personnalisé</w:t>
            </w:r>
          </w:p>
          <w:p>
            <w:pPr>
              <w:pStyle w:val="Normal"/>
              <w:spacing w:lineRule="auto" w:line="259" w:before="0" w:after="0"/>
              <w:rPr/>
            </w:pPr>
            <w:r>
              <w:rPr>
                <w:sz w:val="19"/>
              </w:rPr>
              <w:t>Chaque enfant bénéficie d’un suivi attentif adapté à ses besoins et à son rythme d’apprentissage.</w:t>
            </w:r>
          </w:p>
        </w:tc>
      </w:tr>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Éducation bilingue</w:t>
            </w:r>
          </w:p>
          <w:p>
            <w:pPr>
              <w:pStyle w:val="Normal"/>
              <w:spacing w:lineRule="auto" w:line="259" w:before="0" w:after="0"/>
              <w:rPr/>
            </w:pPr>
            <w:r>
              <w:rPr>
                <w:sz w:val="19"/>
              </w:rPr>
              <w:t>Maîtrise progressive du français et de l’anglais pour préparer les élèves au monde moderne.</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Valeurs chrétiennes</w:t>
            </w:r>
          </w:p>
          <w:p>
            <w:pPr>
              <w:pStyle w:val="Normal"/>
              <w:spacing w:lineRule="auto" w:line="259" w:before="0" w:after="0"/>
              <w:rPr/>
            </w:pPr>
            <w:r>
              <w:rPr>
                <w:sz w:val="19"/>
              </w:rPr>
              <w:t>Une formation fondée sur la foi, l’intégrité, le respect et la responsabilité.</w:t>
            </w:r>
          </w:p>
        </w:tc>
      </w:tr>
      <w:tr>
        <w:trPr/>
        <w:tc>
          <w:tcPr>
            <w:tcW w:w="4592"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Sécurité et bien-être</w:t>
            </w:r>
          </w:p>
          <w:p>
            <w:pPr>
              <w:pStyle w:val="Normal"/>
              <w:spacing w:lineRule="auto" w:line="259" w:before="0" w:after="0"/>
              <w:rPr/>
            </w:pPr>
            <w:r>
              <w:rPr>
                <w:sz w:val="19"/>
              </w:rPr>
              <w:t>Un cadre sécurisé garantissant la protection et l’épanouissement de chaque enfant.</w:t>
            </w:r>
          </w:p>
        </w:tc>
        <w:tc>
          <w:tcPr>
            <w:tcW w:w="4591" w:type="dxa"/>
            <w:tcBorders>
              <w:top w:val="single" w:sz="8" w:space="0" w:color="D4A017"/>
              <w:start w:val="single" w:sz="8" w:space="0" w:color="D4A017"/>
              <w:bottom w:val="single" w:sz="8" w:space="0" w:color="D4A017"/>
              <w:end w:val="single" w:sz="8" w:space="0" w:color="D4A017"/>
            </w:tcBorders>
          </w:tcPr>
          <w:p>
            <w:pPr>
              <w:pStyle w:val="Normal"/>
              <w:spacing w:before="0" w:after="80"/>
              <w:rPr/>
            </w:pPr>
            <w:r>
              <w:rPr>
                <w:b/>
                <w:color w:val="0B3D91"/>
                <w:sz w:val="22"/>
              </w:rPr>
              <w:t>Innovation pédagogique</w:t>
            </w:r>
          </w:p>
          <w:p>
            <w:pPr>
              <w:pStyle w:val="Normal"/>
              <w:spacing w:lineRule="auto" w:line="259" w:before="0" w:after="0"/>
              <w:rPr/>
            </w:pPr>
            <w:r>
              <w:rPr>
                <w:sz w:val="19"/>
              </w:rPr>
              <w:t>Des méthodes modernes et des outils adaptés aux exigences éducatives actuelles.</w:t>
            </w:r>
          </w:p>
        </w:tc>
      </w:tr>
    </w:tbl>
    <w:p>
      <w:pPr>
        <w:pStyle w:val="Normal"/>
        <w:rPr/>
      </w:pPr>
      <w:r>
        <w:rPr/>
      </w:r>
    </w:p>
    <w:p>
      <w:pPr>
        <w:pStyle w:val="Normal"/>
        <w:rPr/>
      </w:pPr>
      <w:r>
        <w:rPr/>
      </w:r>
      <w:r>
        <w:br w:type="page"/>
      </w:r>
    </w:p>
    <w:p>
      <w:pPr>
        <w:pStyle w:val="Heading1"/>
        <w:keepNext w:val="true"/>
        <w:spacing w:before="0" w:after="100"/>
        <w:rPr/>
      </w:pPr>
      <w:r>
        <w:rPr/>
        <w:t>7. Pied de page actuellement affiché</w:t>
      </w:r>
    </w:p>
    <w:p>
      <w:pPr>
        <w:pStyle w:val="Heading2"/>
        <w:keepNext w:val="true"/>
        <w:rPr/>
      </w:pPr>
      <w:r>
        <w:rPr/>
        <w:t>7.1. Présentation institutionnelle en anglais</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0B3D91"/>
              <w:start w:val="single" w:sz="10" w:space="0" w:color="0B3D91"/>
              <w:bottom w:val="single" w:sz="10" w:space="0" w:color="0B3D91"/>
              <w:end w:val="single" w:sz="10" w:space="0" w:color="0B3D91"/>
            </w:tcBorders>
            <w:shd w:fill="EAF1FB"/>
          </w:tcPr>
          <w:p>
            <w:pPr>
              <w:pStyle w:val="Normal"/>
              <w:spacing w:before="0" w:after="80"/>
              <w:rPr/>
            </w:pPr>
            <w:r>
              <w:rPr>
                <w:b/>
                <w:color w:val="082A63"/>
                <w:sz w:val="22"/>
              </w:rPr>
              <w:t>Texte exact observé</w:t>
            </w:r>
          </w:p>
          <w:p>
            <w:pPr>
              <w:pStyle w:val="Normal"/>
              <w:spacing w:lineRule="auto" w:line="264" w:before="0" w:after="0"/>
              <w:rPr/>
            </w:pPr>
            <w:r>
              <w:rPr/>
              <w:t>“</w:t>
            </w:r>
            <w:r>
              <w:rPr/>
              <w:t>Dedicated to providing quality education and fostering holistic growth. We strive to create a supportive environment where every student learns and grows.”</w:t>
            </w:r>
          </w:p>
        </w:tc>
      </w:tr>
    </w:tbl>
    <w:p>
      <w:pPr>
        <w:pStyle w:val="Heading2"/>
        <w:keepNext w:val="true"/>
        <w:rPr/>
      </w:pPr>
      <w:r>
        <w:rPr/>
        <w:t>7.2. Rubrique « Useful Links »</w:t>
      </w:r>
    </w:p>
    <w:p>
      <w:pPr>
        <w:pStyle w:val="ListBullet"/>
        <w:numPr>
          <w:ilvl w:val="0"/>
          <w:numId w:val="1"/>
        </w:numPr>
        <w:spacing w:before="0" w:after="20"/>
        <w:contextualSpacing/>
        <w:rPr/>
      </w:pPr>
      <w:r>
        <w:rPr/>
        <w:t>ACCUEIL</w:t>
      </w:r>
    </w:p>
    <w:p>
      <w:pPr>
        <w:pStyle w:val="ListBullet"/>
        <w:numPr>
          <w:ilvl w:val="0"/>
          <w:numId w:val="1"/>
        </w:numPr>
        <w:spacing w:before="0" w:after="20"/>
        <w:contextualSpacing/>
        <w:rPr/>
      </w:pPr>
      <w:r>
        <w:rPr/>
        <w:t>À PROPOS DE NOUS</w:t>
      </w:r>
    </w:p>
    <w:p>
      <w:pPr>
        <w:pStyle w:val="ListBullet"/>
        <w:numPr>
          <w:ilvl w:val="0"/>
          <w:numId w:val="1"/>
        </w:numPr>
        <w:spacing w:before="0" w:after="20"/>
        <w:contextualSpacing/>
        <w:rPr/>
      </w:pPr>
      <w:r>
        <w:rPr/>
        <w:t>NOS PROGRAMMES SCOLAIRES</w:t>
      </w:r>
    </w:p>
    <w:p>
      <w:pPr>
        <w:pStyle w:val="ListBullet"/>
        <w:numPr>
          <w:ilvl w:val="0"/>
          <w:numId w:val="1"/>
        </w:numPr>
        <w:spacing w:before="0" w:after="20"/>
        <w:contextualSpacing/>
        <w:rPr/>
      </w:pPr>
      <w:r>
        <w:rPr/>
        <w:t>ADMISSIONS</w:t>
      </w:r>
    </w:p>
    <w:p>
      <w:pPr>
        <w:pStyle w:val="ListBullet"/>
        <w:numPr>
          <w:ilvl w:val="0"/>
          <w:numId w:val="1"/>
        </w:numPr>
        <w:spacing w:before="0" w:after="20"/>
        <w:contextualSpacing/>
        <w:rPr/>
      </w:pPr>
      <w:r>
        <w:rPr/>
        <w:t>VIE SCOLAIRE</w:t>
      </w:r>
    </w:p>
    <w:p>
      <w:pPr>
        <w:pStyle w:val="ListBullet"/>
        <w:numPr>
          <w:ilvl w:val="0"/>
          <w:numId w:val="1"/>
        </w:numPr>
        <w:spacing w:before="0" w:after="20"/>
        <w:contextualSpacing/>
        <w:rPr/>
      </w:pPr>
      <w:r>
        <w:rPr/>
        <w:t>GALERIE</w:t>
      </w:r>
    </w:p>
    <w:p>
      <w:pPr>
        <w:pStyle w:val="ListBullet"/>
        <w:numPr>
          <w:ilvl w:val="0"/>
          <w:numId w:val="1"/>
        </w:numPr>
        <w:spacing w:before="0" w:after="20"/>
        <w:contextualSpacing/>
        <w:rPr/>
      </w:pPr>
      <w:r>
        <w:rPr/>
        <w:t>ACTUALITÉS</w:t>
      </w:r>
    </w:p>
    <w:p>
      <w:pPr>
        <w:pStyle w:val="ListBullet"/>
        <w:numPr>
          <w:ilvl w:val="0"/>
          <w:numId w:val="1"/>
        </w:numPr>
        <w:spacing w:before="0" w:after="20"/>
        <w:contextualSpacing/>
        <w:rPr/>
      </w:pPr>
      <w:r>
        <w:rPr/>
        <w:t>NOS PARTENARIATS</w:t>
      </w:r>
    </w:p>
    <w:p>
      <w:pPr>
        <w:pStyle w:val="ListBullet"/>
        <w:numPr>
          <w:ilvl w:val="0"/>
          <w:numId w:val="1"/>
        </w:numPr>
        <w:spacing w:before="0" w:after="20"/>
        <w:contextualSpacing/>
        <w:rPr/>
      </w:pPr>
      <w:r>
        <w:rPr/>
        <w:t>CONTACT</w:t>
      </w:r>
    </w:p>
    <w:p>
      <w:pPr>
        <w:pStyle w:val="ListBullet"/>
        <w:numPr>
          <w:ilvl w:val="0"/>
          <w:numId w:val="1"/>
        </w:numPr>
        <w:spacing w:before="0" w:after="20"/>
        <w:contextualSpacing/>
        <w:rPr/>
      </w:pPr>
      <w:r>
        <w:rPr/>
        <w:t>ESPACE PARENTS</w:t>
      </w:r>
    </w:p>
    <w:p>
      <w:pPr>
        <w:pStyle w:val="ListBullet"/>
        <w:numPr>
          <w:ilvl w:val="0"/>
          <w:numId w:val="1"/>
        </w:numPr>
        <w:spacing w:before="0" w:after="20"/>
        <w:contextualSpacing/>
        <w:rPr/>
      </w:pPr>
      <w:r>
        <w:rPr/>
        <w:t>SE CONNECTER</w:t>
      </w:r>
    </w:p>
    <w:p>
      <w:pPr>
        <w:pStyle w:val="Heading2"/>
        <w:keepNext w:val="true"/>
        <w:rPr/>
      </w:pPr>
      <w:r>
        <w:rPr/>
        <w:t>7.3. Rubrique « Contact us »</w:t>
      </w:r>
    </w:p>
    <w:tbl>
      <w:tblPr>
        <w:tblStyle w:val="TableGrid"/>
        <w:tblW w:w="10200" w:type="dxa"/>
        <w:jc w:val="center"/>
        <w:tblInd w:w="0" w:type="dxa"/>
        <w:tblLayout w:type="fixed"/>
        <w:tblCellMar>
          <w:top w:w="90" w:type="dxa"/>
          <w:start w:w="100" w:type="dxa"/>
          <w:bottom w:w="90" w:type="dxa"/>
          <w:end w:w="100" w:type="dxa"/>
        </w:tblCellMar>
        <w:tblLook w:val="04a0" w:noHBand="0" w:noVBand="1" w:firstColumn="1" w:lastRow="0" w:lastColumn="0" w:firstRow="1"/>
      </w:tblPr>
      <w:tblGrid>
        <w:gridCol w:w="5100"/>
        <w:gridCol w:w="5099"/>
      </w:tblGrid>
      <w:tr>
        <w:trPr/>
        <w:tc>
          <w:tcPr>
            <w:tcW w:w="5100" w:type="dxa"/>
            <w:tcBorders/>
            <w:shd w:fill="EAF1FB"/>
          </w:tcPr>
          <w:p>
            <w:pPr>
              <w:pStyle w:val="Normal"/>
              <w:spacing w:before="0" w:after="80"/>
              <w:rPr>
                <w:rFonts w:cs=""/>
                <w:kern w:val="0"/>
                <w:szCs w:val="22"/>
                <w:lang w:val="en-US" w:eastAsia="en-US" w:bidi="ar-SA"/>
              </w:rPr>
            </w:pPr>
            <w:r>
              <w:rPr>
                <w:rFonts w:cs=""/>
                <w:b/>
                <w:kern w:val="0"/>
                <w:szCs w:val="22"/>
                <w:lang w:val="en-US" w:eastAsia="en-US" w:bidi="ar-SA"/>
              </w:rPr>
              <w:t>Intitulé</w:t>
            </w:r>
          </w:p>
        </w:tc>
        <w:tc>
          <w:tcPr>
            <w:tcW w:w="5099" w:type="dxa"/>
            <w:tcBorders/>
          </w:tcPr>
          <w:p>
            <w:pPr>
              <w:pStyle w:val="Normal"/>
              <w:spacing w:before="0" w:after="80"/>
              <w:rPr>
                <w:rFonts w:cs=""/>
                <w:kern w:val="0"/>
                <w:szCs w:val="22"/>
                <w:lang w:val="en-US" w:eastAsia="en-US" w:bidi="ar-SA"/>
              </w:rPr>
            </w:pPr>
            <w:r>
              <w:rPr>
                <w:rFonts w:cs=""/>
                <w:kern w:val="0"/>
                <w:szCs w:val="22"/>
                <w:lang w:val="en-US" w:eastAsia="en-US" w:bidi="ar-SA"/>
              </w:rPr>
              <w:t>Contact us</w:t>
            </w:r>
          </w:p>
        </w:tc>
      </w:tr>
      <w:tr>
        <w:trPr/>
        <w:tc>
          <w:tcPr>
            <w:tcW w:w="5100" w:type="dxa"/>
            <w:tcBorders/>
            <w:shd w:fill="EAF1FB"/>
          </w:tcPr>
          <w:p>
            <w:pPr>
              <w:pStyle w:val="Normal"/>
              <w:spacing w:before="0" w:after="80"/>
              <w:rPr>
                <w:rFonts w:cs=""/>
                <w:kern w:val="0"/>
                <w:szCs w:val="22"/>
                <w:lang w:val="en-US" w:eastAsia="en-US" w:bidi="ar-SA"/>
              </w:rPr>
            </w:pPr>
            <w:r>
              <w:rPr>
                <w:rFonts w:cs=""/>
                <w:b/>
                <w:kern w:val="0"/>
                <w:szCs w:val="22"/>
                <w:lang w:val="en-US" w:eastAsia="en-US" w:bidi="ar-SA"/>
              </w:rPr>
              <w:t>Adresse affichée</w:t>
            </w:r>
          </w:p>
        </w:tc>
        <w:tc>
          <w:tcPr>
            <w:tcW w:w="5099" w:type="dxa"/>
            <w:tcBorders/>
          </w:tcPr>
          <w:p>
            <w:pPr>
              <w:pStyle w:val="Normal"/>
              <w:spacing w:before="0" w:after="80"/>
              <w:rPr>
                <w:rFonts w:cs=""/>
                <w:kern w:val="0"/>
                <w:szCs w:val="22"/>
                <w:lang w:val="en-US" w:eastAsia="en-US" w:bidi="ar-SA"/>
              </w:rPr>
            </w:pPr>
            <w:r>
              <w:rPr>
                <w:rFonts w:cs=""/>
                <w:kern w:val="0"/>
                <w:szCs w:val="22"/>
                <w:lang w:val="en-US" w:eastAsia="en-US" w:bidi="ar-SA"/>
              </w:rPr>
              <w:t>1234 Demo Ave, Austin, TX 56789, United States.</w:t>
            </w:r>
          </w:p>
        </w:tc>
      </w:tr>
      <w:tr>
        <w:trPr/>
        <w:tc>
          <w:tcPr>
            <w:tcW w:w="5100" w:type="dxa"/>
            <w:tcBorders/>
            <w:shd w:fill="EAF1FB"/>
          </w:tcPr>
          <w:p>
            <w:pPr>
              <w:pStyle w:val="Normal"/>
              <w:spacing w:before="0" w:after="80"/>
              <w:rPr>
                <w:rFonts w:cs=""/>
                <w:kern w:val="0"/>
                <w:szCs w:val="22"/>
                <w:lang w:val="en-US" w:eastAsia="en-US" w:bidi="ar-SA"/>
              </w:rPr>
            </w:pPr>
            <w:r>
              <w:rPr>
                <w:rFonts w:cs=""/>
                <w:b/>
                <w:kern w:val="0"/>
                <w:szCs w:val="22"/>
                <w:lang w:val="en-US" w:eastAsia="en-US" w:bidi="ar-SA"/>
              </w:rPr>
              <w:t>Téléphone affiché</w:t>
            </w:r>
          </w:p>
        </w:tc>
        <w:tc>
          <w:tcPr>
            <w:tcW w:w="5099" w:type="dxa"/>
            <w:tcBorders/>
          </w:tcPr>
          <w:p>
            <w:pPr>
              <w:pStyle w:val="Normal"/>
              <w:spacing w:before="0" w:after="80"/>
              <w:rPr>
                <w:rFonts w:cs=""/>
                <w:kern w:val="0"/>
                <w:szCs w:val="22"/>
                <w:lang w:val="en-US" w:eastAsia="en-US" w:bidi="ar-SA"/>
              </w:rPr>
            </w:pPr>
            <w:r>
              <w:rPr>
                <w:rFonts w:cs=""/>
                <w:kern w:val="0"/>
                <w:szCs w:val="22"/>
                <w:lang w:val="en-US" w:eastAsia="en-US" w:bidi="ar-SA"/>
              </w:rPr>
              <w:t>+1 123 -456-7891</w:t>
            </w:r>
          </w:p>
        </w:tc>
      </w:tr>
      <w:tr>
        <w:trPr/>
        <w:tc>
          <w:tcPr>
            <w:tcW w:w="5100" w:type="dxa"/>
            <w:tcBorders/>
            <w:shd w:fill="EAF1FB"/>
          </w:tcPr>
          <w:p>
            <w:pPr>
              <w:pStyle w:val="Normal"/>
              <w:spacing w:before="0" w:after="80"/>
              <w:rPr>
                <w:rFonts w:cs=""/>
                <w:kern w:val="0"/>
                <w:szCs w:val="22"/>
                <w:lang w:val="en-US" w:eastAsia="en-US" w:bidi="ar-SA"/>
              </w:rPr>
            </w:pPr>
            <w:r>
              <w:rPr>
                <w:rFonts w:cs=""/>
                <w:b/>
                <w:kern w:val="0"/>
                <w:szCs w:val="22"/>
                <w:lang w:val="en-US" w:eastAsia="en-US" w:bidi="ar-SA"/>
              </w:rPr>
              <w:t>E-mail affiché</w:t>
            </w:r>
          </w:p>
        </w:tc>
        <w:tc>
          <w:tcPr>
            <w:tcW w:w="5099" w:type="dxa"/>
            <w:tcBorders/>
          </w:tcPr>
          <w:p>
            <w:pPr>
              <w:pStyle w:val="Normal"/>
              <w:spacing w:before="0" w:after="80"/>
              <w:rPr>
                <w:rFonts w:cs=""/>
                <w:kern w:val="0"/>
                <w:szCs w:val="22"/>
                <w:lang w:val="en-US" w:eastAsia="en-US" w:bidi="ar-SA"/>
              </w:rPr>
            </w:pPr>
            <w:r>
              <w:rPr>
                <w:rFonts w:cs=""/>
                <w:kern w:val="0"/>
                <w:szCs w:val="22"/>
                <w:lang w:val="en-US" w:eastAsia="en-US" w:bidi="ar-SA"/>
              </w:rPr>
              <w:t>mail@example.com</w:t>
            </w:r>
          </w:p>
        </w:tc>
      </w:tr>
    </w:tbl>
    <w:p>
      <w:pPr>
        <w:pStyle w:val="Heading2"/>
        <w:keepNext w:val="true"/>
        <w:rPr/>
      </w:pPr>
      <w:r>
        <w:rPr/>
        <w:t>7.4. Mention de copyright</w:t>
      </w:r>
    </w:p>
    <w:tbl>
      <w:tblPr>
        <w:tblW w:w="10200" w:type="dxa"/>
        <w:jc w:val="center"/>
        <w:tblInd w:w="0" w:type="dxa"/>
        <w:tblLayout w:type="fixed"/>
        <w:tblCellMar>
          <w:top w:w="140" w:type="dxa"/>
          <w:start w:w="180" w:type="dxa"/>
          <w:bottom w:w="140" w:type="dxa"/>
          <w:end w:w="180" w:type="dxa"/>
        </w:tblCellMar>
        <w:tblLook w:val="04a0" w:noHBand="0" w:noVBand="1" w:firstColumn="1" w:lastRow="0" w:lastColumn="0" w:firstRow="1"/>
      </w:tblPr>
      <w:tblGrid>
        <w:gridCol w:w="10200"/>
      </w:tblGrid>
      <w:tr>
        <w:trPr/>
        <w:tc>
          <w:tcPr>
            <w:tcW w:w="10200" w:type="dxa"/>
            <w:tcBorders>
              <w:top w:val="single" w:sz="10" w:space="0" w:color="5B6573"/>
              <w:start w:val="single" w:sz="10" w:space="0" w:color="5B6573"/>
              <w:bottom w:val="single" w:sz="10" w:space="0" w:color="5B6573"/>
              <w:end w:val="single" w:sz="10" w:space="0" w:color="5B6573"/>
            </w:tcBorders>
            <w:shd w:fill="F3F5F7"/>
          </w:tcPr>
          <w:p>
            <w:pPr>
              <w:pStyle w:val="Normal"/>
              <w:spacing w:before="0" w:after="80"/>
              <w:rPr/>
            </w:pPr>
            <w:r>
              <w:rPr>
                <w:b/>
                <w:color w:val="082A63"/>
                <w:sz w:val="22"/>
              </w:rPr>
              <w:t>Texte exact observé</w:t>
            </w:r>
          </w:p>
          <w:p>
            <w:pPr>
              <w:pStyle w:val="Normal"/>
              <w:spacing w:lineRule="auto" w:line="264" w:before="0" w:after="0"/>
              <w:rPr/>
            </w:pPr>
            <w:r>
              <w:rPr/>
              <w:t>Copyright © 2026 Groupe Scolaire Les Eminents | Powered by Groupe Scolaire Les Eminents</w:t>
            </w:r>
          </w:p>
        </w:tc>
      </w:tr>
    </w:tbl>
    <w:p>
      <w:pPr>
        <w:pStyle w:val="Normal"/>
        <w:rPr/>
      </w:pPr>
      <w:r>
        <w:rPr/>
      </w:r>
      <w:r>
        <w:br w:type="page"/>
      </w:r>
    </w:p>
    <w:p>
      <w:pPr>
        <w:pStyle w:val="Heading1"/>
        <w:keepNext w:val="true"/>
        <w:spacing w:before="0" w:after="100"/>
        <w:rPr/>
      </w:pPr>
      <w:r>
        <w:rPr/>
        <w:t>8. Synthèse thématique de tous les points développés</w:t>
      </w:r>
    </w:p>
    <w:tbl>
      <w:tblPr>
        <w:tblStyle w:val="TableGrid"/>
        <w:tblW w:w="1020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100"/>
        <w:gridCol w:w="5099"/>
      </w:tblGrid>
      <w:tr>
        <w:trPr>
          <w:tblHeader w:val="true"/>
        </w:trPr>
        <w:tc>
          <w:tcPr>
            <w:tcW w:w="5100" w:type="dxa"/>
            <w:tcBorders/>
            <w:shd w:fill="082A63"/>
          </w:tcPr>
          <w:p>
            <w:pPr>
              <w:pStyle w:val="Normal"/>
              <w:spacing w:before="0" w:after="80"/>
              <w:rPr>
                <w:rFonts w:cs=""/>
                <w:kern w:val="0"/>
                <w:szCs w:val="22"/>
                <w:lang w:val="en-US" w:eastAsia="en-US" w:bidi="ar-SA"/>
              </w:rPr>
            </w:pPr>
            <w:r>
              <w:rPr>
                <w:rFonts w:cs=""/>
                <w:b/>
                <w:color w:val="FFFFFF"/>
                <w:kern w:val="0"/>
                <w:szCs w:val="22"/>
                <w:lang w:val="en-US" w:eastAsia="en-US" w:bidi="ar-SA"/>
              </w:rPr>
              <w:t>Thème</w:t>
            </w:r>
          </w:p>
        </w:tc>
        <w:tc>
          <w:tcPr>
            <w:tcW w:w="5099" w:type="dxa"/>
            <w:tcBorders/>
            <w:shd w:fill="082A63"/>
          </w:tcPr>
          <w:p>
            <w:pPr>
              <w:pStyle w:val="Normal"/>
              <w:spacing w:before="0" w:after="80"/>
              <w:rPr>
                <w:rFonts w:cs=""/>
                <w:kern w:val="0"/>
                <w:szCs w:val="22"/>
                <w:lang w:val="en-US" w:eastAsia="en-US" w:bidi="ar-SA"/>
              </w:rPr>
            </w:pPr>
            <w:r>
              <w:rPr>
                <w:rFonts w:cs=""/>
                <w:b/>
                <w:color w:val="FFFFFF"/>
                <w:kern w:val="0"/>
                <w:szCs w:val="22"/>
                <w:lang w:val="en-US" w:eastAsia="en-US" w:bidi="ar-SA"/>
              </w:rPr>
              <w:t>Contenu développé</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Identité éducative</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École chrétienne, bilingue, sécurisée, exigeante et bienveillante.</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Finalité</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Excellence académique, épanouissement personnel, leadership et préparation à l’avenir.</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Langues</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Maîtrise progressive du français et de l’anglais ; ouverture à la communication internationale.</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Valeurs</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Foi, intégrité, discipline, respect, responsabilité et valeurs humaines.</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Pédagogie</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Rigueur, méthodes modernes, technologies éducatives, outils adaptés et développement de l’esprit critique.</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Accompagnement</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Suivi attentif, personnalisé et adapté aux besoins ainsi qu’au rythme de chaque enfant.</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Protection</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Environnement sécurisé, protection, bien-être et épanouissement.</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Ouverture</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Préparation à un monde globalisé et multiculturel, aux études supérieures et aux défis modernes.</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Programmes</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Maternelle, primaire, secondaire annoncé pour plus tard et section bilingue.</w:t>
            </w:r>
          </w:p>
        </w:tc>
      </w:tr>
      <w:tr>
        <w:trPr/>
        <w:tc>
          <w:tcPr>
            <w:tcW w:w="5100"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b/>
                <w:color w:val="0B3D91"/>
                <w:kern w:val="0"/>
                <w:szCs w:val="22"/>
                <w:lang w:val="en-US" w:eastAsia="en-US" w:bidi="ar-SA"/>
              </w:rPr>
              <w:t>Conversion</w:t>
            </w:r>
          </w:p>
        </w:tc>
        <w:tc>
          <w:tcPr>
            <w:tcW w:w="5099" w:type="dxa"/>
            <w:tcBorders/>
            <w:tcMar>
              <w:top w:w="90" w:type="dxa"/>
              <w:start w:w="100" w:type="dxa"/>
              <w:bottom w:w="90" w:type="dxa"/>
              <w:end w:w="100" w:type="dxa"/>
            </w:tcMar>
          </w:tcPr>
          <w:p>
            <w:pPr>
              <w:pStyle w:val="Normal"/>
              <w:spacing w:before="0" w:after="80"/>
              <w:rPr>
                <w:rFonts w:cs=""/>
                <w:kern w:val="0"/>
                <w:szCs w:val="22"/>
                <w:lang w:val="en-US" w:eastAsia="en-US" w:bidi="ar-SA"/>
              </w:rPr>
            </w:pPr>
            <w:r>
              <w:rPr>
                <w:rFonts w:cs=""/>
                <w:kern w:val="0"/>
                <w:szCs w:val="22"/>
                <w:lang w:val="en-US" w:eastAsia="en-US" w:bidi="ar-SA"/>
              </w:rPr>
              <w:t>Inscription de l’enfant et redirection vers la présentation détaillée des programmes.</w:t>
            </w:r>
          </w:p>
        </w:tc>
      </w:tr>
    </w:tbl>
    <w:p>
      <w:pPr>
        <w:pStyle w:val="Heading1"/>
        <w:keepNext w:val="true"/>
        <w:rPr/>
      </w:pPr>
      <w:r>
        <w:rPr/>
        <w:t>9. Points éditoriaux visibles à vérifier sur le site</w:t>
      </w:r>
    </w:p>
    <w:p>
      <w:pPr>
        <w:pStyle w:val="ListBullet"/>
        <w:numPr>
          <w:ilvl w:val="0"/>
          <w:numId w:val="1"/>
        </w:numPr>
        <w:spacing w:before="0" w:after="60"/>
        <w:contextualSpacing/>
        <w:rPr/>
      </w:pPr>
      <w:r>
        <w:rPr>
          <w:b/>
          <w:color w:val="082A63"/>
        </w:rPr>
        <w:t xml:space="preserve">Orthographe du programme secondaire : </w:t>
      </w:r>
      <w:r>
        <w:rPr/>
        <w:t>Le visuel affiche « SECONDAIRE (PLUTARD) ». La formulation correcte serait « SECONDAIRE (PLUS TARD) » ou, plus clairement, « SECONDAIRE — PROCHAINEMENT ».</w:t>
      </w:r>
    </w:p>
    <w:p>
      <w:pPr>
        <w:pStyle w:val="ListBullet"/>
        <w:numPr>
          <w:ilvl w:val="0"/>
          <w:numId w:val="1"/>
        </w:numPr>
        <w:spacing w:before="0" w:after="60"/>
        <w:contextualSpacing/>
        <w:rPr/>
      </w:pPr>
      <w:r>
        <w:rPr>
          <w:b/>
          <w:color w:val="082A63"/>
        </w:rPr>
        <w:t xml:space="preserve">Coordonnées de contact du pied de page : </w:t>
      </w:r>
      <w:r>
        <w:rPr/>
        <w:t>L’adresse américaine, le numéro +1 et l’adresse mail@example.com sont des données de démonstration et ne correspondent pas à l’établissement.</w:t>
      </w:r>
    </w:p>
    <w:p>
      <w:pPr>
        <w:pStyle w:val="ListBullet"/>
        <w:numPr>
          <w:ilvl w:val="0"/>
          <w:numId w:val="1"/>
        </w:numPr>
        <w:spacing w:before="0" w:after="60"/>
        <w:contextualSpacing/>
        <w:rPr/>
      </w:pPr>
      <w:r>
        <w:rPr>
          <w:b/>
          <w:color w:val="082A63"/>
        </w:rPr>
        <w:t xml:space="preserve">Langue du pied de page : </w:t>
      </w:r>
      <w:r>
        <w:rPr/>
        <w:t>La présentation institutionnelle et les titres « Useful Links » / « Contact us » sont encore en anglais, alors que la page est principalement en français.</w:t>
      </w:r>
    </w:p>
    <w:p>
      <w:pPr>
        <w:pStyle w:val="ListBullet"/>
        <w:numPr>
          <w:ilvl w:val="0"/>
          <w:numId w:val="1"/>
        </w:numPr>
        <w:spacing w:before="0" w:after="60"/>
        <w:contextualSpacing/>
        <w:rPr/>
      </w:pPr>
      <w:r>
        <w:rPr>
          <w:b/>
          <w:color w:val="082A63"/>
        </w:rPr>
        <w:t xml:space="preserve">Cohérence de la signature : </w:t>
      </w:r>
      <w:r>
        <w:rPr/>
        <w:t>Les visuels portent « EXCELLENCE • VALEURS • AVENIR ». Cette signature doit être vérifiée par rapport à la devise et aux valeurs institutionnelles retenues pour tous les supports.</w:t>
      </w:r>
    </w:p>
    <w:p>
      <w:pPr>
        <w:pStyle w:val="ListBullet"/>
        <w:numPr>
          <w:ilvl w:val="0"/>
          <w:numId w:val="1"/>
        </w:numPr>
        <w:spacing w:before="0" w:after="60"/>
        <w:contextualSpacing/>
        <w:rPr/>
      </w:pPr>
      <w:r>
        <w:rPr>
          <w:b/>
          <w:color w:val="082A63"/>
        </w:rPr>
        <w:t xml:space="preserve">Redondance des arguments : </w:t>
      </w:r>
      <w:r>
        <w:rPr/>
        <w:t>Les rubriques « Pourquoi choisir… » et « Pourquoi les parents nous font confiance » reprennent plusieurs arguments proches. Une différenciation plus nette renforcerait la lisibilité.</w:t>
      </w:r>
    </w:p>
    <w:p>
      <w:pPr>
        <w:pStyle w:val="ListBullet"/>
        <w:numPr>
          <w:ilvl w:val="0"/>
          <w:numId w:val="1"/>
        </w:numPr>
        <w:spacing w:before="0" w:after="60"/>
        <w:contextualSpacing/>
        <w:rPr/>
      </w:pPr>
      <w:r>
        <w:rPr>
          <w:b/>
          <w:color w:val="082A63"/>
        </w:rPr>
        <w:t xml:space="preserve">Dépendance aux textes intégrés dans les images : </w:t>
      </w:r>
      <w:r>
        <w:rPr/>
        <w:t>Une grande partie du contenu est inscrite directement dans les visuels. Pour l’accessibilité, le référencement et la traduction, ces textes devraient aussi exister en texte HTML lisible.</w:t>
      </w:r>
    </w:p>
    <w:p>
      <w:pPr>
        <w:pStyle w:val="Heading1"/>
        <w:keepNext w:val="true"/>
        <w:rPr/>
      </w:pPr>
      <w:r>
        <w:rPr/>
        <w:t>10. Conclusion du relevé</w:t>
      </w:r>
    </w:p>
    <w:p>
      <w:pPr>
        <w:pStyle w:val="Normal"/>
        <w:rPr/>
      </w:pPr>
      <w:r>
        <w:rPr/>
        <w:t>La page d’accueil actuellement accessible repose principalement sur une navigation institutionnelle très développée, un appel direct à l’inscription, trois grands visuels de communication et un pied de page encore partiellement générique. Les messages centraux sont cohérents autour de l’excellence académique, du bilinguisme, des valeurs chrétiennes, de l’innovation, de l’encadrement personnalisé, de la sécurité et de l’ouverture internationale.</w:t>
      </w:r>
    </w:p>
    <w:p>
      <w:pPr>
        <w:pStyle w:val="Normal"/>
        <w:spacing w:before="240" w:after="120"/>
        <w:jc w:val="center"/>
        <w:rPr/>
      </w:pPr>
      <w:r>
        <w:rPr>
          <w:b/>
          <w:color w:val="D4A017"/>
          <w:sz w:val="24"/>
        </w:rPr>
        <w:t>FIN DU RELEVÉ</w:t>
      </w:r>
    </w:p>
    <w:p>
      <w:pPr>
        <w:pStyle w:val="Normal"/>
        <w:rPr/>
      </w:pPr>
      <w:r>
        <w:rPr/>
      </w:r>
      <w:r>
        <w:br w:type="page"/>
      </w:r>
    </w:p>
    <w:p>
      <w:pPr>
        <w:pStyle w:val="Normal"/>
        <w:rPr/>
      </w:pPr>
      <w:r>
        <w:rPr/>
      </w:r>
    </w:p>
    <w:p>
      <w:pPr>
        <w:pStyle w:val="Normal"/>
        <w:jc w:val="center"/>
        <w:rPr/>
      </w:pPr>
      <w:r>
        <w:rPr/>
        <w:drawing>
          <wp:inline distT="0" distB="0" distL="0" distR="0">
            <wp:extent cx="1511935" cy="1572260"/>
            <wp:effectExtent l="0" t="0" r="0" b="0"/>
            <wp:docPr id="12"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title=""/>
                    <pic:cNvPicPr>
                      <a:picLocks noChangeAspect="1" noChangeArrowheads="1"/>
                    </pic:cNvPicPr>
                  </pic:nvPicPr>
                  <pic:blipFill>
                    <a:blip r:embed="rId14"/>
                    <a:stretch>
                      <a:fillRect/>
                    </a:stretch>
                  </pic:blipFill>
                  <pic:spPr bwMode="auto">
                    <a:xfrm>
                      <a:off x="0" y="0"/>
                      <a:ext cx="1511935" cy="1572260"/>
                    </a:xfrm>
                    <a:prstGeom prst="rect">
                      <a:avLst/>
                    </a:prstGeom>
                    <a:noFill/>
                  </pic:spPr>
                </pic:pic>
              </a:graphicData>
            </a:graphic>
          </wp:inline>
        </w:drawing>
      </w:r>
    </w:p>
    <w:p>
      <w:pPr>
        <w:pStyle w:val="Normal"/>
        <w:jc w:val="center"/>
        <w:rPr/>
      </w:pPr>
      <w:r>
        <w:rPr>
          <w:rFonts w:ascii="Aptos Display" w:hAnsi="Aptos Display"/>
          <w:b/>
          <w:color w:val="0B3D91"/>
          <w:sz w:val="42"/>
        </w:rPr>
        <w:t>GROUPE SCOLAIRE</w:t>
        <w:br/>
        <w:t>LES ÉMINENTS</w:t>
      </w:r>
    </w:p>
    <w:p>
      <w:pPr>
        <w:pStyle w:val="Normal"/>
        <w:pBdr>
          <w:bottom w:val="single" w:sz="32" w:space="1" w:color="D4AF37"/>
        </w:pBdr>
        <w:jc w:val="center"/>
        <w:rPr/>
      </w:pPr>
      <w:r>
        <w:rPr/>
      </w:r>
    </w:p>
    <w:p>
      <w:pPr>
        <w:pStyle w:val="Normal"/>
        <w:jc w:val="center"/>
        <w:rPr/>
      </w:pPr>
      <w:r>
        <w:rPr>
          <w:rFonts w:ascii="Aptos Display" w:hAnsi="Aptos Display"/>
          <w:b/>
          <w:color w:val="0B3D91"/>
          <w:sz w:val="46"/>
        </w:rPr>
        <w:t>RELEVÉ DU MENU « À PROPOS »</w:t>
        <w:br/>
        <w:t>ET BANQUE EXHAUSTIVE DE QUESTIONS</w:t>
      </w:r>
    </w:p>
    <w:p>
      <w:pPr>
        <w:pStyle w:val="Normal"/>
        <w:jc w:val="center"/>
        <w:rPr/>
      </w:pPr>
      <w:r>
        <w:rPr>
          <w:i/>
          <w:color w:val="253247"/>
          <w:sz w:val="24"/>
        </w:rPr>
        <w:t>Titres, sous-menus, sections, questions-réponses, justification institutionnelle, liens croisés et glossaire</w:t>
      </w:r>
    </w:p>
    <w:p>
      <w:pPr>
        <w:pStyle w:val="Normal"/>
        <w:jc w:val="center"/>
        <w:rPr/>
      </w:pPr>
      <w:r>
        <w:rPr>
          <w:b/>
        </w:rPr>
        <w:br/>
        <w:t>Inspection documentaire : 1er juillet 2026</w:t>
        <w:br/>
      </w:r>
      <w:r>
        <w:rPr>
          <w:sz w:val="20"/>
        </w:rPr>
        <w:t>Site demandé : test.gsleseminents.com</w:t>
        <w:br/>
        <w:t>Version publiquement consultable utilisée : gsleseminents.com</w:t>
      </w:r>
    </w:p>
    <w:p>
      <w:pPr>
        <w:pStyle w:val="Normal"/>
        <w:jc w:val="center"/>
        <w:rPr/>
      </w:pPr>
      <w:r>
        <w:rPr/>
        <w:drawing>
          <wp:inline distT="0" distB="0" distL="0" distR="0">
            <wp:extent cx="3131820" cy="4429760"/>
            <wp:effectExtent l="0" t="0" r="0" b="0"/>
            <wp:docPr id="13"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title=""/>
                    <pic:cNvPicPr>
                      <a:picLocks noChangeAspect="1" noChangeArrowheads="1"/>
                    </pic:cNvPicPr>
                  </pic:nvPicPr>
                  <pic:blipFill>
                    <a:blip r:embed="rId15"/>
                    <a:stretch>
                      <a:fillRect/>
                    </a:stretch>
                  </pic:blipFill>
                  <pic:spPr bwMode="auto">
                    <a:xfrm>
                      <a:off x="0" y="0"/>
                      <a:ext cx="3131820" cy="4429760"/>
                    </a:xfrm>
                    <a:prstGeom prst="rect">
                      <a:avLst/>
                    </a:prstGeom>
                    <a:noFill/>
                  </pic:spPr>
                </pic:pic>
              </a:graphicData>
            </a:graphic>
          </wp:inline>
        </w:drawing>
      </w:r>
    </w:p>
    <w:p>
      <w:pPr>
        <w:pStyle w:val="Normal"/>
        <w:jc w:val="center"/>
        <w:rPr/>
      </w:pPr>
      <w:r>
        <w:rPr>
          <w:b/>
          <w:color w:val="0B3D91"/>
          <w:sz w:val="22"/>
        </w:rPr>
        <w:t>FOI • EXCELLENCE • INTÉGRITÉ • LEADERSHIP</w:t>
        <w:br/>
        <w:t>« L’EXCELLENCE POUR L’ÉLITE DE DEMAIN »</w:t>
      </w:r>
    </w:p>
    <w:p>
      <w:pPr>
        <w:pStyle w:val="Normal"/>
        <w:rPr/>
      </w:pPr>
      <w:r>
        <w:rPr/>
      </w:r>
      <w:r>
        <w:br w:type="page"/>
      </w:r>
    </w:p>
    <w:p>
      <w:pPr>
        <w:pStyle w:val="Heading1"/>
        <w:pBdr>
          <w:bottom w:val="single" w:sz="24" w:space="1" w:color="D4AF37"/>
        </w:pBdr>
        <w:spacing w:before="0" w:after="0"/>
        <w:rPr/>
      </w:pPr>
      <w:r>
        <w:rPr/>
        <w:t>1. Objet, méthode et limites du relevé</w:t>
      </w:r>
    </w:p>
    <w:p>
      <w:pPr>
        <w:pStyle w:val="Normal"/>
        <w:rPr/>
      </w:pPr>
      <w:r>
        <w:rPr/>
        <w:t>Ce document examine méthodiquement le menu « À PROPOS DE NOUS », ses rubriques, ses sous-pages et les sections effectivement observables. Il distingue strictement :</w:t>
      </w:r>
    </w:p>
    <w:p>
      <w:pPr>
        <w:pStyle w:val="ListBullet"/>
        <w:numPr>
          <w:ilvl w:val="0"/>
          <w:numId w:val="1"/>
        </w:numPr>
        <w:rPr/>
      </w:pPr>
      <w:r>
        <w:rPr/>
        <w:t>les titres et chemins de navigation publiés ;</w:t>
      </w:r>
    </w:p>
    <w:p>
      <w:pPr>
        <w:pStyle w:val="ListBullet"/>
        <w:numPr>
          <w:ilvl w:val="0"/>
          <w:numId w:val="1"/>
        </w:numPr>
        <w:rPr/>
      </w:pPr>
      <w:r>
        <w:rPr/>
        <w:t>le contenu réellement développé et lisible ;</w:t>
      </w:r>
    </w:p>
    <w:p>
      <w:pPr>
        <w:pStyle w:val="ListBullet"/>
        <w:numPr>
          <w:ilvl w:val="0"/>
          <w:numId w:val="1"/>
        </w:numPr>
        <w:rPr/>
      </w:pPr>
      <w:r>
        <w:rPr/>
        <w:t>les pages dont seul le titre est détecté ;</w:t>
      </w:r>
    </w:p>
    <w:p>
      <w:pPr>
        <w:pStyle w:val="ListBullet"/>
        <w:numPr>
          <w:ilvl w:val="0"/>
          <w:numId w:val="1"/>
        </w:numPr>
        <w:rPr/>
      </w:pPr>
      <w:r>
        <w:rPr/>
        <w:t>l’analyse institutionnelle demandée : raison du titre, importance et liens avec les autres composantes du projet ;</w:t>
      </w:r>
    </w:p>
    <w:p>
      <w:pPr>
        <w:pStyle w:val="ListBullet"/>
        <w:numPr>
          <w:ilvl w:val="0"/>
          <w:numId w:val="1"/>
        </w:numPr>
        <w:rPr/>
      </w:pPr>
      <w:r>
        <w:rPr/>
        <w:t>la banque de questions dont les réponses restent limitées aux éléments observés ou à leur constat éditorial.</w:t>
      </w:r>
    </w:p>
    <w:tbl>
      <w:tblPr>
        <w:tblW w:w="10312" w:type="dxa"/>
        <w:jc w:val="center"/>
        <w:tblInd w:w="0" w:type="dxa"/>
        <w:tblLayout w:type="fixed"/>
        <w:tblCellMar>
          <w:top w:w="130" w:type="dxa"/>
          <w:start w:w="180" w:type="dxa"/>
          <w:bottom w:w="130" w:type="dxa"/>
          <w:end w:w="180" w:type="dxa"/>
        </w:tblCellMar>
        <w:tblLook w:val="04a0" w:noHBand="0" w:noVBand="1" w:firstColumn="1" w:lastRow="0" w:lastColumn="0" w:firstRow="1"/>
      </w:tblPr>
      <w:tblGrid>
        <w:gridCol w:w="10312"/>
      </w:tblGrid>
      <w:tr>
        <w:trPr/>
        <w:tc>
          <w:tcPr>
            <w:tcW w:w="10312" w:type="dxa"/>
            <w:tcBorders>
              <w:top w:val="single" w:sz="10" w:space="0" w:color="D4AF37"/>
              <w:start w:val="single" w:sz="10" w:space="0" w:color="D4AF37"/>
              <w:bottom w:val="single" w:sz="10" w:space="0" w:color="D4AF37"/>
              <w:end w:val="single" w:sz="10" w:space="0" w:color="D4AF37"/>
            </w:tcBorders>
            <w:shd w:fill="FFF7DF"/>
          </w:tcPr>
          <w:p>
            <w:pPr>
              <w:pStyle w:val="Normal"/>
              <w:spacing w:before="0" w:after="0"/>
              <w:rPr/>
            </w:pPr>
            <w:r>
              <w:rPr>
                <w:rFonts w:ascii="Aptos" w:hAnsi="Aptos"/>
                <w:b/>
                <w:color w:val="A61B1B"/>
                <w:sz w:val="20"/>
              </w:rPr>
              <w:t>PRINCIPE DE FIABILITÉ : aucune information institutionnelle n’est inventée pour remplir une page dont le texte de fond n’est pas détectable. La banque signale explicitement ces lacunes.</w:t>
            </w:r>
          </w:p>
        </w:tc>
      </w:tr>
    </w:tbl>
    <w:p>
      <w:pPr>
        <w:pStyle w:val="Normal"/>
        <w:rPr/>
      </w:pPr>
      <w:r>
        <w:rPr/>
      </w:r>
    </w:p>
    <w:p>
      <w:pPr>
        <w:pStyle w:val="Normal"/>
        <w:rPr/>
      </w:pPr>
      <w:r>
        <w:rPr>
          <w:b/>
        </w:rPr>
        <w:t xml:space="preserve">Sources principales : </w:t>
      </w:r>
      <w:hyperlink r:id="rId16">
        <w:r>
          <w:rPr>
            <w:rStyle w:val="Hyperlink"/>
            <w:color w:val="0B3D91"/>
            <w:u w:val="single"/>
          </w:rPr>
          <w:t>Menu public et pages du site</w:t>
        </w:r>
      </w:hyperlink>
    </w:p>
    <w:p>
      <w:pPr>
        <w:pStyle w:val="Normal"/>
        <w:rPr/>
      </w:pPr>
      <w:r>
        <w:rPr>
          <w:b/>
        </w:rPr>
        <w:t xml:space="preserve">Page développée consultée : </w:t>
      </w:r>
      <w:hyperlink r:id="rId17">
        <w:r>
          <w:rPr>
            <w:rStyle w:val="Hyperlink"/>
            <w:color w:val="0B3D91"/>
            <w:u w:val="single"/>
          </w:rPr>
          <w:t>Notre vision</w:t>
        </w:r>
      </w:hyperlink>
    </w:p>
    <w:p>
      <w:pPr>
        <w:pStyle w:val="Normal"/>
        <w:rPr/>
      </w:pPr>
      <w:r>
        <w:rPr/>
        <w:t>Le sous-domaine de test indiqué dans la demande n’a pas pu être résolu séparément dans l’environnement de consultation. La structure observée sur le domaine public correspond au menu relevé précédemment sur la page d’accueil.</w:t>
      </w:r>
    </w:p>
    <w:p>
      <w:pPr>
        <w:pStyle w:val="Heading1"/>
        <w:pBdr>
          <w:bottom w:val="single" w:sz="24" w:space="1" w:color="D4AF37"/>
        </w:pBdr>
        <w:rPr/>
      </w:pPr>
      <w:r>
        <w:rPr/>
        <w:t>2. Synthèse de l’audit éditorial</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Rubriques et pages examinées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16</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Sections internes développées dans « Notre vision »</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8</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Total de fiches thématiques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24</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Questions-réponses produites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240</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Pages avec contenu de fond détecté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1 : Notre vision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Pages ou regroupements sans texte de fond détecté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15</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Termes définis dans le glossaire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58</w:t>
            </w:r>
          </w:p>
        </w:tc>
      </w:tr>
    </w:tbl>
    <w:p>
      <w:pPr>
        <w:pStyle w:val="Normal"/>
        <w:spacing w:before="0" w:after="0"/>
        <w:rPr/>
      </w:pPr>
      <w:r>
        <w:rPr/>
      </w:r>
    </w:p>
    <w:p>
      <w:pPr>
        <w:pStyle w:val="Normal"/>
        <w:rPr/>
      </w:pPr>
      <w:r>
        <w:rPr>
          <w:b/>
          <w:color w:val="0B3D91"/>
        </w:rPr>
        <w:t xml:space="preserve">Constat central. </w:t>
      </w:r>
      <w:r>
        <w:rPr/>
        <w:t>La structure du menu est très développée, mais la majorité des pages consultées ne présentent, dans la version publique détectable, que leur titre, la navigation et le pied de page. La page « Notre vision » constitue l’exception : elle comporte un visuel institutionnel riche et structuré.</w:t>
      </w:r>
    </w:p>
    <w:p>
      <w:pPr>
        <w:pStyle w:val="Heading1"/>
        <w:pBdr>
          <w:bottom w:val="single" w:sz="24" w:space="1" w:color="D4AF37"/>
        </w:pBdr>
        <w:rPr/>
      </w:pPr>
      <w:r>
        <w:rPr/>
        <w:t>3. Arborescence complète du menu « À propos »</w:t>
      </w:r>
    </w:p>
    <w:p>
      <w:pPr>
        <w:pStyle w:val="Normal"/>
        <w:ind w:start="0"/>
        <w:rPr/>
      </w:pPr>
      <w:r>
        <w:rPr>
          <w:b/>
          <w:color w:val="0B3D91"/>
        </w:rPr>
        <w:t>À PROPOS DE NOUS</w:t>
      </w:r>
    </w:p>
    <w:p>
      <w:pPr>
        <w:pStyle w:val="Normal"/>
        <w:ind w:start="454"/>
        <w:rPr/>
      </w:pPr>
      <w:r>
        <w:rPr>
          <w:b/>
          <w:color w:val="0B3D91"/>
        </w:rPr>
        <w:t xml:space="preserve">• </w:t>
      </w:r>
      <w:r>
        <w:rPr>
          <w:b/>
          <w:color w:val="0B3D91"/>
        </w:rPr>
        <w:t>NOTRE VISION ET MISSION</w:t>
      </w:r>
    </w:p>
    <w:p>
      <w:pPr>
        <w:pStyle w:val="Normal"/>
        <w:ind w:start="907"/>
        <w:rPr/>
      </w:pPr>
      <w:r>
        <w:rPr>
          <w:b w:val="false"/>
          <w:color w:val="253247"/>
        </w:rPr>
        <w:t xml:space="preserve">• </w:t>
      </w:r>
      <w:r>
        <w:rPr>
          <w:b w:val="false"/>
          <w:color w:val="253247"/>
        </w:rPr>
        <w:t>Notre vision</w:t>
      </w:r>
    </w:p>
    <w:p>
      <w:pPr>
        <w:pStyle w:val="Normal"/>
        <w:ind w:start="907"/>
        <w:rPr/>
      </w:pPr>
      <w:r>
        <w:rPr>
          <w:b w:val="false"/>
          <w:color w:val="253247"/>
        </w:rPr>
        <w:t xml:space="preserve">• </w:t>
      </w:r>
      <w:r>
        <w:rPr>
          <w:b w:val="false"/>
          <w:color w:val="253247"/>
        </w:rPr>
        <w:t>Notre mission</w:t>
      </w:r>
    </w:p>
    <w:p>
      <w:pPr>
        <w:pStyle w:val="Normal"/>
        <w:ind w:start="907"/>
        <w:rPr/>
      </w:pPr>
      <w:r>
        <w:rPr>
          <w:b w:val="false"/>
          <w:color w:val="253247"/>
        </w:rPr>
        <w:t xml:space="preserve">• </w:t>
      </w:r>
      <w:r>
        <w:rPr>
          <w:b w:val="false"/>
          <w:color w:val="253247"/>
        </w:rPr>
        <w:t>Nos valeurs</w:t>
      </w:r>
    </w:p>
    <w:p>
      <w:pPr>
        <w:pStyle w:val="Normal"/>
        <w:ind w:start="907"/>
        <w:rPr/>
      </w:pPr>
      <w:r>
        <w:rPr>
          <w:b w:val="false"/>
          <w:color w:val="253247"/>
        </w:rPr>
        <w:t xml:space="preserve">• </w:t>
      </w:r>
      <w:r>
        <w:rPr>
          <w:b w:val="false"/>
          <w:color w:val="253247"/>
        </w:rPr>
        <w:t>Notre devise</w:t>
      </w:r>
    </w:p>
    <w:p>
      <w:pPr>
        <w:pStyle w:val="Normal"/>
        <w:ind w:start="454"/>
        <w:rPr/>
      </w:pPr>
      <w:r>
        <w:rPr>
          <w:b/>
          <w:color w:val="0B3D91"/>
        </w:rPr>
        <w:t xml:space="preserve">• </w:t>
      </w:r>
      <w:r>
        <w:rPr>
          <w:b/>
          <w:color w:val="0B3D91"/>
        </w:rPr>
        <w:t>NOTRE APPROCHE ÉDUCATIVE</w:t>
      </w:r>
    </w:p>
    <w:p>
      <w:pPr>
        <w:pStyle w:val="Normal"/>
        <w:ind w:start="907"/>
        <w:rPr/>
      </w:pPr>
      <w:r>
        <w:rPr>
          <w:b w:val="false"/>
          <w:color w:val="253247"/>
        </w:rPr>
        <w:t xml:space="preserve">• </w:t>
      </w:r>
      <w:r>
        <w:rPr>
          <w:b w:val="false"/>
          <w:color w:val="253247"/>
        </w:rPr>
        <w:t>Excellence académique</w:t>
      </w:r>
    </w:p>
    <w:p>
      <w:pPr>
        <w:pStyle w:val="Normal"/>
        <w:ind w:start="907"/>
        <w:rPr/>
      </w:pPr>
      <w:r>
        <w:rPr>
          <w:b w:val="false"/>
          <w:color w:val="253247"/>
        </w:rPr>
        <w:t xml:space="preserve">• </w:t>
      </w:r>
      <w:r>
        <w:rPr>
          <w:b w:val="false"/>
          <w:color w:val="253247"/>
        </w:rPr>
        <w:t>Enseignement bilingue</w:t>
      </w:r>
    </w:p>
    <w:p>
      <w:pPr>
        <w:pStyle w:val="Normal"/>
        <w:ind w:start="907"/>
        <w:rPr/>
      </w:pPr>
      <w:r>
        <w:rPr>
          <w:b w:val="false"/>
          <w:color w:val="253247"/>
        </w:rPr>
        <w:t xml:space="preserve">• </w:t>
      </w:r>
      <w:r>
        <w:rPr>
          <w:b w:val="false"/>
          <w:color w:val="253247"/>
        </w:rPr>
        <w:t>Pédagogie active</w:t>
      </w:r>
    </w:p>
    <w:p>
      <w:pPr>
        <w:pStyle w:val="Normal"/>
        <w:ind w:start="907"/>
        <w:rPr/>
      </w:pPr>
      <w:r>
        <w:rPr>
          <w:b w:val="false"/>
          <w:color w:val="253247"/>
        </w:rPr>
        <w:t xml:space="preserve">• </w:t>
      </w:r>
      <w:r>
        <w:rPr>
          <w:b w:val="false"/>
          <w:color w:val="253247"/>
        </w:rPr>
        <w:t>Éducation chrétienne</w:t>
      </w:r>
    </w:p>
    <w:p>
      <w:pPr>
        <w:pStyle w:val="Normal"/>
        <w:ind w:start="907"/>
        <w:rPr/>
      </w:pPr>
      <w:r>
        <w:rPr>
          <w:b w:val="false"/>
          <w:color w:val="253247"/>
        </w:rPr>
        <w:t xml:space="preserve">• </w:t>
      </w:r>
      <w:r>
        <w:rPr>
          <w:b w:val="false"/>
          <w:color w:val="253247"/>
        </w:rPr>
        <w:t>Technologies éducatives</w:t>
      </w:r>
    </w:p>
    <w:p>
      <w:pPr>
        <w:pStyle w:val="Normal"/>
        <w:ind w:start="454"/>
        <w:rPr/>
      </w:pPr>
      <w:r>
        <w:rPr>
          <w:b/>
          <w:color w:val="0B3D91"/>
        </w:rPr>
        <w:t xml:space="preserve">• </w:t>
      </w:r>
      <w:r>
        <w:rPr>
          <w:b/>
          <w:color w:val="0B3D91"/>
        </w:rPr>
        <w:t>MOT DU PROMOTEUR</w:t>
      </w:r>
    </w:p>
    <w:p>
      <w:pPr>
        <w:pStyle w:val="Normal"/>
        <w:ind w:start="454"/>
        <w:rPr/>
      </w:pPr>
      <w:r>
        <w:rPr>
          <w:b/>
          <w:color w:val="0B3D91"/>
        </w:rPr>
        <w:t xml:space="preserve">• </w:t>
      </w:r>
      <w:r>
        <w:rPr>
          <w:b/>
          <w:color w:val="0B3D91"/>
        </w:rPr>
        <w:t>MOT DE LA DIRECTION</w:t>
      </w:r>
    </w:p>
    <w:p>
      <w:pPr>
        <w:pStyle w:val="Normal"/>
        <w:ind w:start="454"/>
        <w:rPr/>
      </w:pPr>
      <w:r>
        <w:rPr>
          <w:b/>
          <w:color w:val="0B3D91"/>
        </w:rPr>
        <w:t xml:space="preserve">• </w:t>
      </w:r>
      <w:r>
        <w:rPr>
          <w:b/>
          <w:color w:val="0B3D91"/>
        </w:rPr>
        <w:t>NOTRE ÉQUIPE</w:t>
      </w:r>
    </w:p>
    <w:p>
      <w:pPr>
        <w:pStyle w:val="Normal"/>
        <w:ind w:start="454"/>
        <w:rPr/>
      </w:pPr>
      <w:r>
        <w:rPr>
          <w:b/>
          <w:color w:val="0B3D91"/>
        </w:rPr>
        <w:t xml:space="preserve">• </w:t>
      </w:r>
      <w:r>
        <w:rPr>
          <w:b/>
          <w:color w:val="0B3D91"/>
        </w:rPr>
        <w:t>NOS INFRASTRUCTURES</w:t>
      </w:r>
    </w:p>
    <w:p>
      <w:pPr>
        <w:pStyle w:val="Heading1"/>
        <w:pBdr>
          <w:bottom w:val="single" w:sz="24" w:space="1" w:color="D4AF37"/>
        </w:pBdr>
        <w:rPr/>
      </w:pPr>
      <w:r>
        <w:rPr/>
        <w:t>4. Table des fiches</w:t>
      </w:r>
    </w:p>
    <w:p>
      <w:pPr>
        <w:pStyle w:val="Normal"/>
        <w:rPr/>
      </w:pPr>
      <w:r>
        <w:rPr>
          <w:b/>
          <w:color w:val="2E6F40"/>
        </w:rPr>
        <w:t>I. ARCHITECTURE DU MENU</w:t>
      </w:r>
    </w:p>
    <w:p>
      <w:pPr>
        <w:pStyle w:val="ListNumber"/>
        <w:numPr>
          <w:ilvl w:val="0"/>
          <w:numId w:val="4"/>
        </w:numPr>
        <w:rPr/>
      </w:pPr>
      <w:r>
        <w:rPr/>
        <w:t>À PROPOS DE NOUS</w:t>
      </w:r>
    </w:p>
    <w:p>
      <w:pPr>
        <w:pStyle w:val="ListNumber"/>
        <w:numPr>
          <w:ilvl w:val="0"/>
          <w:numId w:val="4"/>
        </w:numPr>
        <w:rPr/>
      </w:pPr>
      <w:r>
        <w:rPr/>
        <w:t>NOTRE VISION ET MISSION</w:t>
      </w:r>
    </w:p>
    <w:p>
      <w:pPr>
        <w:pStyle w:val="Normal"/>
        <w:rPr/>
      </w:pPr>
      <w:r>
        <w:rPr>
          <w:b/>
          <w:color w:val="2E6F40"/>
        </w:rPr>
        <w:t>II. CONTENU DÉVELOPPÉ : NOTRE VISION</w:t>
      </w:r>
    </w:p>
    <w:p>
      <w:pPr>
        <w:pStyle w:val="ListNumber"/>
        <w:numPr>
          <w:ilvl w:val="0"/>
          <w:numId w:val="4"/>
        </w:numPr>
        <w:rPr/>
      </w:pPr>
      <w:r>
        <w:rPr/>
        <w:t>Notre vision</w:t>
      </w:r>
    </w:p>
    <w:p>
      <w:pPr>
        <w:pStyle w:val="ListNumber"/>
        <w:numPr>
          <w:ilvl w:val="0"/>
          <w:numId w:val="4"/>
        </w:numPr>
        <w:rPr/>
      </w:pPr>
      <w:r>
        <w:rPr/>
        <w:t>Promesse synthétique de la vision</w:t>
      </w:r>
    </w:p>
    <w:p>
      <w:pPr>
        <w:pStyle w:val="ListNumber"/>
        <w:numPr>
          <w:ilvl w:val="0"/>
          <w:numId w:val="4"/>
        </w:numPr>
        <w:rPr/>
      </w:pPr>
      <w:r>
        <w:rPr/>
        <w:t>Une vision tournée vers l’avenir</w:t>
      </w:r>
    </w:p>
    <w:p>
      <w:pPr>
        <w:pStyle w:val="ListNumber"/>
        <w:numPr>
          <w:ilvl w:val="0"/>
          <w:numId w:val="4"/>
        </w:numPr>
        <w:rPr/>
      </w:pPr>
      <w:r>
        <w:rPr/>
        <w:t>Nos aspirations</w:t>
      </w:r>
    </w:p>
    <w:p>
      <w:pPr>
        <w:pStyle w:val="ListNumber"/>
        <w:numPr>
          <w:ilvl w:val="0"/>
          <w:numId w:val="4"/>
        </w:numPr>
        <w:rPr/>
      </w:pPr>
      <w:r>
        <w:rPr/>
        <w:t>Excellence académique — aspiration</w:t>
      </w:r>
    </w:p>
    <w:p>
      <w:pPr>
        <w:pStyle w:val="ListNumber"/>
        <w:numPr>
          <w:ilvl w:val="0"/>
          <w:numId w:val="4"/>
        </w:numPr>
        <w:rPr/>
      </w:pPr>
      <w:r>
        <w:rPr/>
        <w:t>Leadership — aspiration</w:t>
      </w:r>
    </w:p>
    <w:p>
      <w:pPr>
        <w:pStyle w:val="ListNumber"/>
        <w:numPr>
          <w:ilvl w:val="0"/>
          <w:numId w:val="4"/>
        </w:numPr>
        <w:rPr/>
      </w:pPr>
      <w:r>
        <w:rPr/>
        <w:t>Bilinguisme — aspiration</w:t>
      </w:r>
    </w:p>
    <w:p>
      <w:pPr>
        <w:pStyle w:val="ListNumber"/>
        <w:numPr>
          <w:ilvl w:val="0"/>
          <w:numId w:val="4"/>
        </w:numPr>
        <w:rPr/>
      </w:pPr>
      <w:r>
        <w:rPr/>
        <w:t>Foi et caractère — aspiration</w:t>
      </w:r>
    </w:p>
    <w:p>
      <w:pPr>
        <w:pStyle w:val="ListNumber"/>
        <w:numPr>
          <w:ilvl w:val="0"/>
          <w:numId w:val="4"/>
        </w:numPr>
        <w:rPr/>
      </w:pPr>
      <w:r>
        <w:rPr/>
        <w:t>Citation de clôture</w:t>
      </w:r>
    </w:p>
    <w:p>
      <w:pPr>
        <w:pStyle w:val="Normal"/>
        <w:rPr/>
      </w:pPr>
      <w:r>
        <w:rPr>
          <w:b/>
          <w:color w:val="2E6F40"/>
        </w:rPr>
        <w:t>III. SOUS-PAGES À CONTENU NON DÉTECTÉ</w:t>
      </w:r>
    </w:p>
    <w:p>
      <w:pPr>
        <w:pStyle w:val="ListNumber"/>
        <w:numPr>
          <w:ilvl w:val="0"/>
          <w:numId w:val="4"/>
        </w:numPr>
        <w:rPr/>
      </w:pPr>
      <w:r>
        <w:rPr/>
        <w:t>Notre mission</w:t>
      </w:r>
    </w:p>
    <w:p>
      <w:pPr>
        <w:pStyle w:val="ListNumber"/>
        <w:numPr>
          <w:ilvl w:val="0"/>
          <w:numId w:val="4"/>
        </w:numPr>
        <w:rPr/>
      </w:pPr>
      <w:r>
        <w:rPr/>
        <w:t>Nos valeurs</w:t>
      </w:r>
    </w:p>
    <w:p>
      <w:pPr>
        <w:pStyle w:val="ListNumber"/>
        <w:numPr>
          <w:ilvl w:val="0"/>
          <w:numId w:val="4"/>
        </w:numPr>
        <w:rPr/>
      </w:pPr>
      <w:r>
        <w:rPr/>
        <w:t>Notre devise</w:t>
      </w:r>
    </w:p>
    <w:p>
      <w:pPr>
        <w:pStyle w:val="ListNumber"/>
        <w:numPr>
          <w:ilvl w:val="0"/>
          <w:numId w:val="4"/>
        </w:numPr>
        <w:rPr/>
      </w:pPr>
      <w:r>
        <w:rPr/>
        <w:t>NOTRE APPROCHE ÉDUCATIVE</w:t>
      </w:r>
    </w:p>
    <w:p>
      <w:pPr>
        <w:pStyle w:val="ListNumber"/>
        <w:numPr>
          <w:ilvl w:val="0"/>
          <w:numId w:val="4"/>
        </w:numPr>
        <w:rPr/>
      </w:pPr>
      <w:r>
        <w:rPr/>
        <w:t>Excellence académique</w:t>
      </w:r>
    </w:p>
    <w:p>
      <w:pPr>
        <w:pStyle w:val="ListNumber"/>
        <w:numPr>
          <w:ilvl w:val="0"/>
          <w:numId w:val="4"/>
        </w:numPr>
        <w:rPr/>
      </w:pPr>
      <w:r>
        <w:rPr/>
        <w:t>Enseignement bilingue</w:t>
      </w:r>
    </w:p>
    <w:p>
      <w:pPr>
        <w:pStyle w:val="ListNumber"/>
        <w:numPr>
          <w:ilvl w:val="0"/>
          <w:numId w:val="4"/>
        </w:numPr>
        <w:rPr/>
      </w:pPr>
      <w:r>
        <w:rPr/>
        <w:t>Pédagogie active</w:t>
      </w:r>
    </w:p>
    <w:p>
      <w:pPr>
        <w:pStyle w:val="ListNumber"/>
        <w:numPr>
          <w:ilvl w:val="0"/>
          <w:numId w:val="4"/>
        </w:numPr>
        <w:rPr/>
      </w:pPr>
      <w:r>
        <w:rPr/>
        <w:t>Éducation chrétienne</w:t>
      </w:r>
    </w:p>
    <w:p>
      <w:pPr>
        <w:pStyle w:val="ListNumber"/>
        <w:numPr>
          <w:ilvl w:val="0"/>
          <w:numId w:val="4"/>
        </w:numPr>
        <w:rPr/>
      </w:pPr>
      <w:r>
        <w:rPr/>
        <w:t>Technologies éducatives</w:t>
      </w:r>
    </w:p>
    <w:p>
      <w:pPr>
        <w:pStyle w:val="ListNumber"/>
        <w:numPr>
          <w:ilvl w:val="0"/>
          <w:numId w:val="4"/>
        </w:numPr>
        <w:rPr/>
      </w:pPr>
      <w:r>
        <w:rPr/>
        <w:t>MOT DU PROMOTEUR</w:t>
      </w:r>
    </w:p>
    <w:p>
      <w:pPr>
        <w:pStyle w:val="ListNumber"/>
        <w:numPr>
          <w:ilvl w:val="0"/>
          <w:numId w:val="4"/>
        </w:numPr>
        <w:rPr/>
      </w:pPr>
      <w:r>
        <w:rPr/>
        <w:t>MOT DE LA DIRECTION</w:t>
      </w:r>
    </w:p>
    <w:p>
      <w:pPr>
        <w:pStyle w:val="ListNumber"/>
        <w:numPr>
          <w:ilvl w:val="0"/>
          <w:numId w:val="4"/>
        </w:numPr>
        <w:rPr/>
      </w:pPr>
      <w:r>
        <w:rPr/>
        <w:t>NOTRE ÉQUIPE</w:t>
      </w:r>
    </w:p>
    <w:p>
      <w:pPr>
        <w:pStyle w:val="ListNumber"/>
        <w:numPr>
          <w:ilvl w:val="0"/>
          <w:numId w:val="4"/>
        </w:numPr>
        <w:rPr/>
      </w:pPr>
      <w:r>
        <w:rPr/>
        <w:t>NOS INFRASTRUCTURES</w:t>
      </w:r>
    </w:p>
    <w:p>
      <w:pPr>
        <w:pStyle w:val="Normal"/>
        <w:rPr/>
      </w:pPr>
      <w:r>
        <w:rPr/>
      </w:r>
      <w:r>
        <w:br w:type="page"/>
      </w:r>
    </w:p>
    <w:p>
      <w:pPr>
        <w:pStyle w:val="Heading1"/>
        <w:pBdr>
          <w:bottom w:val="single" w:sz="24" w:space="1" w:color="D4AF37"/>
        </w:pBdr>
        <w:spacing w:before="0" w:after="0"/>
        <w:rPr/>
      </w:pPr>
      <w:r>
        <w:rPr/>
        <w:t>1. À PROPOS DE NOUS</w:t>
      </w:r>
    </w:p>
    <w:p>
      <w:pPr>
        <w:pStyle w:val="Normal"/>
        <w:jc w:val="end"/>
        <w:rPr/>
      </w:pPr>
      <w:r>
        <w:rPr>
          <w:b/>
          <w:color w:val="2E6F40"/>
          <w:sz w:val="17"/>
        </w:rPr>
        <w:t>I. ARCHITECTURE DU MENU</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STRUCTURE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Titre de page, navigation générale et six accès thématiques : Vision et mission, Approche éducative, Mot du promoteur, Mot de la direction, Notre équipe et Nos infrastructures.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présente la rubrique qui explique l’identité, l’orientation et les moyens de l’établissement.</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construit la crédibilité institutionnelle avant une inscription, une collaboration ou un partenariat.</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et mission ; Approche éducative ; Promoteur ; Direction ; Équipe ; Infrastructures ; Programmes ; Admissions.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18">
        <w:r>
          <w:rPr>
            <w:rStyle w:val="Hyperlink"/>
            <w:color w:val="0B3D91"/>
            <w:u w:val="single"/>
          </w:rPr>
          <w:t>https://gsleseminents.com/a-propos/</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l’intitulé exact de cette rubrique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rubrique est-elle accessible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https://gsleseminents.com/a-propos/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 menu principal cette rubrique se trouve-t-elle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MENU PRINCIPAL</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Quels sous-menus sont regroupés dans cette rubrique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 NOTRE APPROCHE ÉDUCATIVE ; MOT DU PROMOTEUR ; MOT DE LA DIRECTION ; NOTRE ÉQUIPE ;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Quelle est la fonction de cette rubrique dans l’arborescence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sert de regroupement thématique pour organiser les pages qui lui sont rattachées.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Un texte institutionnel développé est-il détecté sur la page de regroupement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Aucun texte de fond n’a été détecté dans la version publique consultable ; le titre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Quelle information peut être communiquée avec certitude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rubrique « À PROPOS DE NOUS » organise les accès suivants : NOTRE VISION ET MISSION ; NOTRE APPROCHE ÉDUCATIVE ; MOT DU PROMOTEUR ; MOT DE LA DIRECTION ; NOTRE ÉQUIPE ;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Comment répondre sans extrapoler le contenu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Présenter le titre, la liste des sous-menus et le statut éditorial observable, sans inventer de paragraphes absents.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Avec quelles parties du menu cette rubrique est-elle directement reliée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dépend de « MENU PRINCIPAL » et renvoie vers chacun de ses sous-menus.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 besoin de mise à jour ressort de l’inspection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Ajouter un texte de synthèse en HTML afin d’expliquer la rubrique et d’améliorer la compréhension, l’accessibilité et le référencement.</w:t>
            </w:r>
          </w:p>
        </w:tc>
      </w:tr>
    </w:tbl>
    <w:p>
      <w:pPr>
        <w:pStyle w:val="Normal"/>
        <w:spacing w:before="0" w:after="0"/>
        <w:rPr/>
      </w:pPr>
      <w:r>
        <w:rPr/>
      </w:r>
    </w:p>
    <w:p>
      <w:pPr>
        <w:pStyle w:val="Heading1"/>
        <w:pBdr>
          <w:bottom w:val="single" w:sz="24" w:space="1" w:color="D4AF37"/>
        </w:pBdr>
        <w:rPr/>
      </w:pPr>
      <w:r>
        <w:rPr/>
        <w:t>2. NOTRE VISION ET MISSION</w:t>
      </w:r>
    </w:p>
    <w:p>
      <w:pPr>
        <w:pStyle w:val="Normal"/>
        <w:jc w:val="end"/>
        <w:rPr/>
      </w:pPr>
      <w:r>
        <w:rPr>
          <w:b/>
          <w:color w:val="2E6F40"/>
          <w:sz w:val="17"/>
        </w:rPr>
        <w:t>I. ARCHITECTURE DU MENU</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STRUCTURE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Rubrique de regroupement contenant les sous-pages Notre vision, Notre mission, Nos valeurs et Notre devise.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rassemble le cap futur, la raison d’être, les principes et la formule identitaire de l’école.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Cette rubrique aligne la gouvernance, l’enseignement, la communication et les décisions institutionnelles.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Notre vision ; Notre mission ; Nos valeurs ; Notre devise ; Mot du promoteur ; Mot de la direction.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19">
        <w:r>
          <w:rPr>
            <w:rStyle w:val="Hyperlink"/>
            <w:color w:val="0B3D91"/>
            <w:u w:val="single"/>
          </w:rPr>
          <w:t>https://gsleseminents.com/notre-vision/</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l’intitulé exact de cette rubrique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VISION ET MISSION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rubrique est-elle accessible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https://gsleseminents.com/notre-vision/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 menu principal cette rubrique se trouve-t-elle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Quels sous-menus sont regroupés dans cette rubrique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 Notre mission ; Nos valeurs ; Notre 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Quelle est la fonction de cette rubrique dans l’arborescence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sert de regroupement thématique pour organiser les pages qui lui sont rattachées.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Un texte institutionnel développé est-il détecté sur la page de regroupement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Aucun texte de fond n’a été détecté dans la version publique consultable ; le titre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Quelle information peut être communiquée avec certitude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rubrique « NOTRE VISION ET MISSION » organise les accès suivants : Notre vision ; Notre mission ; Nos valeurs ; Notre devise.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Comment répondre sans extrapoler le contenu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Présenter le titre, la liste des sous-menus et le statut éditorial observable, sans inventer de paragraphes absents.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Avec quelles parties du menu cette rubrique est-elle directement reliée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dépend de « À PROPOS DE NOUS » et renvoie vers chacun de ses sous-menus.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 besoin de mise à jour ressort de l’inspection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Ajouter un texte de synthèse en HTML afin d’expliquer la rubrique et d’améliorer la compréhension, l’accessibilité et le référencement.</w:t>
            </w:r>
          </w:p>
        </w:tc>
      </w:tr>
    </w:tbl>
    <w:p>
      <w:pPr>
        <w:pStyle w:val="Normal"/>
        <w:spacing w:before="0" w:after="0"/>
        <w:rPr/>
      </w:pPr>
      <w:r>
        <w:rPr/>
      </w:r>
    </w:p>
    <w:p>
      <w:pPr>
        <w:pStyle w:val="Heading1"/>
        <w:pBdr>
          <w:bottom w:val="single" w:sz="24" w:space="1" w:color="D4AF37"/>
        </w:pBdr>
        <w:rPr/>
      </w:pPr>
      <w:r>
        <w:rPr/>
        <w:t>3. Notre vision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PUBLIÉE ET DÉVELOPPÉE DANS UN VISUEL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visuel développe une ambition d’excellence en RDC et en Afrique, la formation de leaders bilingues enracinés dans les valeurs chrétiennes, une école moderne et innovante, ainsi que quatre aspirations : excellence académique, leadership, bilinguisme, foi et caractère.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répond à la question : vers quel avenir l’école veut-elle conduire ses élèves et son institution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La vision sert de cap à long terme et permet d’évaluer la cohérence des programmes, des infrastructures, du recrutement et des partenariats.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Mission ; Valeurs ; Devise ; Excellence académique ; Bilinguisme ; Éducation chrétienne ; Leadership ; Infrastructures.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Page publique et visuel institutionnel « Notre Vision »</w:t>
            </w:r>
          </w:p>
        </w:tc>
      </w:tr>
    </w:tbl>
    <w:p>
      <w:pPr>
        <w:pStyle w:val="Normal"/>
        <w:spacing w:before="0" w:after="0"/>
        <w:rPr/>
      </w:pPr>
      <w:r>
        <w:rPr/>
      </w:r>
    </w:p>
    <w:p>
      <w:pPr>
        <w:pStyle w:val="Normal"/>
        <w:rPr/>
      </w:pPr>
      <w:r>
        <w:rPr>
          <w:b/>
        </w:rPr>
        <w:t xml:space="preserve">Adresse de la page : </w:t>
      </w:r>
      <w:hyperlink r:id="rId20">
        <w:r>
          <w:rPr>
            <w:rStyle w:val="Hyperlink"/>
            <w:color w:val="0B3D91"/>
            <w:u w:val="single"/>
          </w:rPr>
          <w:t>https://gsleseminents.com/notre-vision-2/</w:t>
        </w:r>
      </w:hyperlink>
    </w:p>
    <w:p>
      <w:pPr>
        <w:pStyle w:val="Normal"/>
        <w:jc w:val="center"/>
        <w:rPr/>
      </w:pPr>
      <w:r>
        <w:rPr/>
        <w:drawing>
          <wp:inline distT="0" distB="0" distL="0" distR="0">
            <wp:extent cx="4392295" cy="6211570"/>
            <wp:effectExtent l="0" t="0" r="0" b="0"/>
            <wp:docPr id="1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title=""/>
                    <pic:cNvPicPr>
                      <a:picLocks noChangeAspect="1" noChangeArrowheads="1"/>
                    </pic:cNvPicPr>
                  </pic:nvPicPr>
                  <pic:blipFill>
                    <a:blip r:embed="rId21"/>
                    <a:stretch>
                      <a:fillRect/>
                    </a:stretch>
                  </pic:blipFill>
                  <pic:spPr bwMode="auto">
                    <a:xfrm>
                      <a:off x="0" y="0"/>
                      <a:ext cx="4392295" cy="6211570"/>
                    </a:xfrm>
                    <a:prstGeom prst="rect">
                      <a:avLst/>
                    </a:prstGeom>
                    <a:noFill/>
                  </pic:spPr>
                </pic:pic>
              </a:graphicData>
            </a:graphic>
          </wp:inline>
        </w:drawing>
      </w:r>
    </w:p>
    <w:p>
      <w:pPr>
        <w:pStyle w:val="Normal"/>
        <w:jc w:val="center"/>
        <w:rPr/>
      </w:pPr>
      <w:r>
        <w:rPr>
          <w:i/>
          <w:sz w:val="16"/>
        </w:rPr>
        <w:t>Visuel institutionnel publié sur la page « Notre vision ».</w:t>
      </w:r>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Quelle promesse synthétique apparaît au début du visuel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Former une génération de leaders compétents, bilingues et enracinés dans les valeurs chrétiennes.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Vers quelle période la vision est-elle orientée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Elle est tournée vers l’avenir.</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Quelle position institutionnelle l’école ambitionne-t-elle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Devenir une référence d’excellence éducative en République démocratique du Congo et en Afrique.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Quels domaines de réussite sont visés pour les élèves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Les études, la vie professionnelle et l’engagement citoyen.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type de leadership la vision souhaite-t-elle former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Un leadership fidèle aux valeurs chrétiennes et fondé sur une identité forte.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Comment l’école se décrit-elle dans sa vision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Comme une école moderne, bilingue, innovante et ouverte sur le monde.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Quelle place est accordée aux talents de chaque enfant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Chaque enfant doit pouvoir découvrir et développer pleinement ses talents.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Quelles sont les quatre aspirations affichées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leadership, bilinguisme, foi et caractère.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finalité est associée à l’ouverture internationale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Préparer les élèves à évoluer dans un environnement international.</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 message de clôture est mobilisé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Une citation de Nelson Mandela présente l’éducation comme une force majeure de transformation du monde.</w:t>
            </w:r>
          </w:p>
        </w:tc>
      </w:tr>
    </w:tbl>
    <w:p>
      <w:pPr>
        <w:pStyle w:val="Normal"/>
        <w:spacing w:before="0" w:after="0"/>
        <w:rPr/>
      </w:pPr>
      <w:r>
        <w:rPr/>
      </w:r>
    </w:p>
    <w:p>
      <w:pPr>
        <w:pStyle w:val="Heading1"/>
        <w:pBdr>
          <w:bottom w:val="single" w:sz="24" w:space="1" w:color="D4AF37"/>
        </w:pBdr>
        <w:rPr/>
      </w:pPr>
      <w:r>
        <w:rPr/>
        <w:t>4. Promesse synthétique de la vision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Former une génération de leaders compétents, bilingues et enracinés dans les valeurs chrétiennes.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Cette formule condense en une phrase le résultat humain attendu du projet éducatif.</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Elle rend la vision mémorisable et utilisable dans la communication, la formation du personnel et le discours aux familles.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Leadership ; Bilinguisme ; Valeurs chrétiennes ; Mission ; Programmes.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2">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type de génération l’école veut-elle former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Une génération de leaders.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Quelles qualités de compétence sont attendues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Des leaders compétents.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Quelle capacité linguistique est visée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 bilinguisme.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Dans quelles valeurs les élèves doivent-ils être enracinés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Les valeurs chrétiennes.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Quels trois axes sont réunis dans la promesse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Leadership, compétence et bilinguisme, dans un enracinement chrétien.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La promesse vise-t-elle uniquement la réussite scolaire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Non. Elle associe compétence, leadership, langues et valeurs.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lien existe avec la page Enseignement bilingue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promesse affirme explicitement la formation d’élèves bilingues.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 lien existe avec la page Éducation chrétienne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promesse affirme l’enracinement dans les valeurs chrétiennes.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 lien existe avec la vision institutionnelle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promesse résume le profil d’élève que l’école veut former.</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peut résumer cette section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Former des leaders compétents, bilingues et attachés aux valeurs chrétiennes.</w:t>
            </w:r>
          </w:p>
        </w:tc>
      </w:tr>
    </w:tbl>
    <w:p>
      <w:pPr>
        <w:pStyle w:val="Normal"/>
        <w:spacing w:before="0" w:after="0"/>
        <w:rPr/>
      </w:pPr>
      <w:r>
        <w:rPr/>
      </w:r>
    </w:p>
    <w:p>
      <w:pPr>
        <w:pStyle w:val="Heading1"/>
        <w:pBdr>
          <w:bottom w:val="single" w:sz="24" w:space="1" w:color="D4AF37"/>
        </w:pBdr>
        <w:rPr/>
      </w:pPr>
      <w:r>
        <w:rPr/>
        <w:t>5. Une vision tournée vers l’avenir</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L’école aspire à devenir une référence d’excellence éducative en RDC et en Afrique, à préparer les élèves à réussir dans les études, la vie professionnelle et l’engagement citoyen, et à leur permettre de développer leurs talents.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Ce titre indique que la vision ne se limite pas au fonctionnement quotidien mais projette l’école et les élèves dans le futur.</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transforme l’ambition institutionnelle en critères concrets de préparation à la vie, d’innovation et d’ouverture.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Programmes ; Leadership ; Orientation ; Partenariats ; Technologies ; Infrastructures.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3">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Vers quoi la vision est-elle tournée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Vers l’avenir.</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 reconnaissance l’école recherche-t-elle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Une reconnaissance comme référence d’excellence éducative.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quels espaces géographiques cette ambition est-elle exprimée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En République démocratique du Congo et en Afrique.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Dans quels domaines les élèves doivent-ils réussir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Dans les études, la vie professionnelle et l’engagement citoyen.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rôle futur les élèves sont-ils appelés à jouer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Devenir des leaders fidèles aux valeurs chrétiennes.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identité les élèves doivent-ils développer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Une identité forte.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Comment l’école se décrit-elle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Moderne, bilingue, innovante et ouverte sur le monde.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 doit faire chaque enfant de ses talents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Les découvrir et les développer pleinement.</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La vision se limite-t-elle à l’école actuelle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Non. Elle porte une ambition future et une ouverture nationale et africaine.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Construire une école de référence qui prépare des élèves compétents, responsables et ouverts sur le monde.</w:t>
            </w:r>
          </w:p>
        </w:tc>
      </w:tr>
    </w:tbl>
    <w:p>
      <w:pPr>
        <w:pStyle w:val="Normal"/>
        <w:spacing w:before="0" w:after="0"/>
        <w:rPr/>
      </w:pPr>
      <w:r>
        <w:rPr/>
      </w:r>
    </w:p>
    <w:p>
      <w:pPr>
        <w:pStyle w:val="Heading1"/>
        <w:pBdr>
          <w:bottom w:val="single" w:sz="24" w:space="1" w:color="D4AF37"/>
        </w:pBdr>
        <w:rPr/>
      </w:pPr>
      <w:r>
        <w:rPr/>
        <w:t>6. Nos aspirations</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Quatre aspirations structurent le visuel : excellence académique, leadership, bilinguisme, foi et caractère.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transforme la vision générale en quatre priorités facilement identifiables.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Ces aspirations servent de pont entre la déclaration de vision et les pratiques éducatives concrètes.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Excellence académique ; Leadership ; Enseignement bilingue ; Éducation chrétienne ; Valeurs.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4">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Combien d’aspirations sont affichées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Quatre.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 est la première aspiration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L’excellence académique.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Quelle aspiration concerne l’influence positive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 leadership.</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Quelle aspiration concerne les langues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bilinguisme.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Quelle aspiration concerne les valeurs spirituelles et morales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foi et le caractère.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Pourquoi ces aspirations sont-elles regroupées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Elles traduisent la vision en priorités éducatives complémentaires.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Quelle aspiration est directement liée aux apprentissages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L’excellence académique.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Quelle aspiration prépare à l’environnement international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bilinguisme.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aspiration renforce l’identité chrétienne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foi et le caractère.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vision repose sur l’excellence, le leadership, le bilinguisme, la foi et le caractère.</w:t>
            </w:r>
          </w:p>
        </w:tc>
      </w:tr>
    </w:tbl>
    <w:p>
      <w:pPr>
        <w:pStyle w:val="Normal"/>
        <w:spacing w:before="0" w:after="0"/>
        <w:rPr/>
      </w:pPr>
      <w:r>
        <w:rPr/>
      </w:r>
    </w:p>
    <w:p>
      <w:pPr>
        <w:pStyle w:val="Heading1"/>
        <w:pBdr>
          <w:bottom w:val="single" w:sz="24" w:space="1" w:color="D4AF37"/>
        </w:pBdr>
        <w:rPr/>
      </w:pPr>
      <w:r>
        <w:rPr/>
        <w:t>7. Excellence académique — aspiration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Former des élèves rigoureux, autonomes et performants.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met en évidence le niveau de qualité recherché dans les apprentissages.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donne un critère d’évaluation des programmes, des enseignants, du suivi et des résultats.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Mission ; Approche éducative ; Pédagogie active ; Évaluation ; Programmes.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5">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 cherche à former l’excellence académique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Des élèves rigoureux, autonomes et performants.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 qualité concerne la précision et l’effort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rigueur.</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Quelle qualité concerne la capacité d’agir et d’apprendre par soi-même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L’autonomie.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Quelle qualité concerne l’atteinte de résultats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performance.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L’excellence est-elle présentée comme une simple note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Non. Elle associe rigueur, autonomie et performance.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 lien existe avec la mission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mission doit organiser l’enseignement pour produire ces qualités.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lien existe avec la pédagogie active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pédagogie active peut développer l’autonomie de l’élève.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 lien existe avec l’encadrement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L’encadrement soutient la rigueur et la progression vers la performance.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 résultat humain dépasse la réussite scolaire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L’autonomie.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résume cette aspiration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Former des élèves rigoureux, autonomes et performants.</w:t>
            </w:r>
          </w:p>
        </w:tc>
      </w:tr>
    </w:tbl>
    <w:p>
      <w:pPr>
        <w:pStyle w:val="Normal"/>
        <w:spacing w:before="0" w:after="0"/>
        <w:rPr/>
      </w:pPr>
      <w:r>
        <w:rPr/>
      </w:r>
    </w:p>
    <w:p>
      <w:pPr>
        <w:pStyle w:val="Heading1"/>
        <w:pBdr>
          <w:bottom w:val="single" w:sz="24" w:space="1" w:color="D4AF37"/>
        </w:pBdr>
        <w:rPr/>
      </w:pPr>
      <w:r>
        <w:rPr/>
        <w:t>8. Leadership — aspiration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Développer des leaders capables d’influencer positivement leur communauté.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indique que l’école veut former des acteurs et non seulement des bénéficiaires de l’éducation.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relie la réussite individuelle au service, à la responsabilité et à l’impact social.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Valeurs ; Vie scolaire ; Clubs ; Partenariats ; Engagement citoyen.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6">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 veut développer l’école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Des leaders.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 capacité est attendue de ces leaders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Influencer positivement.</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Quel espace doit bénéficier de cette influence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Leur communauté.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Le leadership recherché est-il présenté comme domination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Non. Il est associé à une influence positive.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lien existe avec l’engagement citoyen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 leader agit positivement dans sa communauté.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 lien existe avec les valeurs chrétiennes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leadership doit rester fidèle aux valeurs et au service.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lien existe avec les activités scolaires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Les activités peuvent offrir des occasions d’initiative et de responsabilité.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 résultat social la vision attend-elle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Une influence positive sur la communauté.</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Pourquoi le leadership est-il une aspiration distincte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Parce qu’il concerne la capacité d’agir, de servir et d’entraîner les autres.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Former des leaders qui exercent une influence positive dans leur communauté.</w:t>
            </w:r>
          </w:p>
        </w:tc>
      </w:tr>
    </w:tbl>
    <w:p>
      <w:pPr>
        <w:pStyle w:val="Normal"/>
        <w:spacing w:before="0" w:after="0"/>
        <w:rPr/>
      </w:pPr>
      <w:r>
        <w:rPr/>
      </w:r>
    </w:p>
    <w:p>
      <w:pPr>
        <w:pStyle w:val="Heading1"/>
        <w:pBdr>
          <w:bottom w:val="single" w:sz="24" w:space="1" w:color="D4AF37"/>
        </w:pBdr>
        <w:rPr/>
      </w:pPr>
      <w:r>
        <w:rPr/>
        <w:t>9. Bilinguisme — aspiration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Préparer les élèves à évoluer dans un environnement international.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identifie la maîtrise de deux langues comme une composante structurante du projet.</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bilinguisme élargit l’accès aux ressources, à la communication et aux opportunités internationales.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Enseignement bilingue ; Programmes ; Ouverture internationale ; Partenariats.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7">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À quoi le bilinguisme doit-il préparer les élèves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évoluer dans un environnement international.</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 horizon dépasse le cadre local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L’environnement international.</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Le bilinguisme est-il seulement un cours de langue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Non. Il est présenté comme une préparation à évoluer dans un contexte international.</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lien existe avec l’ouverture sur le monde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bilinguisme facilite la communication et l’intégration internationales.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lien existe avec les programmes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Les programmes doivent intégrer le français et l’anglais.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 lien existe avec la vision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vision décrit une école bilingue et ouverte sur le monde.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public futur est visé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Des élèves capables d’évoluer au-delà de leur environnement immédiat.</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Quelle compétence centrale est implicite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communication dans deux langues.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 avantage stratégique est recherché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Une meilleure préparation aux opportunités internationales.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bilinguisme prépare les élèves à évoluer dans un environnement international.</w:t>
            </w:r>
          </w:p>
        </w:tc>
      </w:tr>
    </w:tbl>
    <w:p>
      <w:pPr>
        <w:pStyle w:val="Normal"/>
        <w:spacing w:before="0" w:after="0"/>
        <w:rPr/>
      </w:pPr>
      <w:r>
        <w:rPr/>
      </w:r>
    </w:p>
    <w:p>
      <w:pPr>
        <w:pStyle w:val="Heading1"/>
        <w:pBdr>
          <w:bottom w:val="single" w:sz="24" w:space="1" w:color="D4AF37"/>
        </w:pBdr>
        <w:rPr/>
      </w:pPr>
      <w:r>
        <w:rPr/>
        <w:t>10. Foi et caractère — aspiration</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Former des hommes et des femmes de valeurs.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associe la dimension spirituelle à la construction morale et comportementale.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rappelle que l’école vise le développement intégral : connaissances, convictions, conduite et responsabilité.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Éducation chrétienne ; Nos valeurs ; Discipline ; Vie scolaire ; Devise.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8">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 cherche à former cette aspiration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Des hommes et des femmes de valeurs.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Quelles deux dimensions sont réunies dans le titre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foi et le caractère.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La formation visée concerne-t-elle uniquement les connaissances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Non. Elle concerne aussi les valeurs et le caractère.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lien existe avec l’éducation chrétienne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foi donne le fondement spirituel de la formation.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lien existe avec les valeurs institutionnelles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 caractère doit traduire concrètement les valeurs de l’école.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 lien existe avec la discipline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discipline contribue à la formation du caractère.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Pourquoi parler d’hommes et de femmes de valeurs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Parce que la finalité éducative concerne la personne entière et sa conduite future.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 résultat moral est attendu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Une personnalité guidée par des valeurs.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 résultat spirituel est attendu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Un enracinement dans la foi.</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Former des personnes dont la foi et le caractère se traduisent par des valeurs.</w:t>
            </w:r>
          </w:p>
        </w:tc>
      </w:tr>
    </w:tbl>
    <w:p>
      <w:pPr>
        <w:pStyle w:val="Normal"/>
        <w:spacing w:before="0" w:after="0"/>
        <w:rPr/>
      </w:pPr>
      <w:r>
        <w:rPr/>
      </w:r>
    </w:p>
    <w:p>
      <w:pPr>
        <w:pStyle w:val="Heading1"/>
        <w:pBdr>
          <w:bottom w:val="single" w:sz="24" w:space="1" w:color="D4AF37"/>
        </w:pBdr>
        <w:rPr/>
      </w:pPr>
      <w:r>
        <w:rPr/>
        <w:t>11. Citation de clôture</w:t>
      </w:r>
    </w:p>
    <w:p>
      <w:pPr>
        <w:pStyle w:val="Normal"/>
        <w:jc w:val="end"/>
        <w:rPr/>
      </w:pPr>
      <w:r>
        <w:rPr>
          <w:b/>
          <w:color w:val="2E6F40"/>
          <w:sz w:val="17"/>
        </w:rPr>
        <w:t>II. CONTENU DÉVELOPPÉ : NOTRE VISION</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SECTION DÉVELOPPÉE DANS LE VISUEL « NOTRE VISION »</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visuel se termine par une citation attribuée à Nelson Mandela qui présente l’éducation comme un puissant moyen de transformer le monde.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La citation donne une portée universelle à la vision éducative et renforce son caractère mobilisateur.</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Elle relie le projet local de l’école à une conviction largement partagée sur le pouvoir transformateur de l’éducation.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Mission ; Impact social ; Leadership ; Communauté.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Visuel institutionnel publié sur la page Notre vision</w:t>
            </w:r>
          </w:p>
        </w:tc>
      </w:tr>
    </w:tbl>
    <w:p>
      <w:pPr>
        <w:pStyle w:val="Normal"/>
        <w:spacing w:before="0" w:after="0"/>
        <w:rPr/>
      </w:pPr>
      <w:r>
        <w:rPr/>
      </w:r>
    </w:p>
    <w:p>
      <w:pPr>
        <w:pStyle w:val="Normal"/>
        <w:rPr/>
      </w:pPr>
      <w:r>
        <w:rPr>
          <w:b/>
        </w:rPr>
        <w:t xml:space="preserve">Adresse de la page : </w:t>
      </w:r>
      <w:hyperlink r:id="rId29">
        <w:r>
          <w:rPr>
            <w:rStyle w:val="Hyperlink"/>
            <w:color w:val="0B3D91"/>
            <w:u w:val="single"/>
          </w:rPr>
          <w:t>https://gsleseminents.com/notre-vision-2/</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À qui la citation de clôture est-elle attribuée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Nelson Mandela.</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Quel thème central porte cette citation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Le pouvoir transformateur de l’éducation.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Que peut changer l’éducation selon le message cité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Le monde.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Pourquoi cette citation clôt-elle le visuel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Elle résume la conviction que l’éducation produit une transformation profonde.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lien existe avec la vision de l’école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vision veut transformer les élèves et leur communauté par l’éducation.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 lien existe avec le leadership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L’éducation prépare des personnes capables d’agir positivement sur le monde.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lien existe avec la mission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mission traduit cette conviction en actions éducatives.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La citation remplace-t-elle la vision propre de l’école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Non. Elle la renforce par une référence extérieure.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 message un parent peut-il retenir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L’école considère l’éducation comme un moyen majeur de transformation.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synthèse fidèle peut être donnée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clôture affirme que l’éducation est une force essentielle pour transformer le monde.</w:t>
            </w:r>
          </w:p>
        </w:tc>
      </w:tr>
    </w:tbl>
    <w:p>
      <w:pPr>
        <w:pStyle w:val="Normal"/>
        <w:spacing w:before="0" w:after="0"/>
        <w:rPr/>
      </w:pPr>
      <w:r>
        <w:rPr/>
      </w:r>
    </w:p>
    <w:p>
      <w:pPr>
        <w:pStyle w:val="Heading1"/>
        <w:pBdr>
          <w:bottom w:val="single" w:sz="24" w:space="1" w:color="D4AF37"/>
        </w:pBdr>
        <w:rPr/>
      </w:pPr>
      <w:r>
        <w:rPr/>
        <w:t>12. Notre mission</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Notre mission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La mission devrait expliquer ce que l’école fait quotidiennement pour réaliser sa vision.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Elle traduit l’ambition en engagements éducatifs et opérationnels.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Valeurs ; Approche éducative ; Direction ; Programmes.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0">
        <w:r>
          <w:rPr>
            <w:rStyle w:val="Hyperlink"/>
            <w:color w:val="0B3D91"/>
            <w:u w:val="single"/>
          </w:rPr>
          <w:t>https://gsleseminents.com/notre-mission/</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mission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https://gsleseminents.com/notre-mission/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VISION ET MISSION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&gt; Notre mission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Notre mission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Notre mission » dans le menu « NOTRE VISION ET MISSION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Notre mission, Nos valeurs, Notre 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Notre mission » est une page du menu « NOTRE VISION ET MISSION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13. Nos valeurs</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Nos valeurs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présenter les principes qui guident les décisions et les comportements.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Les valeurs assurent la cohérence morale de la gouvernance, de l’enseignement et de la vie scolaire.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Foi ; Excellence ; Intégrité ; Leadership ; Discipline ; Éducation chrétienne.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1">
        <w:r>
          <w:rPr>
            <w:rStyle w:val="Hyperlink"/>
            <w:color w:val="0B3D91"/>
            <w:u w:val="single"/>
          </w:rPr>
          <w:t>https://gsleseminents.com/nos-valeurs/</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Nos valeurs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https://gsleseminents.com/nos-valeurs/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VISION ET MISSION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&gt; Nos valeurs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Nos valeurs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Nos valeurs » dans le menu « NOTRE VISION ET MISSION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Notre mission, Nos valeurs, Notre 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Nos valeurs » est une page du menu « NOTRE VISION ET MISSION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14. Notre devise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Notre devise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La devise condense l’identité et les priorités de l’établissement dans une formule mémorisable.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Elle facilite l’appropriation de l’identité par les élèves, le personnel et les familles.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Valeurs ; Vision ; Communication ; Uniformes ; Supports institutionnels.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2">
        <w:r>
          <w:rPr>
            <w:rStyle w:val="Hyperlink"/>
            <w:color w:val="0B3D91"/>
            <w:u w:val="single"/>
          </w:rPr>
          <w:t>https://gsleseminents.com/notre-devise/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devise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https://gsleseminents.com/notre-devise/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VISION ET MISSION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&gt; Notre 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Notre devise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Notre devise » dans le menu « NOTRE VISION ET MISSION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Notre mission, Nos valeurs, Notre devise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Notre devise » est une page du menu « NOTRE VISION ET MISSION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15. NOTRE APPROCHE ÉDUCATIVE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STRUCTURE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Rubrique de regroupement contenant Excellence académique, Enseignement bilingue, Pédagogie active, Éducation chrétienne et Technologies éducatives.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expliquer comment l’école organise concrètement l’apprentissage et l’accompagnement des élèves.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rend visibles les méthodes qui permettent de réaliser la mission et la vision.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Programmes ; Enseignants ; Évaluation ; Bilinguisme ; Valeurs ; Numérique.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3">
        <w:r>
          <w:rPr>
            <w:rStyle w:val="Hyperlink"/>
            <w:color w:val="0B3D91"/>
            <w:u w:val="single"/>
          </w:rPr>
          <w:t>https://gsleseminents.com/notre-approche-educative/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l’intitulé exact de cette rubrique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rubrique est-elle accessible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https://gsleseminents.com/notre-approche-educative/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 menu principal cette rubrique se trouve-t-elle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Quels sous-menus sont regroupés dans cette rubrique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 Enseignement bilingue ; Pédagogie active ; Éducation chrétienne ;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Quelle est la fonction de cette rubrique dans l’arborescence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sert de regroupement thématique pour organiser les pages qui lui sont rattachées.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Un texte institutionnel développé est-il détecté sur la page de regroupement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Aucun texte de fond n’a été détecté dans la version publique consultable ; le titre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Quelle information peut être communiquée avec certitude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La rubrique « NOTRE APPROCHE ÉDUCATIVE » organise les accès suivants : Excellence académique ; Enseignement bilingue ; Pédagogie active ; Éducation chrétienne ;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Comment répondre sans extrapoler le contenu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Présenter le titre, la liste des sous-menus et le statut éditorial observable, sans inventer de paragraphes absents.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Avec quelles parties du menu cette rubrique est-elle directement reliée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Elle dépend de « À PROPOS DE NOUS » et renvoie vers chacun de ses sous-menus.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 besoin de mise à jour ressort de l’inspection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Ajouter un texte de synthèse en HTML afin d’expliquer la rubrique et d’améliorer la compréhension, l’accessibilité et le référencement.</w:t>
            </w:r>
          </w:p>
        </w:tc>
      </w:tr>
    </w:tbl>
    <w:p>
      <w:pPr>
        <w:pStyle w:val="Normal"/>
        <w:spacing w:before="0" w:after="0"/>
        <w:rPr/>
      </w:pPr>
      <w:r>
        <w:rPr/>
      </w:r>
    </w:p>
    <w:p>
      <w:pPr>
        <w:pStyle w:val="Heading1"/>
        <w:pBdr>
          <w:bottom w:val="single" w:sz="24" w:space="1" w:color="D4AF37"/>
        </w:pBdr>
        <w:rPr/>
      </w:pPr>
      <w:r>
        <w:rPr/>
        <w:t>16. Excellence académique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Excellence académique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préciser les exigences de qualité, de rigueur, de progression et de réussite.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permet aux familles et au personnel de comprendre le niveau d’ambition académique.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Mission ; Programmes ; Évaluation ; Encadrement.</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4">
        <w:r>
          <w:rPr>
            <w:rStyle w:val="Hyperlink"/>
            <w:color w:val="0B3D91"/>
            <w:u w:val="single"/>
          </w:rPr>
          <w:t>https://gsleseminents.com/excellence-academique/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Excellence académique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https://gsleseminents.com/excellence-academique/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APPROCHE ÉDUCATIVE &gt; Excellence académique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Excellence académique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Excellence académique » dans le menu « NOTRE APPROCHE ÉDUCATIVE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Enseignement bilingue, Pédagogie active, Éducation chrétienne,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Excellence académique » est une page du menu « NOTRE APPROCHE ÉDUCATIVE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17. Enseignement bilingue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Enseignement bilingue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décrire la place du français et de l’anglais dans les apprentissages.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différencie l’offre éducative et prépare les élèves à la communication internationale.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Bilinguisme ; Programmes ; Partenariats.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5">
        <w:r>
          <w:rPr>
            <w:rStyle w:val="Hyperlink"/>
            <w:color w:val="0B3D91"/>
            <w:u w:val="single"/>
          </w:rPr>
          <w:t>https://gsleseminents.com/enseignement-bilingue/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Enseignement bilingue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https://gsleseminents.com/enseignement-bilingue/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APPROCHE ÉDUCATIVE &gt; Enseignement bilingue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Enseignement bilingue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Enseignement bilingue » dans le menu « NOTRE APPROCHE ÉDUCATIVE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Enseignement bilingue, Pédagogie active, Éducation chrétienne,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Enseignement bilingue » est une page du menu « NOTRE APPROCHE ÉDUCATIVE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18. Pédagogie active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Pédagogie active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présenter des méthodes qui rendent l’élève acteur de ses apprentissages.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Elle favorise l’autonomie, la participation, la résolution de problèmes et la mémorisation durable.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Excellence ; Enseignants ; Activités ; Technologies ; Évaluation.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6">
        <w:r>
          <w:rPr>
            <w:rStyle w:val="Hyperlink"/>
            <w:color w:val="0B3D91"/>
            <w:u w:val="single"/>
          </w:rPr>
          <w:t>https://gsleseminents.com/pedagogie-active/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Pédagogie active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https://gsleseminents.com/pedagogie-active/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APPROCHE ÉDUCATIVE &gt; Pédagogie active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Pédagogie active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Pédagogie active » dans le menu « NOTRE APPROCHE ÉDUCATIVE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Enseignement bilingue, Pédagogie active, Éducation chrétienne,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Pédagogie active » est une page du menu « NOTRE APPROCHE ÉDUCATIVE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19. Éducation chrétienne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Éducation chrétienne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expliciter l’intégration de la foi et des valeurs chrétiennes au projet éducatif.</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établit la cohérence entre identité spirituelle, formation du caractère et vie scolaire.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Foi et caractère ; Valeurs ; Discipline ; Programme spirituel.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7">
        <w:r>
          <w:rPr>
            <w:rStyle w:val="Hyperlink"/>
            <w:color w:val="0B3D91"/>
            <w:u w:val="single"/>
          </w:rPr>
          <w:t>https://gsleseminents.com/education-chretienne/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Éducation chrétienne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https://gsleseminents.com/education-chretienne/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APPROCHE ÉDUCATIVE &gt; Éducation chrétienne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Éducation chrétienne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Éducation chrétienne » dans le menu « NOTRE APPROCHE ÉDUCATIVE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Enseignement bilingue, Pédagogie active, Éducation chrétienne,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Éducation chrétienne » est une page du menu « NOTRE APPROCHE ÉDUCATIVE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20. Technologies éducatives</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Technologies éducatives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montrer comment les outils numériques soutiennent les apprentissages.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prépare les élèves aux compétences numériques et modernise les méthodes pédagogiques.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Salle informatique ; Innovation ; ÉMINA ; Programmes ; Infrastructures.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8">
        <w:r>
          <w:rPr>
            <w:rStyle w:val="Hyperlink"/>
            <w:color w:val="0B3D91"/>
            <w:u w:val="single"/>
          </w:rPr>
          <w:t>https://gsleseminents.com/technologies-educatives/</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https://gsleseminents.com/technologies-educatives/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APPROCHE ÉDUCATIVE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APPROCHE ÉDUCATIVE &gt;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Technologies éducatives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Technologies éducatives » dans le menu « NOTRE APPROCHE ÉDUCATIVE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Excellence académique, Enseignement bilingue, Pédagogie active, Éducation chrétienne, Technologies éducatives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Technologies éducatives » est une page du menu « NOTRE APPROCHE ÉDUCATIVE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21. MOT DU PROMOTEUR</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MOT DU PROMOTEUR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donne la parole au porteur de la vision fondatrice.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humanise le projet, explique son origine et affirme l’engagement institutionnel.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Vision ; Histoire ; Gouvernance ; Partenariats ; Admissions.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39">
        <w:r>
          <w:rPr>
            <w:rStyle w:val="Hyperlink"/>
            <w:color w:val="0B3D91"/>
            <w:u w:val="single"/>
          </w:rPr>
          <w:t>https://gsleseminents.com/mot-du-promoteur/</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MOT DU PROMOTEUR</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https://gsleseminents.com/mot-du-promoteur/</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À PROPOS DE NOUS &gt; MOT DU PROMOTEUR</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MOT DU PROMOTEUR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MOT DU PROMOTEUR » dans le menu « À PROPOS DE NOUS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NOTRE APPROCHE ÉDUCATIVE, MOT DU PROMOTEUR, MOT DE LA DIRECTION, NOTRE ÉQUIPE,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MOT DU PROMOTEUR » est une page du menu « À PROPOS DE NOUS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22. MOT DE LA DIRECTION</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MOT DE LA DIRECTION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doit exprimer la manière dont la direction met en œuvre le projet éducatif.</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rassure sur le pilotage pédagogique, la discipline, la qualité et l’accompagnement quotidien.</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Mission ; Équipe ; Approche éducative ; Vie scolaire ; Assurance qualité.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40">
        <w:r>
          <w:rPr>
            <w:rStyle w:val="Hyperlink"/>
            <w:color w:val="0B3D91"/>
            <w:u w:val="single"/>
          </w:rPr>
          <w:t>https://gsleseminents.com/mot-de-la-direction/</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MOT DE LA DIRECTION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https://gsleseminents.com/mot-de-la-direction/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À PROPOS DE NOUS &gt; MOT DE LA DIRECTION</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MOT DE LA DIRECTION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MOT DE LA DIRECTION » dans le menu « À PROPOS DE NOUS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NOTRE APPROCHE ÉDUCATIVE, MOT DU PROMOTEUR, MOT DE LA DIRECTION, NOTRE ÉQUIPE,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MOT DE LA DIRECTION » est une page du menu « À PROPOS DE NOUS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23. NOTRE ÉQUIPE</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NOTRE ÉQUIPE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présente les personnes et fonctions qui rendent le projet opérationnel.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renforce la confiance en montrant les compétences, les responsabilités et la complémentarité du personnel.</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Direction ; Enseignants ; Gouvernance ; Encadrement ; Admissions.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41">
        <w:r>
          <w:rPr>
            <w:rStyle w:val="Hyperlink"/>
            <w:color w:val="0B3D91"/>
            <w:u w:val="single"/>
          </w:rPr>
          <w:t>https://gsleseminents.com/notre-equipe/</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NOTRE ÉQUIPE</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https://gsleseminents.com/notre-equipe/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À PROPOS DE NOUS &gt; NOTRE ÉQUIPE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NOTRE ÉQUIPE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NOTRE ÉQUIPE » dans le menu « À PROPOS DE NOUS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NOTRE APPROCHE ÉDUCATIVE, MOT DU PROMOTEUR, MOT DE LA DIRECTION, NOTRE ÉQUIPE,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NOTRE ÉQUIPE » est une page du menu « À PROPOS DE NOUS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24. NOS INFRASTRUCTURES</w:t>
      </w:r>
    </w:p>
    <w:p>
      <w:pPr>
        <w:pStyle w:val="Normal"/>
        <w:jc w:val="end"/>
        <w:rPr/>
      </w:pPr>
      <w:r>
        <w:rPr>
          <w:b/>
          <w:color w:val="2E6F40"/>
          <w:sz w:val="17"/>
        </w:rPr>
        <w:t>III. SOUS-PAGES À CONTENU NON DÉTECTÉ</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380"/>
        <w:gridCol w:w="7030"/>
      </w:tblGrid>
      <w:tr>
        <w:trPr/>
        <w:tc>
          <w:tcPr>
            <w:tcW w:w="2380" w:type="dxa"/>
            <w:tcBorders>
              <w:top w:val="single" w:sz="6" w:space="0" w:color="D9DEE7"/>
              <w:start w:val="single" w:sz="6" w:space="0" w:color="D9DEE7"/>
              <w:bottom w:val="single" w:sz="6" w:space="0" w:color="D9DEE7"/>
              <w:end w:val="single" w:sz="6" w:space="0" w:color="D9DEE7"/>
            </w:tcBorders>
            <w:shd w:fill="0B3D91"/>
            <w:vAlign w:val="center"/>
          </w:tcPr>
          <w:p>
            <w:pPr>
              <w:pStyle w:val="Normal"/>
              <w:spacing w:before="0" w:after="0"/>
              <w:rPr/>
            </w:pPr>
            <w:r>
              <w:rPr>
                <w:rFonts w:ascii="Aptos" w:hAnsi="Aptos"/>
                <w:b/>
                <w:color w:val="FFFFFF"/>
                <w:sz w:val="18"/>
              </w:rPr>
              <w:t>STATUT OBSERVÉ</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color w:val="253247"/>
                <w:sz w:val="18"/>
              </w:rPr>
              <w:t>PAGE PUBLIÉE — TEXTE DE FOND NON DÉTECTÉ</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Texte-source / points relevés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 NOS INFRASTRUCTURES » est visible, mais aucun contenu textuel développé n’a été détecté dans la version publique consultable.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Raison du titre ou de la section</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Le titre présente les espaces physiques au service de l’apprentissage, de la sécurité et du bien-être.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Importance dans le projet</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Il permet aux familles et partenaires d’évaluer la capacité matérielle et le potentiel de développement de l’école.</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Liens avec les autres sections</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Programmes ; Sécurité ; Technologies ; Galerie ; Admissions ; Partenariats.</w:t>
            </w:r>
          </w:p>
        </w:tc>
      </w:tr>
      <w:tr>
        <w:trPr/>
        <w:tc>
          <w:tcPr>
            <w:tcW w:w="2380" w:type="dxa"/>
            <w:tcBorders>
              <w:top w:val="single" w:sz="6" w:space="0" w:color="D9DEE7"/>
              <w:start w:val="single" w:sz="6" w:space="0" w:color="D9DEE7"/>
              <w:bottom w:val="single" w:sz="6" w:space="0" w:color="D9DEE7"/>
              <w:end w:val="single" w:sz="6" w:space="0" w:color="D9DEE7"/>
            </w:tcBorders>
            <w:shd w:fill="EAF2FB"/>
            <w:vAlign w:val="center"/>
          </w:tcPr>
          <w:p>
            <w:pPr>
              <w:pStyle w:val="Normal"/>
              <w:spacing w:before="0" w:after="0"/>
              <w:rPr/>
            </w:pPr>
            <w:r>
              <w:rPr>
                <w:rFonts w:ascii="Aptos" w:hAnsi="Aptos"/>
                <w:b/>
                <w:color w:val="0B3D91"/>
                <w:sz w:val="18"/>
              </w:rPr>
              <w:t>Référence de contrôle</w:t>
            </w:r>
          </w:p>
        </w:tc>
        <w:tc>
          <w:tcPr>
            <w:tcW w:w="7030" w:type="dxa"/>
            <w:tcBorders>
              <w:top w:val="single" w:sz="6" w:space="0" w:color="D9DEE7"/>
              <w:start w:val="single" w:sz="6" w:space="0" w:color="D9DEE7"/>
              <w:bottom w:val="single" w:sz="6" w:space="0" w:color="D9DEE7"/>
              <w:end w:val="single" w:sz="6" w:space="0" w:color="D9DEE7"/>
            </w:tcBorders>
            <w:shd w:fill="FFFFFF"/>
            <w:vAlign w:val="center"/>
          </w:tcPr>
          <w:p>
            <w:pPr>
              <w:pStyle w:val="Normal"/>
              <w:spacing w:before="0" w:after="0"/>
              <w:rPr/>
            </w:pPr>
            <w:r>
              <w:rPr>
                <w:rFonts w:ascii="Aptos" w:hAnsi="Aptos"/>
                <w:b w:val="false"/>
                <w:color w:val="253247"/>
                <w:sz w:val="18"/>
              </w:rPr>
              <w:t>Inspection de la version publique consultable le 1er juillet 2026</w:t>
            </w:r>
          </w:p>
        </w:tc>
      </w:tr>
    </w:tbl>
    <w:p>
      <w:pPr>
        <w:pStyle w:val="Normal"/>
        <w:spacing w:before="0" w:after="0"/>
        <w:rPr/>
      </w:pPr>
      <w:r>
        <w:rPr/>
      </w:r>
    </w:p>
    <w:p>
      <w:pPr>
        <w:pStyle w:val="Normal"/>
        <w:rPr/>
      </w:pPr>
      <w:r>
        <w:rPr>
          <w:b/>
        </w:rPr>
        <w:t xml:space="preserve">Adresse de la page : </w:t>
      </w:r>
      <w:hyperlink r:id="rId42">
        <w:r>
          <w:rPr>
            <w:rStyle w:val="Hyperlink"/>
            <w:color w:val="0B3D91"/>
            <w:u w:val="single"/>
          </w:rPr>
          <w:t>https://gsleseminents.com/nos-infrastructures/</w:t>
        </w:r>
      </w:hyperlink>
    </w:p>
    <w:p>
      <w:pPr>
        <w:pStyle w:val="Heading2"/>
        <w:rPr/>
      </w:pPr>
      <w:r>
        <w:rPr/>
        <w:t>Banque de questions et réponses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4649"/>
        <w:gridCol w:w="4761"/>
      </w:tblGrid>
      <w:tr>
        <w:trPr>
          <w:tblHeader w:val="true"/>
        </w:trPr>
        <w:tc>
          <w:tcPr>
            <w:tcW w:w="4649"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QUESTION</w:t>
            </w:r>
          </w:p>
        </w:tc>
        <w:tc>
          <w:tcPr>
            <w:tcW w:w="4761"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RÉPONSE DE RÉFÉRENCE</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Q1. Quel est le titre exact de la page examinée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Q2. À quelle adresse cette page est-elle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https://gsleseminents.com/nos-infrastructures/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Q3. Dans quelle rubrique du site cette page est-elle classée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À PROPOS DE NOUS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Q4. Quel est le chemin de navigation correspondant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À PROPOS DE NOUS &gt;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Q5. Quel contenu textuel de fond est détecté sous le titre « NOS INFRASTRUCTURES »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Aucun paragraphe de fond n’a été détecté dans la version publique consultable ; le titre de la page et la navigation sont visibles.</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Q6. Quelle information peut être affirmée sans ajouter de contenu extérieur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La page existe sous l’intitulé « NOS INFRASTRUCTURES » dans le menu « À PROPOS DE NOUS ».</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Q7. Quel est le statut éditorial observable de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Page accessible et structurée dans le menu, mais contenu de fond non détecté lors de l’inspection.</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Q8. Quels autres intitulés sont présentés au même niveau de navigation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NOTRE VISION ET MISSION, NOTRE APPROCHE ÉDUCATIVE, MOT DU PROMOTEUR, MOT DE LA DIRECTION, NOTRE ÉQUIPE, NOS INFRASTRUCTURES</w:t>
            </w:r>
          </w:p>
        </w:tc>
      </w:tr>
      <w:tr>
        <w:trPr/>
        <w:tc>
          <w:tcPr>
            <w:tcW w:w="4649" w:type="dxa"/>
            <w:tcBorders>
              <w:top w:val="single" w:sz="6" w:space="0" w:color="D9DEE7"/>
              <w:start w:val="single" w:sz="6" w:space="0" w:color="D9DEE7"/>
              <w:bottom w:val="single" w:sz="6" w:space="0" w:color="D9DEE7"/>
              <w:end w:val="single" w:sz="6" w:space="0" w:color="D9DEE7"/>
            </w:tcBorders>
            <w:shd w:fill="F3F4F6"/>
            <w:tcMar>
              <w:top w:w="65" w:type="dxa"/>
              <w:bottom w:w="65" w:type="dxa"/>
            </w:tcMar>
          </w:tcPr>
          <w:p>
            <w:pPr>
              <w:pStyle w:val="Normal"/>
              <w:spacing w:before="0" w:after="0"/>
              <w:rPr/>
            </w:pPr>
            <w:r>
              <w:rPr>
                <w:rFonts w:ascii="Aptos" w:hAnsi="Aptos"/>
                <w:b/>
                <w:color w:val="253247"/>
                <w:sz w:val="17"/>
              </w:rPr>
              <w:t>Q9. Quelle prudence faut-il appliquer lorsqu’on répond à une question sur cette page ?</w:t>
            </w:r>
          </w:p>
        </w:tc>
        <w:tc>
          <w:tcPr>
            <w:tcW w:w="4761" w:type="dxa"/>
            <w:tcBorders>
              <w:top w:val="single" w:sz="6" w:space="0" w:color="D9DEE7"/>
              <w:start w:val="single" w:sz="6" w:space="0" w:color="D9DEE7"/>
              <w:bottom w:val="single" w:sz="6" w:space="0" w:color="D9DEE7"/>
              <w:end w:val="single" w:sz="6" w:space="0" w:color="D9DEE7"/>
            </w:tcBorders>
            <w:shd w:fill="FFF7DF"/>
            <w:tcMar>
              <w:top w:w="65" w:type="dxa"/>
              <w:bottom w:w="65" w:type="dxa"/>
            </w:tcMar>
          </w:tcPr>
          <w:p>
            <w:pPr>
              <w:pStyle w:val="Normal"/>
              <w:spacing w:before="0" w:after="0"/>
              <w:rPr/>
            </w:pPr>
            <w:r>
              <w:rPr>
                <w:rFonts w:ascii="Aptos" w:hAnsi="Aptos"/>
                <w:b w:val="false"/>
                <w:color w:val="253247"/>
                <w:sz w:val="17"/>
              </w:rPr>
              <w:t>Ne pas inventer de contenu : limiter la réponse au titre, à sa place dans le menu et au constat d’absence de texte de fond détecté.</w:t>
            </w:r>
          </w:p>
        </w:tc>
      </w:tr>
      <w:tr>
        <w:trPr/>
        <w:tc>
          <w:tcPr>
            <w:tcW w:w="4649"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color w:val="253247"/>
                <w:sz w:val="17"/>
              </w:rPr>
              <w:t>Q10. Quelle réponse courte reste entièrement fidèle à la page publiée ?</w:t>
            </w:r>
          </w:p>
        </w:tc>
        <w:tc>
          <w:tcPr>
            <w:tcW w:w="4761" w:type="dxa"/>
            <w:tcBorders>
              <w:top w:val="single" w:sz="6" w:space="0" w:color="D9DEE7"/>
              <w:start w:val="single" w:sz="6" w:space="0" w:color="D9DEE7"/>
              <w:bottom w:val="single" w:sz="6" w:space="0" w:color="D9DEE7"/>
              <w:end w:val="single" w:sz="6" w:space="0" w:color="D9DEE7"/>
            </w:tcBorders>
            <w:shd w:fill="FFFFFF"/>
            <w:tcMar>
              <w:top w:w="65" w:type="dxa"/>
              <w:bottom w:w="65" w:type="dxa"/>
            </w:tcMar>
          </w:tcPr>
          <w:p>
            <w:pPr>
              <w:pStyle w:val="Normal"/>
              <w:spacing w:before="0" w:after="0"/>
              <w:rPr/>
            </w:pPr>
            <w:r>
              <w:rPr>
                <w:rFonts w:ascii="Aptos" w:hAnsi="Aptos"/>
                <w:b w:val="false"/>
                <w:color w:val="253247"/>
                <w:sz w:val="17"/>
              </w:rPr>
              <w:t>« NOS INFRASTRUCTURES » est une page du menu « À PROPOS DE NOUS » dont le contenu de fond n’est pas encore détectable dans la version publique inspectée.</w:t>
            </w:r>
          </w:p>
        </w:tc>
      </w:tr>
    </w:tbl>
    <w:p>
      <w:pPr>
        <w:pStyle w:val="Normal"/>
        <w:spacing w:before="0" w:after="0"/>
        <w:rPr/>
      </w:pPr>
      <w:r>
        <w:rPr/>
      </w:r>
    </w:p>
    <w:p>
      <w:pPr>
        <w:pStyle w:val="Heading1"/>
        <w:pBdr>
          <w:bottom w:val="single" w:sz="24" w:space="1" w:color="D4AF37"/>
        </w:pBdr>
        <w:rPr/>
      </w:pPr>
      <w:r>
        <w:rPr/>
        <w:t>Glossaire des mots clés, sigles, abréviations et termes difficiles</w:t>
      </w:r>
    </w:p>
    <w:p>
      <w:pPr>
        <w:pStyle w:val="Normal"/>
        <w:rPr/>
      </w:pPr>
      <w:r>
        <w:rPr/>
        <w:t>Les définitions ci-dessous facilitent la compréhension du menu, de la banque de questions et des enjeux éditoriaux associés.</w:t>
      </w:r>
    </w:p>
    <w:tbl>
      <w:tblPr>
        <w:tblW w:w="9411" w:type="dxa"/>
        <w:jc w:val="center"/>
        <w:tblInd w:w="0" w:type="dxa"/>
        <w:tblLayout w:type="fixed"/>
        <w:tblCellMar>
          <w:top w:w="70" w:type="dxa"/>
          <w:start w:w="100" w:type="dxa"/>
          <w:bottom w:w="70" w:type="dxa"/>
          <w:end w:w="100" w:type="dxa"/>
        </w:tblCellMar>
        <w:tblLook w:val="04a0" w:noHBand="0" w:noVBand="1" w:firstColumn="1" w:lastRow="0" w:lastColumn="0" w:firstRow="1"/>
      </w:tblPr>
      <w:tblGrid>
        <w:gridCol w:w="2834"/>
        <w:gridCol w:w="6576"/>
      </w:tblGrid>
      <w:tr>
        <w:trPr>
          <w:tblHeader w:val="true"/>
        </w:trPr>
        <w:tc>
          <w:tcPr>
            <w:tcW w:w="2834"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TERME / SIGLE</w:t>
            </w:r>
          </w:p>
        </w:tc>
        <w:tc>
          <w:tcPr>
            <w:tcW w:w="6576" w:type="dxa"/>
            <w:tcBorders>
              <w:top w:val="single" w:sz="6" w:space="0" w:color="0B3D91"/>
              <w:start w:val="single" w:sz="6" w:space="0" w:color="0B3D91"/>
              <w:bottom w:val="single" w:sz="6" w:space="0" w:color="0B3D91"/>
              <w:end w:val="single" w:sz="6" w:space="0" w:color="0B3D91"/>
            </w:tcBorders>
            <w:shd w:fill="0B3D91"/>
          </w:tcPr>
          <w:p>
            <w:pPr>
              <w:pStyle w:val="Normal"/>
              <w:spacing w:before="0" w:after="0"/>
              <w:jc w:val="center"/>
              <w:rPr/>
            </w:pPr>
            <w:r>
              <w:rPr>
                <w:rFonts w:ascii="Aptos" w:hAnsi="Aptos"/>
                <w:b/>
                <w:color w:val="FFFFFF"/>
                <w:sz w:val="18"/>
              </w:rPr>
              <w:t>DÉFINITION</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Accessibilité numérique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Conception permettant au plus grand nombre, y compris les personnes handicapées, d’utiliser un site.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Approche éducative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Ensemble cohérent de principes, méthodes et pratiques utilisés pour enseigner et accompagner les élèves.</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Arborescence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Organisation hiérarchique des menus, pages et sous-pages d’un site.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Aspiration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Ambition ou objectif élevé vers lequel une personne ou une institution veut progresser.</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Autonomie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Capacité d’agir, de décider et d’apprendre avec une indépendance adaptée.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Bilinguisme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Capacité d’utiliser deux langues ; dans le projet GSE, le français et l’anglais.</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Caractère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Ensemble des dispositions morales et comportementales qui se manifestent dans la conduite d’une personne.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Communauté</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Ensemble de personnes liées par un lieu, une institution, des intérêts ou des valeurs.</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Compétence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Capacité à mobiliser des connaissances, des méthodes et des attitudes pour agir efficacement.</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Contenu de fond</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Texte ou information qui développe réellement un titre, au-delà de la simple présence de celui-ci.</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Devise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Formule courte qui résume l’identité ou les engagements d’une institution.</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Direction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Instance chargée de piloter le fonctionnement pédagogique et administratif quotidien.</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Développement intégral</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Formation de toutes les dimensions de la personne : intellectuelle, physique, sociale, morale, émotionnelle et spirituelle.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Engagement citoyen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Participation responsable à la vie et au développement de la communauté.</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Enseignement bilingue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Organisation de l’apprentissage qui développe et utilise deux langues.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Environnement international</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Cadre dans lequel plusieurs pays, langues et cultures interagissent.</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Excellence académique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Recherche d’apprentissages solides, exigeants et de haute qualité.</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Extrapolation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Ajout d’une conclusion ou d’une information qui dépasse ce que la source permet d’affirmer.</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FAQ</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Foire aux questions : ensemble organisé de questions fréquentes et de réponses.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Foi</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Confiance spirituelle et adhésion à des convictions religieuses.</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GSE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Abréviation de GROUPE SCOLAIRE LES ÉMINENTS.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HTML</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Langage de balisage utilisé pour structurer le contenu visible d’une page web.</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IA</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Intelligence artificielle.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Identité forte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Conscience claire de ses valeurs, de ses responsabilités et de son appartenance.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Influence positive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Effet constructif exercé sur les personnes, les décisions ou la communauté.</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Infrastructure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Bâtiment, espace, équipement ou installation nécessaire au fonctionnement de l’école.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Innovation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Introduction d’idées, de méthodes ou d’outils nouveaux pour améliorer les résultats.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Inspection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Examen méthodique d’une page, de sa structure et de son contenu observable.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Institution de référence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Organisation reconnue comme modèle de qualité et de fiabilité dans son domaine.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Leadership</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Capacité d’influencer, de guider et de servir positivement un groupe ou une communauté.</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Mission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Raison d’être et ensemble des actions principales réalisées pour atteindre la vision.</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Numérique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Ensemble des technologies qui traitent, stockent et transmettent l’information sous forme digitale.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Ouverture sur le monde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Disposition à comprendre d’autres réalités, cultures et environnements.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Page de regroupement</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Page qui organise plusieurs sous-pages autour d’un même thème.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Paraphrase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Reformulation fidèle d’un contenu avec des mots différents.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Performance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Niveau de résultat obtenu dans une activité ou un apprentissage.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Promoteur</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Personne qui porte, initie et soutient le projet de création et de développement de l’établissement.</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Pédagogie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Science et pratique de l’enseignement et de l’apprentissage.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Pédagogie active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Méthodes qui font participer l’élève à la découverte, à la réflexion, à l’action et à la résolution de problèmes.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RDC</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République démocratique du Congo.</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Rigueur</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Qualité d’un travail précis, méthodique et exigeant.</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Référencement</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Techniques qui améliorent la compréhension et la visibilité d’une page dans les moteurs de recherche.</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Réponse de référence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Réponse fondée sur la source observée, sans ajout non vérifié.</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Sous-domaine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Partie ajoutée avant le nom de domaine principal, par exemple « test » dans test.exemple.com.</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Sous-menu</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Élément de navigation placé sous une rubrique principale.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Statut éditorial</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État observable d’un contenu : publié, développé, incomplet, non détecté ou à mettre à jour.</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Technologies éducatives</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Outils et usages numériques mobilisés pour soutenir l’enseignement, l’apprentissage et le suivi.</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TIC</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Technologies de l’information et de la communication.</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TICE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Technologies de l’information et de la communication pour l’enseignement.</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URL</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Adresse permettant d’accéder à une page ou à une ressource sur Internet.</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Valeur</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Principe qui guide les décisions, les comportements et les relations.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Version publique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Version d’un site accessible aux visiteurs sur Internet.</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Vision</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Image de l’avenir que l’institution veut construire à long terme.</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À propos</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Rubrique qui présente l’identité, l’histoire, les orientations, les responsables et les moyens d’une institution.</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Éducation chrétienne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Formation inspirée par la foi chrétienne et orientée vers des valeurs telles que la vérité, le respect, le service et l’intégrité.</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ÉMINA</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Assistante institutionnelle du GROUPE SCOLAIRE LES ÉMINENTS.</w:t>
            </w:r>
          </w:p>
        </w:tc>
      </w:tr>
      <w:tr>
        <w:trPr/>
        <w:tc>
          <w:tcPr>
            <w:tcW w:w="2834" w:type="dxa"/>
            <w:tcBorders>
              <w:top w:val="single" w:sz="6" w:space="0" w:color="D9DEE7"/>
              <w:start w:val="single" w:sz="6" w:space="0" w:color="D9DEE7"/>
              <w:bottom w:val="single" w:sz="6" w:space="0" w:color="D9DEE7"/>
              <w:end w:val="single" w:sz="6" w:space="0" w:color="D9DEE7"/>
            </w:tcBorders>
            <w:shd w:fill="EAF2FB"/>
          </w:tcPr>
          <w:p>
            <w:pPr>
              <w:pStyle w:val="Normal"/>
              <w:spacing w:before="0" w:after="0"/>
              <w:rPr/>
            </w:pPr>
            <w:r>
              <w:rPr>
                <w:rFonts w:ascii="Aptos" w:hAnsi="Aptos"/>
                <w:b/>
                <w:color w:val="0B3D91"/>
                <w:sz w:val="17"/>
              </w:rPr>
              <w:t>Épanouissement</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Développement harmonieux des capacités intellectuelles, sociales, affectives, morales et spirituelles.</w:t>
            </w:r>
          </w:p>
        </w:tc>
      </w:tr>
      <w:tr>
        <w:trPr/>
        <w:tc>
          <w:tcPr>
            <w:tcW w:w="2834"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color w:val="0B3D91"/>
                <w:sz w:val="17"/>
              </w:rPr>
              <w:t>Équipe</w:t>
            </w:r>
          </w:p>
        </w:tc>
        <w:tc>
          <w:tcPr>
            <w:tcW w:w="6576" w:type="dxa"/>
            <w:tcBorders>
              <w:top w:val="single" w:sz="6" w:space="0" w:color="D9DEE7"/>
              <w:start w:val="single" w:sz="6" w:space="0" w:color="D9DEE7"/>
              <w:bottom w:val="single" w:sz="6" w:space="0" w:color="D9DEE7"/>
              <w:end w:val="single" w:sz="6" w:space="0" w:color="D9DEE7"/>
            </w:tcBorders>
            <w:shd w:fill="FFFFFF"/>
          </w:tcPr>
          <w:p>
            <w:pPr>
              <w:pStyle w:val="Normal"/>
              <w:spacing w:before="0" w:after="0"/>
              <w:rPr/>
            </w:pPr>
            <w:r>
              <w:rPr>
                <w:rFonts w:ascii="Aptos" w:hAnsi="Aptos"/>
                <w:b w:val="false"/>
                <w:color w:val="253247"/>
                <w:sz w:val="17"/>
              </w:rPr>
              <w:t>Ensemble de personnes qui coopèrent pour atteindre des objectifs communs.</w:t>
            </w:r>
          </w:p>
        </w:tc>
      </w:tr>
    </w:tbl>
    <w:p>
      <w:pPr>
        <w:pStyle w:val="Heading1"/>
        <w:pBdr>
          <w:bottom w:val="single" w:sz="24" w:space="1" w:color="D4AF37"/>
        </w:pBdr>
        <w:rPr/>
      </w:pPr>
      <w:r>
        <w:rPr/>
        <w:t>Recommandations éditoriales prioritaires</w:t>
      </w:r>
    </w:p>
    <w:p>
      <w:pPr>
        <w:pStyle w:val="Normal"/>
        <w:rPr/>
      </w:pPr>
      <w:r>
        <w:rPr>
          <w:b/>
          <w:color w:val="0B3D91"/>
        </w:rPr>
        <w:t xml:space="preserve">Publier un texte HTML sous chaque titre — </w:t>
      </w:r>
      <w:r>
        <w:rPr/>
        <w:t>Chaque page doit comporter une introduction, des sous-titres, des paragraphes et des liens internes ; le contenu ne devrait pas être uniquement porté par des images.</w:t>
      </w:r>
    </w:p>
    <w:p>
      <w:pPr>
        <w:pStyle w:val="Normal"/>
        <w:rPr/>
      </w:pPr>
      <w:r>
        <w:rPr>
          <w:b/>
          <w:color w:val="0B3D91"/>
        </w:rPr>
        <w:t xml:space="preserve">Développer les quinze pages incomplètes — </w:t>
      </w:r>
      <w:r>
        <w:rPr/>
        <w:t>Commencer par Mission, Valeurs, Devise, Approche éducative, Mot du promoteur, Mot de la direction, Équipe et Infrastructures.</w:t>
      </w:r>
    </w:p>
    <w:p>
      <w:pPr>
        <w:pStyle w:val="Normal"/>
        <w:rPr/>
      </w:pPr>
      <w:r>
        <w:rPr>
          <w:b/>
          <w:color w:val="0B3D91"/>
        </w:rPr>
        <w:t xml:space="preserve">Harmoniser les intitulés — </w:t>
      </w:r>
      <w:r>
        <w:rPr/>
        <w:t>Utiliser systématiquement les accents : À PROPOS, ÉDUCATIVE, ÉQUIPE, ÉDUCATION, etc.</w:t>
      </w:r>
    </w:p>
    <w:p>
      <w:pPr>
        <w:pStyle w:val="Normal"/>
        <w:rPr/>
      </w:pPr>
      <w:r>
        <w:rPr>
          <w:b/>
          <w:color w:val="0B3D91"/>
        </w:rPr>
        <w:t xml:space="preserve">Relier les pages entre elles — </w:t>
      </w:r>
      <w:r>
        <w:rPr/>
        <w:t>Créer des liens contextuels entre vision, mission, valeurs, programmes, admissions, sécurité, partenariats et résultats.</w:t>
      </w:r>
    </w:p>
    <w:p>
      <w:pPr>
        <w:pStyle w:val="Normal"/>
        <w:rPr/>
      </w:pPr>
      <w:r>
        <w:rPr>
          <w:b/>
          <w:color w:val="0B3D91"/>
        </w:rPr>
        <w:t xml:space="preserve">Préparer l’intégration à ÉMINA — </w:t>
      </w:r>
      <w:r>
        <w:rPr/>
        <w:t>Chaque page développée doit fournir des réponses courtes, vérifiables et versionnées pour l’Assistante institutionnelle.</w:t>
      </w:r>
    </w:p>
    <w:p>
      <w:pPr>
        <w:pStyle w:val="Normal"/>
        <w:rPr/>
      </w:pPr>
      <w:r>
        <w:rPr>
          <w:b/>
          <w:color w:val="0B3D91"/>
        </w:rPr>
        <w:t xml:space="preserve">Prévoir les traductions — </w:t>
      </w:r>
      <w:r>
        <w:rPr/>
        <w:t>Conserver une source française et anglaise fiable, puis développer méthodiquement les versions dans les langues nationales prévues.</w:t>
      </w:r>
    </w:p>
    <w:p>
      <w:pPr>
        <w:pStyle w:val="Normal"/>
        <w:rPr/>
      </w:pPr>
      <w:r>
        <w:rPr>
          <w:b/>
          <w:color w:val="0B3D91"/>
        </w:rPr>
        <w:t xml:space="preserve">Améliorer l’accessibilité — </w:t>
      </w:r>
      <w:r>
        <w:rPr/>
        <w:t>Ajouter des textes alternatifs pertinents aux images, des titres structurés et un contraste suffisant.</w:t>
      </w:r>
    </w:p>
    <w:p>
      <w:pPr>
        <w:pStyle w:val="Normal"/>
        <w:rPr/>
      </w:pPr>
      <w:r>
        <w:rPr>
          <w:b/>
          <w:color w:val="0B3D91"/>
        </w:rPr>
        <w:t xml:space="preserve">Mettre à jour le pied de page — </w:t>
      </w:r>
      <w:r>
        <w:rPr/>
        <w:t>Remplacer les coordonnées et textes génériques encore visibles par les coordonnées officielles de l’établissement.</w:t>
      </w:r>
    </w:p>
    <w:p>
      <w:pPr>
        <w:pStyle w:val="Heading1"/>
        <w:pBdr>
          <w:bottom w:val="single" w:sz="24" w:space="1" w:color="D4AF37"/>
        </w:pBdr>
        <w:rPr/>
      </w:pPr>
      <w:r>
        <w:rPr/>
        <w:t>Conclusion</w:t>
      </w:r>
    </w:p>
    <w:p>
      <w:pPr>
        <w:pStyle w:val="Normal"/>
        <w:rPr/>
      </w:pPr>
      <w:r>
        <w:rPr/>
        <w:t>Le menu « À propos » possède une arborescence institutionnelle pertinente et couvre les principaux axes attendus : identité, vision, mission, valeurs, méthode éducative, gouvernance humaine et infrastructures. Toutefois, l’audit met en évidence un écart important entre la richesse de l’arborescence et la quantité de contenu de fond actuellement détectable. La page « Notre vision » constitue une base solide ; les autres pages doivent être développées pour que le menu remplisse pleinement sa fonction de présentation, de confiance, de référencement et d’alimentation de la base de connaissances d’ÉMINA.</w:t>
      </w:r>
    </w:p>
    <w:p>
      <w:pPr>
        <w:pStyle w:val="Normal"/>
        <w:jc w:val="center"/>
        <w:rPr/>
      </w:pPr>
      <w:r>
        <w:rPr>
          <w:b/>
          <w:color w:val="0B3D91"/>
          <w:sz w:val="26"/>
        </w:rPr>
        <w:t>FIN DU DOCUMENT</w:t>
      </w:r>
    </w:p>
    <w:p>
      <w:pPr>
        <w:pStyle w:val="Normal"/>
        <w:rPr/>
      </w:pPr>
      <w:r>
        <w:rPr/>
      </w:r>
      <w:r>
        <w:br w:type="page"/>
      </w:r>
    </w:p>
    <w:p>
      <w:pPr>
        <w:pStyle w:val="Normal"/>
        <w:rPr/>
      </w:pPr>
      <w:r>
        <w:rPr/>
      </w:r>
    </w:p>
    <w:p>
      <w:pPr>
        <w:pStyle w:val="Normal"/>
        <w:spacing w:before="240" w:after="80"/>
        <w:jc w:val="center"/>
        <w:rPr/>
      </w:pPr>
      <w:r>
        <w:rPr/>
        <w:drawing>
          <wp:inline distT="0" distB="0" distL="0" distR="0">
            <wp:extent cx="1332230" cy="1385570"/>
            <wp:effectExtent l="0" t="0" r="0" b="0"/>
            <wp:docPr id="15" name="Image9" descr="Image: image1.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Image: image1.png" title=""/>
                    <pic:cNvPicPr>
                      <a:picLocks noChangeAspect="1" noChangeArrowheads="1"/>
                    </pic:cNvPicPr>
                  </pic:nvPicPr>
                  <pic:blipFill>
                    <a:blip r:embed="rId43"/>
                    <a:stretch>
                      <a:fillRect/>
                    </a:stretch>
                  </pic:blipFill>
                  <pic:spPr bwMode="auto">
                    <a:xfrm>
                      <a:off x="0" y="0"/>
                      <a:ext cx="1332230" cy="1385570"/>
                    </a:xfrm>
                    <a:prstGeom prst="rect">
                      <a:avLst/>
                    </a:prstGeom>
                    <a:noFill/>
                  </pic:spPr>
                </pic:pic>
              </a:graphicData>
            </a:graphic>
          </wp:inline>
        </w:drawing>
      </w:r>
    </w:p>
    <w:p>
      <w:pPr>
        <w:pStyle w:val="Normal"/>
        <w:pBdr>
          <w:bottom w:val="single" w:sz="28" w:space="1" w:color="D4AF37"/>
        </w:pBdr>
        <w:spacing w:before="200" w:after="80"/>
        <w:jc w:val="center"/>
        <w:rPr/>
      </w:pPr>
      <w:r>
        <w:rPr>
          <w:rFonts w:ascii="Aptos Display" w:hAnsi="Aptos Display"/>
          <w:b/>
          <w:color w:val="0B3D91"/>
          <w:sz w:val="50"/>
        </w:rPr>
        <w:t>GROUPE SCOLAIRE</w:t>
        <w:br/>
        <w:t>LES ÉMINENTS</w:t>
      </w:r>
    </w:p>
    <w:p>
      <w:pPr>
        <w:pStyle w:val="Normal"/>
        <w:spacing w:before="320" w:after="80"/>
        <w:jc w:val="center"/>
        <w:rPr/>
      </w:pPr>
      <w:r>
        <w:rPr>
          <w:rFonts w:ascii="Aptos Display" w:hAnsi="Aptos Display"/>
          <w:b/>
          <w:color w:val="0B3D91"/>
          <w:sz w:val="38"/>
        </w:rPr>
        <w:t>RELEVÉ COMPLET ET BANQUE EXHAUSTIVE</w:t>
        <w:br/>
        <w:t>DU MENU « PROGRAMMES » ET DE SES SOUS-MENUS</w:t>
      </w:r>
    </w:p>
    <w:p>
      <w:pPr>
        <w:pStyle w:val="Normal"/>
        <w:jc w:val="center"/>
        <w:rPr/>
      </w:pPr>
      <w:r>
        <w:rPr>
          <w:rFonts w:ascii="Aptos" w:hAnsi="Aptos"/>
          <w:i/>
          <w:color w:val="5B6573"/>
          <w:sz w:val="22"/>
        </w:rPr>
        <w:t>Questions-réponses de référence • raison des titres • importance institutionnelle • liens entre sections • glossaire</w:t>
      </w:r>
    </w:p>
    <w:tbl>
      <w:tblPr>
        <w:tblW w:w="9184" w:type="dxa"/>
        <w:jc w:val="center"/>
        <w:tblInd w:w="0" w:type="dxa"/>
        <w:tblLayout w:type="fixed"/>
        <w:tblCellMar>
          <w:top w:w="90" w:type="dxa"/>
          <w:start w:w="95" w:type="dxa"/>
          <w:bottom w:w="90" w:type="dxa"/>
          <w:end w:w="95" w:type="dxa"/>
        </w:tblCellMar>
        <w:tblLook w:val="04a0" w:noHBand="0" w:noVBand="1" w:firstColumn="1" w:lastRow="0" w:lastColumn="0" w:firstRow="1"/>
      </w:tblPr>
      <w:tblGrid>
        <w:gridCol w:w="3684"/>
        <w:gridCol w:w="1815"/>
        <w:gridCol w:w="3685"/>
      </w:tblGrid>
      <w:tr>
        <w:trPr/>
        <w:tc>
          <w:tcPr>
            <w:tcW w:w="3684" w:type="dxa"/>
            <w:tcBorders>
              <w:top w:val="single" w:sz="4" w:space="0" w:color="0B3D91"/>
              <w:start w:val="single" w:sz="4" w:space="0" w:color="0B3D91"/>
              <w:bottom w:val="single" w:sz="4" w:space="0" w:color="0B3D91"/>
              <w:end w:val="single" w:sz="4" w:space="0" w:color="0B3D91"/>
            </w:tcBorders>
            <w:shd w:fill="0B3D91"/>
          </w:tcPr>
          <w:p>
            <w:pPr>
              <w:pStyle w:val="Normal"/>
              <w:spacing w:before="0" w:after="80"/>
              <w:rPr/>
            </w:pPr>
            <w:r>
              <w:rPr/>
            </w:r>
          </w:p>
        </w:tc>
        <w:tc>
          <w:tcPr>
            <w:tcW w:w="1815" w:type="dxa"/>
            <w:tcBorders>
              <w:top w:val="single" w:sz="4" w:space="0" w:color="D4AF37"/>
              <w:start w:val="single" w:sz="4" w:space="0" w:color="D4AF37"/>
              <w:bottom w:val="single" w:sz="4" w:space="0" w:color="D4AF37"/>
              <w:end w:val="single" w:sz="4" w:space="0" w:color="D4AF37"/>
            </w:tcBorders>
            <w:shd w:fill="D4AF37"/>
          </w:tcPr>
          <w:p>
            <w:pPr>
              <w:pStyle w:val="Normal"/>
              <w:spacing w:before="0" w:after="80"/>
              <w:rPr/>
            </w:pPr>
            <w:r>
              <w:rPr/>
            </w:r>
          </w:p>
        </w:tc>
        <w:tc>
          <w:tcPr>
            <w:tcW w:w="3685" w:type="dxa"/>
            <w:tcBorders>
              <w:top w:val="single" w:sz="4" w:space="0" w:color="0B3D91"/>
              <w:start w:val="single" w:sz="4" w:space="0" w:color="0B3D91"/>
              <w:bottom w:val="single" w:sz="4" w:space="0" w:color="0B3D91"/>
              <w:end w:val="single" w:sz="4" w:space="0" w:color="0B3D91"/>
            </w:tcBorders>
            <w:shd w:fill="0B3D91"/>
          </w:tcPr>
          <w:p>
            <w:pPr>
              <w:pStyle w:val="Normal"/>
              <w:spacing w:before="0" w:after="80"/>
              <w:rPr/>
            </w:pPr>
            <w:r>
              <w:rPr/>
            </w:r>
          </w:p>
        </w:tc>
      </w:tr>
    </w:tbl>
    <w:p>
      <w:pPr>
        <w:pStyle w:val="Normal"/>
        <w:spacing w:before="360" w:after="80"/>
        <w:jc w:val="center"/>
        <w:rPr/>
      </w:pPr>
      <w:r>
        <w:rPr>
          <w:b/>
          <w:color w:val="0B3D91"/>
          <w:sz w:val="21"/>
        </w:rPr>
        <w:t>Document institutionnel de travail — 1er juillet 2026</w:t>
      </w:r>
    </w:p>
    <w:p>
      <w:pPr>
        <w:pStyle w:val="Normal"/>
        <w:jc w:val="center"/>
        <w:rPr/>
      </w:pPr>
      <w:r>
        <w:rPr>
          <w:color w:val="5B6573"/>
          <w:sz w:val="20"/>
        </w:rPr>
        <w:t>Site de référence : test.gsleseminents.com</w:t>
      </w:r>
    </w:p>
    <w:p>
      <w:pPr>
        <w:pStyle w:val="Normal"/>
        <w:spacing w:before="240" w:after="80"/>
        <w:jc w:val="center"/>
        <w:rPr/>
      </w:pPr>
      <w:r>
        <w:rPr>
          <w:b/>
          <w:color w:val="D4AF37"/>
          <w:sz w:val="22"/>
        </w:rPr>
        <w:t>FOI • EXCELLENCE • INTÉGRITÉ • LEADERSHIP</w:t>
      </w:r>
    </w:p>
    <w:p>
      <w:pPr>
        <w:pStyle w:val="Normal"/>
        <w:rPr/>
      </w:pPr>
      <w:r>
        <w:rPr/>
      </w:r>
      <w:r>
        <w:br w:type="page"/>
      </w:r>
    </w:p>
    <w:p>
      <w:pPr>
        <w:pStyle w:val="Heading1"/>
        <w:pBdr>
          <w:bottom w:val="single" w:sz="14" w:space="1" w:color="D4AF37"/>
        </w:pBdr>
        <w:spacing w:before="0" w:after="100"/>
        <w:rPr/>
      </w:pPr>
      <w:r>
        <w:rPr/>
        <w:t>1. Objet, périmètre et méthode</w:t>
      </w:r>
    </w:p>
    <w:p>
      <w:pPr>
        <w:pStyle w:val="Normal"/>
        <w:spacing w:before="0" w:after="120"/>
        <w:rPr/>
      </w:pPr>
      <w:r>
        <w:rPr/>
        <w:t>Ce document relève les points effectivement enregistrés dans le menu « Programmes » et ses sous-menus du site test. La source principale est l’export WordPress complet du 28 juin 2026, qui permet de distinguer les pages publiées, les sections développées et les pages encore à l’état de brouillon. Les réponses de la banque restent limitées au texte sous-jacent à chaque titre ou au statut éditorial objectivement constaté.</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Source principale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GSE_TEST_Export_WordPress_Complet_2026-06-28.xml.xml — export WXR du site test.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Contrôle complémentaire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Base maîtresse ÉMINA RC20.5 et relevé de l’arborescence de la page d’accueil.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Règle de fidélité</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Aucune réponse n’ajoute une promesse absente du texte-source. Les analyses de raison, d’importance et de liens sont clairement séparées du contenu publié.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Périmètre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Programmes scolaires, Maternelle, Primaire, Bilinguisme français–anglais, page Secondaire en brouillon et page Programme spirituel en brouillon.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Volume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30 fiches thématiques ; 300 questions-réponses ; 85 définitions.</w:t>
            </w:r>
          </w:p>
        </w:tc>
      </w:tr>
    </w:tbl>
    <w:p>
      <w:pPr>
        <w:pStyle w:val="Normal"/>
        <w:spacing w:before="20" w:after="0"/>
        <w:rPr/>
      </w:pPr>
      <w:r>
        <w:rPr/>
      </w:r>
    </w:p>
    <w:p>
      <w:pPr>
        <w:pStyle w:val="Heading1"/>
        <w:pBdr>
          <w:bottom w:val="single" w:sz="14" w:space="1" w:color="D4AF37"/>
        </w:pBdr>
        <w:rPr/>
      </w:pPr>
      <w:r>
        <w:rPr/>
        <w:t>2. Légende des statuts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890"/>
        <w:gridCol w:w="6633"/>
      </w:tblGrid>
      <w:tr>
        <w:trPr/>
        <w:tc>
          <w:tcPr>
            <w:tcW w:w="2890" w:type="dxa"/>
            <w:tcBorders>
              <w:top w:val="single" w:sz="4" w:space="0" w:color="2E6F40"/>
              <w:start w:val="single" w:sz="4" w:space="0" w:color="2E6F40"/>
              <w:bottom w:val="single" w:sz="4" w:space="0" w:color="2E6F40"/>
              <w:end w:val="single" w:sz="4" w:space="0" w:color="2E6F40"/>
            </w:tcBorders>
            <w:shd w:fill="2E6F40"/>
            <w:vAlign w:val="center"/>
          </w:tcPr>
          <w:p>
            <w:pPr>
              <w:pStyle w:val="Normal"/>
              <w:spacing w:lineRule="auto" w:line="240" w:before="0" w:after="0"/>
              <w:jc w:val="center"/>
              <w:rPr/>
            </w:pPr>
            <w:r>
              <w:rPr>
                <w:rFonts w:ascii="Aptos" w:hAnsi="Aptos"/>
                <w:b/>
                <w:i w:val="false"/>
                <w:color w:val="FFFFFF"/>
                <w:sz w:val="16"/>
              </w:rPr>
              <w:t>PAGE PUBLIÉE AVEC CONTENU</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active comprenant un résumé et plusieurs sections textuelles développées.</w:t>
            </w:r>
          </w:p>
        </w:tc>
      </w:tr>
      <w:tr>
        <w:trPr/>
        <w:tc>
          <w:tcPr>
            <w:tcW w:w="2890" w:type="dxa"/>
            <w:tcBorders>
              <w:top w:val="single" w:sz="4" w:space="0" w:color="0B3D91"/>
              <w:start w:val="single" w:sz="4" w:space="0" w:color="0B3D91"/>
              <w:bottom w:val="single" w:sz="4" w:space="0" w:color="0B3D91"/>
              <w:end w:val="single" w:sz="4" w:space="0" w:color="0B3D91"/>
            </w:tcBorders>
            <w:shd w:fill="0B3D91"/>
            <w:vAlign w:val="center"/>
          </w:tcPr>
          <w:p>
            <w:pPr>
              <w:pStyle w:val="Normal"/>
              <w:spacing w:lineRule="auto" w:line="240" w:before="0" w:after="0"/>
              <w:jc w:val="center"/>
              <w:rPr/>
            </w:pPr>
            <w:r>
              <w:rPr>
                <w:rFonts w:ascii="Aptos" w:hAnsi="Aptos"/>
                <w:b/>
                <w:i w:val="false"/>
                <w:color w:val="FFFFFF"/>
                <w:sz w:val="16"/>
              </w:rPr>
              <w:t>SECTION / BLOC PUBLIÉ</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Titre et texte présents dans une page publiée.</w:t>
            </w:r>
          </w:p>
        </w:tc>
      </w:tr>
      <w:tr>
        <w:trPr/>
        <w:tc>
          <w:tcPr>
            <w:tcW w:w="2890" w:type="dxa"/>
            <w:tcBorders>
              <w:top w:val="single" w:sz="4" w:space="0" w:color="C46A14"/>
              <w:start w:val="single" w:sz="4" w:space="0" w:color="C46A14"/>
              <w:bottom w:val="single" w:sz="4" w:space="0" w:color="C46A14"/>
              <w:end w:val="single" w:sz="4" w:space="0" w:color="C46A14"/>
            </w:tcBorders>
            <w:shd w:fill="C46A14"/>
            <w:vAlign w:val="center"/>
          </w:tcPr>
          <w:p>
            <w:pPr>
              <w:pStyle w:val="Normal"/>
              <w:spacing w:lineRule="auto" w:line="240" w:before="0" w:after="0"/>
              <w:jc w:val="center"/>
              <w:rPr/>
            </w:pPr>
            <w:r>
              <w:rPr>
                <w:rFonts w:ascii="Aptos" w:hAnsi="Aptos"/>
                <w:b/>
                <w:i w:val="false"/>
                <w:color w:val="FFFFFF"/>
                <w:sz w:val="16"/>
              </w:rPr>
              <w:t>STRUCTURE DE NAVIGATION</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Intitulés et liens présents dans le menu ou l’arborescence.</w:t>
            </w:r>
          </w:p>
        </w:tc>
      </w:tr>
      <w:tr>
        <w:trPr/>
        <w:tc>
          <w:tcPr>
            <w:tcW w:w="2890" w:type="dxa"/>
            <w:tcBorders>
              <w:top w:val="single" w:sz="4" w:space="0" w:color="A61B1B"/>
              <w:start w:val="single" w:sz="4" w:space="0" w:color="A61B1B"/>
              <w:bottom w:val="single" w:sz="4" w:space="0" w:color="A61B1B"/>
              <w:end w:val="single" w:sz="4" w:space="0" w:color="A61B1B"/>
            </w:tcBorders>
            <w:shd w:fill="A61B1B"/>
            <w:vAlign w:val="center"/>
          </w:tcPr>
          <w:p>
            <w:pPr>
              <w:pStyle w:val="Normal"/>
              <w:spacing w:lineRule="auto" w:line="240" w:before="0" w:after="0"/>
              <w:jc w:val="center"/>
              <w:rPr/>
            </w:pPr>
            <w:r>
              <w:rPr>
                <w:rFonts w:ascii="Aptos" w:hAnsi="Aptos"/>
                <w:b/>
                <w:i w:val="false"/>
                <w:color w:val="FFFFFF"/>
                <w:sz w:val="16"/>
              </w:rPr>
              <w:t>BROUILLON — CONTENU VIDE</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enregistrée mais non publiée, sans texte de fond exploitable.</w:t>
            </w:r>
          </w:p>
        </w:tc>
      </w:tr>
    </w:tbl>
    <w:p>
      <w:pPr>
        <w:pStyle w:val="Heading1"/>
        <w:pBdr>
          <w:bottom w:val="single" w:sz="14" w:space="1" w:color="D4AF37"/>
        </w:pBdr>
        <w:rPr/>
      </w:pPr>
      <w:r>
        <w:rPr/>
        <w:t>3. Cartographie des fiches et de la banque</w:t>
      </w:r>
    </w:p>
    <w:tbl>
      <w:tblPr>
        <w:tblW w:w="952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623"/>
        <w:gridCol w:w="4650"/>
        <w:gridCol w:w="2722"/>
        <w:gridCol w:w="1530"/>
      </w:tblGrid>
      <w:tr>
        <w:trPr>
          <w:tblHeader w:val="true"/>
        </w:trPr>
        <w:tc>
          <w:tcPr>
            <w:tcW w:w="62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N°</w:t>
            </w:r>
          </w:p>
        </w:tc>
        <w:tc>
          <w:tcPr>
            <w:tcW w:w="465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TITRE / SECTION</w:t>
            </w:r>
          </w:p>
        </w:tc>
        <w:tc>
          <w:tcPr>
            <w:tcW w:w="2722"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STATUT</w:t>
            </w:r>
          </w:p>
        </w:tc>
        <w:tc>
          <w:tcPr>
            <w:tcW w:w="153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QUESTIONS</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Menu « NOS PROGRAMMES SCOLAIRES »</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STRUCTURE DE NAVIGATION RELEVÉE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Programmes scolaires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PAGE PUBLIÉE AVEC CONTENU</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3</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Programmes nationaux et enrichissements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4</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Maternelle — aperçu sur la page Programmes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5</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Primaire — aperçu sur la page Programmes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6</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Bilinguisme — aperçu sur la page Programmes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7</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Formation intégrale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8</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Évaluation et suivi</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9</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La Maternelle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PAGE PUBLIÉE AVEC CONTENU</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Les trois niveaux ouverts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11</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Grandir en confiance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12</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Langage et communication</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13</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Motricité et autonomie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14</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Découverte du monde</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15</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Vie sociale et valeurs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16</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Rythme du jeune enfant</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17</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Le Primaire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PAGE PUBLIÉE AVEC CONTENU</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18</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Niveaux ouverts en 2026-2027</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19</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Construire des bases durables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20</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Français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21</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Mathématiques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22</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Sciences et numérique</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23</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Valeurs et leadership</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BLOC PUBLIÉ</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24</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Accompagnement personnalisé</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25</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Bilinguisme français–anglais</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PAGE PUBLIÉE AVEC CONTENU</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26</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L’anglais comme outil d’avenir</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27</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Principes de notre approche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28</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Ce que nous évitons</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SECTION PUBLIÉE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29</w:t>
            </w:r>
          </w:p>
        </w:tc>
        <w:tc>
          <w:tcPr>
            <w:tcW w:w="465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SECTION SECONDAIRE</w:t>
            </w:r>
          </w:p>
        </w:tc>
        <w:tc>
          <w:tcPr>
            <w:tcW w:w="2722"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BROUILLON — CONTENU VIDE</w:t>
            </w:r>
          </w:p>
        </w:tc>
        <w:tc>
          <w:tcPr>
            <w:tcW w:w="1530" w:type="dxa"/>
            <w:tcBorders>
              <w:top w:val="single" w:sz="4" w:space="0" w:color="D9DEE7"/>
              <w:start w:val="single" w:sz="4" w:space="0" w:color="D9DEE7"/>
              <w:bottom w:val="single" w:sz="4" w:space="0" w:color="D9DEE7"/>
              <w:end w:val="single" w:sz="4" w:space="0" w:color="D9DEE7"/>
            </w:tcBorders>
            <w:shd w:fill="F3F4F6"/>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r>
        <w:trPr>
          <w:cantSplit w:val="true"/>
        </w:trPr>
        <w:tc>
          <w:tcPr>
            <w:tcW w:w="623"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30</w:t>
            </w:r>
          </w:p>
        </w:tc>
        <w:tc>
          <w:tcPr>
            <w:tcW w:w="465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i w:val="false"/>
                <w:color w:val="0B3D91"/>
                <w:sz w:val="15"/>
              </w:rPr>
              <w:t>PROGRAMME SPIRITUEL</w:t>
            </w:r>
          </w:p>
        </w:tc>
        <w:tc>
          <w:tcPr>
            <w:tcW w:w="2722"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rPr/>
            </w:pPr>
            <w:r>
              <w:rPr>
                <w:rFonts w:ascii="Aptos" w:hAnsi="Aptos"/>
                <w:b w:val="false"/>
                <w:i w:val="false"/>
                <w:color w:val="253247"/>
                <w:sz w:val="15"/>
              </w:rPr>
              <w:t>BROUILLON — CONTENU VIDE</w:t>
            </w:r>
          </w:p>
        </w:tc>
        <w:tc>
          <w:tcPr>
            <w:tcW w:w="1530" w:type="dxa"/>
            <w:tcBorders>
              <w:top w:val="single" w:sz="4" w:space="0" w:color="D9DEE7"/>
              <w:start w:val="single" w:sz="4" w:space="0" w:color="D9DEE7"/>
              <w:bottom w:val="single" w:sz="4" w:space="0" w:color="D9DEE7"/>
              <w:end w:val="single" w:sz="4" w:space="0" w:color="D9DEE7"/>
            </w:tcBorders>
            <w:shd w:fill="FFFFFF"/>
            <w:tcMar>
              <w:top w:w="45" w:type="dxa"/>
              <w:start w:w="95" w:type="dxa"/>
              <w:bottom w:w="45" w:type="dxa"/>
              <w:end w:w="95" w:type="dxa"/>
            </w:tcMar>
          </w:tcPr>
          <w:p>
            <w:pPr>
              <w:pStyle w:val="Normal"/>
              <w:spacing w:lineRule="auto" w:line="240" w:before="0" w:after="0"/>
              <w:jc w:val="center"/>
              <w:rPr/>
            </w:pPr>
            <w:r>
              <w:rPr>
                <w:rFonts w:ascii="Aptos" w:hAnsi="Aptos"/>
                <w:b w:val="false"/>
                <w:i w:val="false"/>
                <w:color w:val="253247"/>
                <w:sz w:val="15"/>
              </w:rPr>
              <w:t>10</w:t>
            </w:r>
          </w:p>
        </w:tc>
      </w:tr>
    </w:tbl>
    <w:p>
      <w:pPr>
        <w:pStyle w:val="Normal"/>
        <w:rPr/>
      </w:pPr>
      <w:r>
        <w:rPr/>
      </w:r>
      <w:r>
        <w:br w:type="page"/>
      </w:r>
    </w:p>
    <w:p>
      <w:pPr>
        <w:pStyle w:val="Normal"/>
        <w:pBdr>
          <w:bottom w:val="single" w:sz="26" w:space="1" w:color="D4AF37"/>
        </w:pBdr>
        <w:spacing w:before="0" w:after="240"/>
        <w:jc w:val="center"/>
        <w:rPr/>
      </w:pPr>
      <w:r>
        <w:rPr>
          <w:rFonts w:ascii="Aptos Display" w:hAnsi="Aptos Display"/>
          <w:b/>
          <w:color w:val="0B3D91"/>
          <w:sz w:val="40"/>
        </w:rPr>
        <w:t>I. NAVIGATION ET PAGE GÉNÉRALE</w:t>
      </w:r>
    </w:p>
    <w:p>
      <w:pPr>
        <w:pStyle w:val="Normal"/>
        <w:jc w:val="center"/>
        <w:rPr/>
      </w:pPr>
      <w:r>
        <w:rPr>
          <w:i/>
          <w:color w:val="667085"/>
          <w:sz w:val="21"/>
        </w:rPr>
        <w:t>Relevé, analyse institutionnelle et questions-réponses de référence</w:t>
      </w:r>
    </w:p>
    <w:p>
      <w:pPr>
        <w:pStyle w:val="Normal"/>
        <w:rPr/>
      </w:pPr>
      <w:r>
        <w:rPr/>
      </w:r>
      <w:r>
        <w:br w:type="page"/>
      </w:r>
    </w:p>
    <w:p>
      <w:pPr>
        <w:pStyle w:val="Heading1"/>
        <w:pBdr>
          <w:bottom w:val="single" w:sz="14" w:space="1" w:color="D4AF37"/>
        </w:pBdr>
        <w:spacing w:before="0" w:after="100"/>
        <w:rPr/>
      </w:pPr>
      <w:r>
        <w:rPr/>
        <w:t>1. Menu « NOS PROGRAMMES SCOLAIRES »</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C46A14"/>
              <w:start w:val="single" w:sz="4" w:space="0" w:color="C46A14"/>
              <w:bottom w:val="single" w:sz="4" w:space="0" w:color="C46A14"/>
              <w:end w:val="single" w:sz="4" w:space="0" w:color="C46A14"/>
            </w:tcBorders>
            <w:shd w:fill="C46A14"/>
          </w:tcPr>
          <w:p>
            <w:pPr>
              <w:pStyle w:val="Normal"/>
              <w:spacing w:lineRule="auto" w:line="240" w:before="0" w:after="0"/>
              <w:jc w:val="center"/>
              <w:rPr/>
            </w:pPr>
            <w:r>
              <w:rPr>
                <w:rFonts w:ascii="Aptos" w:hAnsi="Aptos"/>
                <w:b/>
                <w:i w:val="false"/>
                <w:color w:val="FFFFFF"/>
                <w:sz w:val="16"/>
              </w:rPr>
              <w:t>STRUCTURE DE NAVIGATION RELEVÉE</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NOS PROGRAMMES SCOLAIRES : SECTION MATERNELLE ; SECTION PRIMAIRE ; SECTION SECONDAIRE ; PROGRAMME BILINGUE ; PROGRAMME SPIRITUEL.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rassemble l’offre éducative de l’école par niveaux d’enseignement et par orientations transversales.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permet aux familles de repérer rapidement le parcours correspondant à l’âge, au niveau et aux objectifs éducatifs de leur 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Programmes scolaires ; Maternelle ; Primaire ; Secondaire ; Bilinguisme ; Programme spirituel ; Admissions.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Relevé de la navigation institutionnelle et export WordPress du site test</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l’intitulé principal relevé dans la navigation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NOS PROGRAMMES SCOLAIRES.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Quels cinq sous-menus sont rattachés à cette rubrique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SECTION MATERNELLE ; SECTION PRIMAIRE ; SECTION SECONDAIRE ; PROGRAMME BILINGUE ; PROGRAMME SPIRITUEL.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chemin mène à la maternelle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NOS PROGRAMMES SCOLAIRES &gt; SECTION MATERNELLE.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chemin mène au primaire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NOS PROGRAMMES SCOLAIRES &gt; SECTION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chemin mène au secondaire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NOS PROGRAMMES SCOLAIRES &gt; SECTION SECONDAIRE.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chemin mène au programme bilingue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NOS PROGRAMMES SCOLAIRES &gt; PROGRAMME BILINGUE.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chemin mène au programme spirituel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NOS PROGRAMMES SCOLAIRES &gt; PROGRAMME SPIRITUEL.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Quels sous-menus correspondent à des niveaux scolaires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SECTION MATERNELLE, SECTION PRIMAIRE et SECTION SECONDAIRE.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Quels sous-menus correspondent à des orientations transversales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PROGRAMME BILINGUE et PROGRAMME SPIRITUEL.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résume fidèlement l’arborescence du menu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menu NOS PROGRAMMES SCOLAIRES regroupe la maternelle, le primaire, le secondaire, le programme bilingue et le programme spirituel.</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 Programmes scolaires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 AVEC CONTENU</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Maternelle, Primaire, bilinguisme, éducation chrétienne, numérique, créativité et leadership.</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annonce une vue d’ensemble de l’offre d’apprentissage et des enrichissements proposés par l’école.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Cette page est la porte d’entrée pédagogique du site : elle aide les parents à comprendre les niveaux, les priorités et le mode de suivi.</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Maternelle ; Primaire ; Bilinguisme ; Formation intégrale ; Évaluation et suivi ; Admissions ; Vie scolaire.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Programmes scolaires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Maternelle, Primaire, bilinguisme, éducation chrétienne, numérique, créativité et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Quels niveaux scolaires sont explicitement cités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Maternelle et le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orientation linguistique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bilinguisme.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dimension spirituelle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L’éducation chrétienne.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dimension technologique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numérique.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capacité d’invention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créativité.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compétence d’influence et de responsabilité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La page présente-t-elle uniquement des matières scolaires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Elle associe niveaux scolaires, langues, foi, numérique, créativité et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courte peut présenter la page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Elle présente la Maternelle, le Primaire, le bilinguisme, l’éducation chrétienne, le numérique, la créativité et le leadership.</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3. Programmes nationaux et enrichissements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L’école applique les programmes officiels congolais et les enrichit, sans réduire les exigences nationales, par des modules de langue anglaise, d’éducation chrétienne, de leadership, de numérique, de créativité, de culture générale et de compétences de vie.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distingue le socle national obligatoire des compléments éducatifs propres au projet du GSE.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rassure sur la conformité nationale tout en montrant la valeur ajoutée bilingue, chrétienne, numérique et formatrice du caractère.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Maternelle ; Primaire ; Bilinguisme ; Formation intégrale ; Qualité pédagogique ; Évaluation.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Programmes nationaux et enrichissements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L’école applique les programmes officiels congolais et les enrichit, sans réduire les exigences nationales, par des modules de langue anglaise, d’éducation chrétienne, de leadership, de numérique, de créativité, de culture générale et de compétences de vie.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Quels programmes l’école applique-t-elle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programmes officiels congolais.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L’enrichissement réduit-il les exigences nationales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 se fait sans réduire les exigences nationales.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module linguistique est ajouté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Un module de langue anglaise.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module spirituel est ajouté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 module d’éducation chrétienne.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module développe la capacité à guider et servir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module prépare à l’usage des technologies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numérique.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Quels enrichissements développent l’imagination et les connaissances générales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créativité et la culture générale.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 enrichissement prépare aux situations pratiques de la vie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compétences de vie.</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4. Maternelle — aperçu sur la page Programmes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Petite Section, Moyenne Section et Grande Section : éveil global de l’enfant par le jeu, la découverte, le langage, la motricité, la socialisation, l’autonomie et la créativité.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identifie le premier niveau du parcours et en présente la logique de développement global.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aide les parents de jeunes enfants à comprendre que l’apprentissage maternel ne se limite pas aux savoirs scolaires précoces.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La Maternelle ; Bilinguisme ; Formation intégrale ; Vie sociale et valeurs ; Admissions.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Maternelle — aperçu sur la page Programmes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Petite Section, Moyenne Section et Grande Section : éveil global de l’enfant par le jeu, la découverte, le langage, la motricité, la socialisation, l’autonomie et la créativité.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Quels trois niveaux de maternelle sont cités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Petite Section, Moyenne Section et Grande Section.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type d’éveil est visé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L’éveil global de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Par quel moyen ludique l’enfant apprend-il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Par le jeu.</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démarche d’exploration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découverte.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capacité de communication est développée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langage.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dimension corporelle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motricité.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Quelles dimensions relationnelle et personnelle sont développées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socialisation et l’autonomie.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faculté d’invention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créativité.</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5. Primaire — aperçu sur la page Programmes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Fondations solides en lecture, écriture, mathématiques, sciences, citoyenneté, culture, valeurs et outils numériques.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résume les apprentissages fondamentaux et les compétences générales attendues au primaire.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permet aux familles de voir que le socle académique est associé à la citoyenneté, aux valeurs et au numérique.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Le Primaire ; Programmes nationaux ; Formation intégrale ; Évaluation et suivi ; Bilinguisme.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Primaire — aperçu sur la page Programmes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Fondations solides en lecture, écriture, mathématiques, sciences, citoyenneté, culture, valeurs et outils numériques.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niveau de solidité est recherché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fondations solides.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Quelles deux compétences de langue écrite sont citées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lecture et l’écriture.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discipline du raisonnement quantitatif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mathématiques.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domaine d’observation et d’expérimentation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sciences.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dimension de participation à la société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citoyenneté.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dimension de connaissance du patrimoine et du monde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culture.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Quels repères de conduite sont cités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valeurs.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Quels moyens technologiques sont intégrés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outils numériques.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6. Bilinguisme — aperçu sur la page Programmes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Intégration progressive de l’anglais comme outil de communication et d’ouverture, adaptée au développement de l’enfant.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présente la politique linguistique comme une progression et non comme une immersion brutale.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clarifie la place de l’anglais et rassure sur l’adaptation de son apprentissage à l’âge et au développement de chaque 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Page Bilinguisme français–anglais ; Maternelle ; Primaire ; Ouverture internationale ; Évaluation.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Bilinguisme — aperçu sur la page Programmes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Intégration progressive de l’anglais comme outil de communication et d’ouverture, adaptée au développement de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langue est intégrée progressivement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Comment l’intégration de l’anglais est-elle décrite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Elle est progressive.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À quoi l’anglais doit-il servir en premier lieu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À la communication.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autre finalité est associée à l’anglais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L’ouverture.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À quoi la progression linguistique est-elle adaptée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Au développement de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La page annonce-t-elle une introduction immédiate et uniforme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 annonce une intégration progressive et adaptée.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lien existe entre anglais et ouverture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L’anglais est présenté comme un outil d’ouverture.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courte doit être donnée sur la politique linguistique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L’anglais est intégré progressivement comme outil de communication et d’ouverture, selon le développement de l’enfant.</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7. Formation intégrale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Leadership, foi, créativité, sport, arts, sciences, expression orale, collaboration et résolution de problèmes.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affirme que l’école veut former la personne dans plusieurs dimensions complémentaires.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montre que le projet éducatif dépasse l’accumulation de connaissances et associe caractère, santé, culture, communication et compétences sociales.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Éducation chrétienne ; Activités et talents ; Maternelle ; Primaire ; Valeurs et leadership ; Vie scolaire.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Formation intégrale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Leadership, foi, créativité, sport, arts, sciences, expression orale, collaboration et résolution de problèmes.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compétence de responsabilité et d’influence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dimension spirituelle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foi.</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faculté d’invention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créativité.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Quelles dimensions corporelle et artistique sont citées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sport et les arts.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domaine de connaissance expérimentale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sciences.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compétence de communication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L’expression orale.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compétence de travail avec les autres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collaboration.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compétence permet d’analyser et de traiter des difficultés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résolution de problèmes.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8. Évaluation et suivi</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https://test.gsleseminents.com/programmes/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Les apprentissages font l’objet d’évaluations diagnostiques, formatives et certificatives. Les difficultés persistantes conduisent à une concertation avec la famille et, lorsque nécessaire, à des mesures d’appui ou à un plan d’accompagnement personnalisé.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explique comment l’école mesure les acquis, ajuste l’enseignement et organise le soutien.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rend visible un suivi structuré et le rôle de la famille lorsque les difficultés se prolongent.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Primaire ; Bilinguisme ; Accompagnement personnalisé ; Familles ; Direction pédagogique ; Admissions.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Évaluation et suivi</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apprentissages font l’objet d’évaluations diagnostiques, formatives et certificatives. Les difficultés persistantes conduisent à une concertation avec la famille et, lorsque nécessaire, à des mesures d’appui ou à un plan d’accompagnement personnalisé.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Quels trois types d’évaluation sont cités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évaluations diagnostiques, formatives et certificatives.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Sur quoi portent ces évaluations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Sur les apprentissages.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type de difficultés déclenche une action particulière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difficultés persistantes.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Avec qui l’école se concerte-t-elle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Avec la famille.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Quand une concertation est-elle envisagée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Lorsque les difficultés persistent.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première forme de soutien peut être mise en place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mesures d’appui.</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dispositif individualisé peut être établi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Un plan d’accompagnement personnalisé.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Les mesures d’appui sont-elles automatiques dans tous les cas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Elles sont mises en place lorsque cela est nécessaire.</w:t>
            </w:r>
          </w:p>
        </w:tc>
      </w:tr>
    </w:tbl>
    <w:p>
      <w:pPr>
        <w:pStyle w:val="Normal"/>
        <w:spacing w:before="20" w:after="0"/>
        <w:rPr/>
      </w:pPr>
      <w:r>
        <w:rPr/>
      </w:r>
    </w:p>
    <w:p>
      <w:pPr>
        <w:pStyle w:val="Normal"/>
        <w:rPr/>
      </w:pPr>
      <w:r>
        <w:rPr/>
      </w:r>
      <w:r>
        <w:br w:type="page"/>
      </w:r>
    </w:p>
    <w:p>
      <w:pPr>
        <w:pStyle w:val="Normal"/>
        <w:pBdr>
          <w:bottom w:val="single" w:sz="26" w:space="1" w:color="D4AF37"/>
        </w:pBdr>
        <w:spacing w:before="0" w:after="240"/>
        <w:jc w:val="center"/>
        <w:rPr/>
      </w:pPr>
      <w:r>
        <w:rPr>
          <w:rFonts w:ascii="Aptos Display" w:hAnsi="Aptos Display"/>
          <w:b/>
          <w:color w:val="0B3D91"/>
          <w:sz w:val="40"/>
        </w:rPr>
        <w:t>II. SOUS-MENU « SECTION MATERNELLE »</w:t>
      </w:r>
    </w:p>
    <w:p>
      <w:pPr>
        <w:pStyle w:val="Normal"/>
        <w:jc w:val="center"/>
        <w:rPr/>
      </w:pPr>
      <w:r>
        <w:rPr>
          <w:i/>
          <w:color w:val="667085"/>
          <w:sz w:val="21"/>
        </w:rPr>
        <w:t>Relevé, analyse institutionnelle et questions-réponses de référence</w:t>
      </w:r>
    </w:p>
    <w:p>
      <w:pPr>
        <w:pStyle w:val="Normal"/>
        <w:rPr/>
      </w:pPr>
      <w:r>
        <w:rPr/>
      </w:r>
      <w:r>
        <w:br w:type="page"/>
      </w:r>
    </w:p>
    <w:p>
      <w:pPr>
        <w:pStyle w:val="Heading1"/>
        <w:pBdr>
          <w:bottom w:val="single" w:sz="14" w:space="1" w:color="D4AF37"/>
        </w:pBdr>
        <w:spacing w:before="0" w:after="100"/>
        <w:rPr/>
      </w:pPr>
      <w:r>
        <w:rPr/>
        <w:t>9. La Maternelle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 AVEC CONTENU</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Un environnement chaleureux pour l’éveil, l’autonomie, le langage, la socialisation et l’initiation au bilinguisme.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identifie le cycle destiné aux jeunes enfants et en résume les objectifs de développement.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Cette page rassure les familles sur l’environnement, les apprentissages et le rythme proposés avant l’entrée au primaire.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Les trois niveaux ouverts ; Grandir en confiance ; Langage ; Motricité ; Vie sociale ; Bilinguisme ; Rythme du jeune 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Maternelle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 environnement chaleureux pour l’éveil, l’autonomie, le langage, la socialisation et l’initiation au bilinguisme.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type d’environnement est annoncé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Un environnement chaleureux.</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première finalité de développement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L’éveil.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capacité à agir par soi-même est développée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L’autonomie.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capacité de communication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langage.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aptitude à vivre avec les autres est développée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socialisation.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À quelle orientation linguistique l’enfant est-il initié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Au bilinguisme.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La page présente-t-elle uniquement un programme académique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Elle associe environnement, éveil, autonomie, langage, socialisation et bilinguisme.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courte présente fidèlement la maternelle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 environnement chaleureux pour l’éveil, l’autonomie, le langage, la socialisation et l’initiation au bilinguisme.</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10. Les trois niveaux ouverts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Petite Section, Moyenne Section et Grande Section constituent un parcours progressif qui respecte le rythme, l’âge et le développement de chaque 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précise les niveaux accessibles et la continuité de leur organisation.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permet aux familles de situer leur enfant et souligne que la progression tient compte de ses caractéristiques réelles.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Grandir en confiance ; Rythme du jeune enfant ; Admissions ; Transition vers le primaire.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trois niveaux ouverts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Petite Section, Moyenne Section et Grande Section constituent un parcours progressif qui respecte le rythme, l’âge et le développement de chaque 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est le premier niveau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Petite Section.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est le deuxième niveau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Moyenne Section.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est le troisième niveau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Grande Section.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Comment le parcours est-il qualifié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Progressif.</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premier facteur individuel est respecté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rythme de chaque 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deuxième facteur individuel est respecté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L’âge de chaque 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troisième facteur individuel est respecté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développement de chaque 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Les trois niveaux sont-ils présentés comme indépendants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Ils constituent un parcours progressif.</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11. Grandir en confiance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La Maternelle accueille les jeunes enfants dans un cadre chaleureux, sécurisé et adapté à leur rythme. L’apprentissage passe par le jeu, les routines, l’exploration, l’expression, la manipulation et les projets simples.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met la sécurité affective et la confiance au centre de l’entrée dans les apprentissages.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explique aux familles la nature du cadre et des méthodes adaptées aux jeunes enfants.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Les trois niveaux ; Rythme ; Motricité et autonomie ; Langage et communication ; Sécurité et bien-être.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Grandir en confiance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Maternelle accueille les jeunes enfants dans un cadre chaleureux, sécurisé et adapté à leur rythme. L’apprentissage passe par le jeu, les routines, l’exploration, l’expression, la manipulation et les projets simples.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public la Maternelle accueille-t-elle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jeunes enfants.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Comment le cadre est-il décrit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Chaleureux, sécurisé et adapté à leur rythme.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moyen d’apprentissage ludique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jeu.</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Quels repères répétitifs structurent la journée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routines.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démarche de découverte active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L’exploration.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possibilité de communiquer et de créer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L’expression.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activité concrète avec les objets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manipulation.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 type de projets est proposé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projets simples.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12. Langage et communication</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Enrichissement du vocabulaire, écoute, expression orale, histoires, chants et premiers contacts ludiques avec l’anglais.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regroupe les compétences nécessaires pour comprendre, s’exprimer et entrer progressivement dans le bilinguisme.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langage soutient tous les autres apprentissages, les relations sociales et la confiance de l’enfant.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Bilinguisme ; Grandir en confiance ; Vie sociale et valeurs ; Primaire — Français.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Langage et communication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Enrichissement du vocabulaire, écoute, expression orale, histoires, chants et premiers contacts ludiques avec l’anglais.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aspect du vocabulaire est visé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Son enrichissement.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capacité de réception orale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L’écoute.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capacité de production orale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L’expression orale.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support narratif est utilisé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histoires.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support musical est utilisé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chants.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Avec quelle langue les premiers contacts sont-ils établis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Comment ces premiers contacts avec l’anglais sont-ils qualifiés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Ludiques.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La communication se limite-t-elle à parler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 associe vocabulaire, écoute, expression orale, histoires, chants et découverte de l’anglais.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13. Motricité et autonomie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Coordination, gestes du quotidien, hygiène, rangement, choix guidés et développement progressif de l’autonomie.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associe le développement corporel aux habitudes qui permettent à l’enfant d’agir de plus en plus seul.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Ces apprentissages contribuent à la sécurité, à l’organisation personnelle et à la préparation à la vie scolaire.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Grandir en confiance ; Rythme du jeune enfant ; Vie sociale ; Sécurité et hygiène.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Motricité et autonomie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Coordination, gestes du quotidien, hygiène, rangement, choix guidés et développement progressif de l’autonomie.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capacité d’organisation des mouvements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coordination.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Quels gestes sont travaillés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gestes du quotidien.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habitude liée à la propreté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L’hygiène.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habitude d’organisation matérielle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rangement.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type de décisions l’enfant apprend-il à prendre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choix guidés.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capacité personnelle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L’autonomie.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Comment le développement de l’autonomie est-il décrit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Progressif.</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La motricité est-elle séparée des habitudes de vie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 est associée aux gestes du quotidien, à l’hygiène, au rangement et aux choix guidés.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14. Découverte du monde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Formes, nombres, couleurs, nature, temps, espace, expériences simples et observation de l’environnement.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présente les premiers repères mathématiques, scientifiques, temporels et spatiaux de l’enfant.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développe la curiosité, l’attention et la capacité d’observer le milieu proche.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Programmes nationaux ; Sciences et numérique ; Grandir en confiance ; Activités et talents.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Découverte du monde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Formes, nombres, couleurs, nature, temps, espace, expériences simples et observation de l’environnement.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premier repère géométrique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formes.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premier repère mathématique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nombres.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repère visuel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couleurs.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domaine du vivant et de l’environnement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nature.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repère chronologique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temps.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repère spatial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L’espace.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type d’expériences est proposé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expériences simples.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 l’enfant est-il amené à observer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L’environnement.</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15. Vie sociale et valeurs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Partage, respect, coopération, gestion des émotions, prière, gratitude et attention aux autres.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montre que la socialisation et les repères moraux sont enseignés dès la maternelle.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prépare l’enfant au vivre-ensemble, à l’autorégulation émotionnelle et à la dimension chrétienne du projet.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Formation intégrale ; Éducation chrétienne ; Valeurs et leadership ; Vie scolaire ; Programme spirituel.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Vie sociale et valeurs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Partage, respect, coopération, gestion des émotions, prière, gratitude et attention aux autres.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attitude consiste à mettre en commun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partage.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attitude reconnaît la dignité et les règles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respect.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manière d’agir ensemble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coopération.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compétence émotionnelle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gestion des émotions.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pratique spirituelle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prière.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attitude de reconnaissance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gratitude.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disposition envers autrui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L’attention aux autres.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La vie sociale est-elle séparée des valeurs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La section associe partage, respect, coopération, émotions, prière, gratitude et attention aux autres.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16. Rythme du jeune enfant</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https://test.gsleseminents.com/maternelle/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L’organisation prévoit des temps d’apprentissage, de jeu, de pause, de repas et de repos adaptés. La Maternelle dispose de ses propres installations sanitaires, entièrement distinctes de celles du Primaire et adaptées à l’âge des enfants. Elles comprennent cinq toilettes, deux douches distinctes et deux dortoirs.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explique que le temps scolaire et les infrastructures respectent les besoins physiologiques et l’âge des jeunes enfants.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rassure les familles sur l’alternance des activités, le repos, l’hygiène et la séparation des installations.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Grandir en confiance ; Motricité et autonomie ; Infrastructures ; Sécurité, hygiène et bien-être.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Rythme du jeune 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L’organisation prévoit des temps d’apprentissage, de jeu, de pause, de repas et de repos adaptés. La Maternelle dispose de ses propres installations sanitaires, entièrement distinctes de celles du Primaire et adaptées à l’âge des enfants. Elles comprennent cinq toilettes, deux douches distinctes et deux dortoirs.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Quels cinq temps sont prévus dans l’organisation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temps d’apprentissage, de jeu, de pause, de repas et de repos.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Comment ces temps sont-ils organisés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Ils sont adaptés.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La Maternelle partage-t-elle ses installations sanitaires avec le Primaire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Elles sont entièrement distinctes de celles du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À quoi les installations sont-elles adaptées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l’âge des enfants.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Combien de toilettes sont prévues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Cinq toilettes.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Combien de douches sont prévues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Deux douches distinctes.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Combien de dortoirs sont prévus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Deux dortoirs.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autonomie d’équipement possède la Maternelle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Elle dispose de ses propres installations sanitaires.</w:t>
            </w:r>
          </w:p>
        </w:tc>
      </w:tr>
    </w:tbl>
    <w:p>
      <w:pPr>
        <w:pStyle w:val="Normal"/>
        <w:spacing w:before="20" w:after="0"/>
        <w:rPr/>
      </w:pPr>
      <w:r>
        <w:rPr/>
      </w:r>
    </w:p>
    <w:p>
      <w:pPr>
        <w:pStyle w:val="Normal"/>
        <w:rPr/>
      </w:pPr>
      <w:r>
        <w:rPr/>
      </w:r>
      <w:r>
        <w:br w:type="page"/>
      </w:r>
    </w:p>
    <w:p>
      <w:pPr>
        <w:pStyle w:val="Normal"/>
        <w:pBdr>
          <w:bottom w:val="single" w:sz="26" w:space="1" w:color="D4AF37"/>
        </w:pBdr>
        <w:spacing w:before="0" w:after="240"/>
        <w:jc w:val="center"/>
        <w:rPr/>
      </w:pPr>
      <w:r>
        <w:rPr>
          <w:rFonts w:ascii="Aptos Display" w:hAnsi="Aptos Display"/>
          <w:b/>
          <w:color w:val="0B3D91"/>
          <w:sz w:val="40"/>
        </w:rPr>
        <w:t>III. SOUS-MENU « SECTION PRIMAIRE »</w:t>
      </w:r>
    </w:p>
    <w:p>
      <w:pPr>
        <w:pStyle w:val="Normal"/>
        <w:jc w:val="center"/>
        <w:rPr/>
      </w:pPr>
      <w:r>
        <w:rPr>
          <w:i/>
          <w:color w:val="667085"/>
          <w:sz w:val="21"/>
        </w:rPr>
        <w:t>Relevé, analyse institutionnelle et questions-réponses de référence</w:t>
      </w:r>
    </w:p>
    <w:p>
      <w:pPr>
        <w:pStyle w:val="Normal"/>
        <w:rPr/>
      </w:pPr>
      <w:r>
        <w:rPr/>
      </w:r>
      <w:r>
        <w:br w:type="page"/>
      </w:r>
    </w:p>
    <w:p>
      <w:pPr>
        <w:pStyle w:val="Heading1"/>
        <w:pBdr>
          <w:bottom w:val="single" w:sz="14" w:space="1" w:color="D4AF37"/>
        </w:pBdr>
        <w:spacing w:before="0" w:after="100"/>
        <w:rPr/>
      </w:pPr>
      <w:r>
        <w:rPr/>
        <w:t>17. Le Primaire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 AVEC CONTENU</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Des fondations académiques solides, un suivi personnalisé et des compétences pour le monde contemporain.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identifie le cycle où se consolident les savoirs fondamentaux et les habitudes de travail.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La page permet aux familles de comprendre les niveaux ouverts, les domaines enseignés et les modalités d’accompagnement.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Niveaux ouverts ; Construire des bases durables ; Français ; Mathématiques ; Sciences et numérique ; Valeurs et leadership ; Accompagnement.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fondations académiques solides, un suivi personnalisé et des compétences pour le monde contemporain.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type de fondations est annoncé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fondations académiques solides.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type de suivi est annoncé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 suivi personnalisé.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À quel environnement les compétences préparent-elles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Au monde contemporain.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La page associe-t-elle savoirs et accompagnement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Oui. Elle associe fondations académiques, suivi personnalisé et compétences contemporaines.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aspect concerne directement les apprentissages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fondations académiques solides.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aspect concerne les besoins individuels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suivi personnalisé.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aspect concerne la préparation à l’avenir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compétences pour le monde contemporain.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courte présente le Primaire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fondations académiques solides, un suivi personnalisé et des compétences pour le monde contemporain.</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18. Niveaux ouverts en 2026-2027</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 Primaire accueille les élèves de la 1re à la 4e primaire. Les contenus et activités sont adaptés à la progression propre à chaque niveau.</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précise le périmètre d’ouverture réel pour l’année scolaire annoncée.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évite la confusion entre la structure complète du primaire et les classes effectivement ouvertes au démarrage.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Admissions ; Frais scolaires ; Organisation des classes ; Progression pédagogique ; Communication aux familles.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Niveaux ouverts en 2026-2027</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Primaire accueille les élèves de la 1re à la 4e primaire. Les contenus et activités sont adaptés à la progression propre à chaque niveau.</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année scolaire est visée par le titre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2026-2027.</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À partir de quelle classe les élèves sont-ils accueillis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partir de la 1re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Jusqu’à quelle classe les élèves sont-ils accueillis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Jusqu’à la 4e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Quels élèves le Primaire accueille-t-il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élèves de la 1re à la 4e primaire.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Quels éléments sont adaptés à chaque niveau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contenus et les activités.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À quoi ces contenus et activités sont-ils adaptés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la progression propre à chaque niveau.</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La même progression est-elle appliquée indistinctement à toutes les classes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Elle est propre à chaque niveau.</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précision doit être donnée aux familles sur l’ouverture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Primaire accueille la 1re, la 2e, la 3e et la 4e primaire en 2026-2027.</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19. Construire des bases durables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 Primaire développe la maîtrise de la lecture, de l’écriture, des mathématiques, des sciences, de la culture générale et des compétences citoyennes. L’enfant apprend progressivement à organiser son travail, expliquer son raisonnement et collaborer.</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insiste sur des acquis qui doivent soutenir toute la suite de la scolarité.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relie les matières fondamentales aux méthodes de travail, à la pensée explicite et à la coopération.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Français ; Mathématiques ; Sciences et numérique ; Valeurs et leadership ; Évaluation et suivi.</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Construire des bases durables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Primaire développe la maîtrise de la lecture, de l’écriture, des mathématiques, des sciences, de la culture générale et des compétences citoyennes. L’enfant apprend progressivement à organiser son travail, expliquer son raisonnement et collaborer.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Quelles deux compétences de langue sont développées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lecture et l’écriture.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discipline quantitative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mathématiques.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domaine d’observation du monde est développé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sciences.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dimension de connaissances générales est développée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culture générale.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Quelles compétences liées à la vie en société sont développées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compétences citoyennes.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habitude de travail l’enfant apprend-il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organiser son travail.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 doit-il apprendre à faire avec son raisonnement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À l’expliquer.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compétence de travail collectif apprend-il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collaborer.</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20. Français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Lecture, compréhension, vocabulaire, expression orale, production écrite, grammaire et communication claire.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regroupe les composantes nécessaires à la maîtrise de la langue principale de scolarisation.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Une maîtrise solide du français soutient l’accès aux consignes, aux savoirs, au raisonnement et à l’expression personnelle.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Langage et communication ; Bilinguisme ; Évaluation ; Programmes nationaux ; Culture générale.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Français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Lecture, compréhension, vocabulaire, expression orale, production écrite, grammaire et communication claire.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compétence de décodage et d’accès aux textes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lecture.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capacité à saisir le sens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compréhension.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ensemble de mots doit être développé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vocabulaire.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compétence de parole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L’expression orale.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compétence de rédaction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production écrite.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domaine des règles de langue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grammaire.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Comment la communication doit-elle être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Claire.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Le français est-il réduit à la lecture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 comprend lecture, compréhension, vocabulaire, oral, écrit, grammaire et communication claire.</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21. Mathématiques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Nombres, opérations, géométrie, mesures, logique, résolution de problèmes et raisonnement.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présente les connaissances et démarches qui structurent la pensée mathématique.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Les mathématiques développent la précision, l’analyse, la modélisation et la capacité à résoudre des situations.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Construire des bases durables ; Sciences ; Évaluation ; Numérique ; Résolution de problèmes.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Mathématiques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Nombres, opérations, géométrie, mesures, logique, résolution de problèmes et raisonnement.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premier objet mathématique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Les nombres.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Quelles actions de calcul sont citées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opérations.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domaine des formes et de l’espace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géométrie.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domaine des grandeurs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mesures.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capacité d’enchaînement cohérent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logique.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compétence face à une situation complexe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résolution de problèmes.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activité de pensée justifie les réponses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raisonnement.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Les mathématiques sont-elles présentées comme du calcul seulement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Elles associent nombres, opérations, géométrie, mesures, logique, problèmes et raisonnement.</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22. Sciences et numérique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Observation, expérimentation, environnement, santé, culture scientifique et usage responsable des outils numériques.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unit la démarche scientifique et l’éducation à l’usage des technologies.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prépare l’élève à comprendre son environnement, protéger sa santé et utiliser le numérique avec discernement.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Découverte du monde ; Mathématiques ; Technologies éducatives ; Santé scolaire ; Culture générale.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Sciences et numérique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Observation, expérimentation, environnement, santé, culture scientifique et usage responsable des outils numériques.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démarche attentive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L’observation.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démarche pratique de vérification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L’expérimentation.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 milieu de vie est étudié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L’environnement.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Quelle dimension de bien-être est étudiée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santé.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ensemble de connaissances et de méthodes est développé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culture scientifique.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Quels outils sont utilisés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outils numériques.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Comment ces outils doivent-ils être utilisés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 manière responsable.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La section sépare-t-elle sciences et responsabilité numérique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Elle les associe dans un même bloc.</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23. Valeurs et leadership</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Discipline positive, responsabilité, prise de parole, projets, service, créativité et coopération.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associe la formation du caractère à la capacité de prendre des initiatives et d’agir avec les autres.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soutient l’identité chrétienne et la préparation d’élèves responsables, expressifs, créatifs et utiles à leur communauté.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Formation intégrale ; Vie sociale et valeurs ; Programme spirituel ; Vie scolaire ; Activités et talents.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Valeurs et leadership</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Discipline positive, responsabilité, prise de parole, projets, service, créativité et coopération.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type de discipline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discipline positive.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Quelle qualité consiste à assumer ses actes et missions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responsabilité.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compétence d’expression publique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prise de parole.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mode d’apprentissage organisé autour d’une réalisation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projets.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Quelle disposition à être utile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service.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Quelle faculté d’inventer est citée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créativité.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capacité à travailler ensemble est citée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coopération.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Le leadership est-il présenté comme l’autorité seule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 est lié à la discipline positive, à la responsabilité, à la parole, aux projets, au service, à la créativité et à la coopération.</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24. Accompagnement personnalisé</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https://test.gsleseminents.com/primaire/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Chaque élève bénéficie d’un suivi pédagogique et comportemental. L’école échange avec la famille, valorise les progrès, identifie les difficultés et propose des mesures d’appui adaptées aux ressources disponibles.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met l’accent sur l’attention portée à la progression et au comportement de chaque élève.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établit une procédure de dialogue, de reconnaissance des progrès et de soutien réaliste en fonction des ressources.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Évaluation et suivi ; Familles ; Direction pédagogique ; Valeurs et leadership ; Bien-être.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Accompagnement personnalisé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Chaque élève bénéficie d’un suivi pédagogique et comportemental. L’école échange avec la famille, valorise les progrès, identifie les difficultés et propose des mesures d’appui adaptées aux ressources disponibles.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Qui bénéficie de l’accompagnement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Chaque élève.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Quels deux types de suivi sont cités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 suivi pédagogique et comportemental.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Avec qui l’école échange-t-elle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Avec la famille.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 fait l’école des progrès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Elle les valorise.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 fait l’école des difficultés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Elle les identifie.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 peut proposer l’école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mesures d’appui.</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À quoi ces mesures sont-elles adaptées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Aux ressources disponibles.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L’accompagnement se limite-t-il aux résultats académiques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 comprend aussi le suivi comportemental et l’échange avec la famille.</w:t>
            </w:r>
          </w:p>
        </w:tc>
      </w:tr>
    </w:tbl>
    <w:p>
      <w:pPr>
        <w:pStyle w:val="Normal"/>
        <w:spacing w:before="20" w:after="0"/>
        <w:rPr/>
      </w:pPr>
      <w:r>
        <w:rPr/>
      </w:r>
    </w:p>
    <w:p>
      <w:pPr>
        <w:pStyle w:val="Normal"/>
        <w:rPr/>
      </w:pPr>
      <w:r>
        <w:rPr/>
      </w:r>
      <w:r>
        <w:br w:type="page"/>
      </w:r>
    </w:p>
    <w:p>
      <w:pPr>
        <w:pStyle w:val="Normal"/>
        <w:pBdr>
          <w:bottom w:val="single" w:sz="26" w:space="1" w:color="D4AF37"/>
        </w:pBdr>
        <w:spacing w:before="0" w:after="240"/>
        <w:jc w:val="center"/>
        <w:rPr/>
      </w:pPr>
      <w:r>
        <w:rPr>
          <w:rFonts w:ascii="Aptos Display" w:hAnsi="Aptos Display"/>
          <w:b/>
          <w:color w:val="0B3D91"/>
          <w:sz w:val="40"/>
        </w:rPr>
        <w:t>IV. SOUS-MENU « PROGRAMME BILINGUE »</w:t>
      </w:r>
    </w:p>
    <w:p>
      <w:pPr>
        <w:pStyle w:val="Normal"/>
        <w:jc w:val="center"/>
        <w:rPr/>
      </w:pPr>
      <w:r>
        <w:rPr>
          <w:i/>
          <w:color w:val="667085"/>
          <w:sz w:val="21"/>
        </w:rPr>
        <w:t>Relevé, analyse institutionnelle et questions-réponses de référence</w:t>
      </w:r>
    </w:p>
    <w:p>
      <w:pPr>
        <w:pStyle w:val="Normal"/>
        <w:rPr/>
      </w:pPr>
      <w:r>
        <w:rPr/>
      </w:r>
      <w:r>
        <w:br w:type="page"/>
      </w:r>
    </w:p>
    <w:p>
      <w:pPr>
        <w:pStyle w:val="Heading1"/>
        <w:pBdr>
          <w:bottom w:val="single" w:sz="14" w:space="1" w:color="D4AF37"/>
        </w:pBdr>
        <w:spacing w:before="0" w:after="100"/>
        <w:rPr/>
      </w:pPr>
      <w:r>
        <w:rPr/>
        <w:t>25. Bilinguisme français–anglais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 AVEC CONTENU</w:t>
            </w:r>
          </w:p>
        </w:tc>
      </w:tr>
    </w:tbl>
    <w:p>
      <w:pPr>
        <w:pStyle w:val="Normal"/>
        <w:spacing w:before="80" w:after="100"/>
        <w:rPr/>
      </w:pPr>
      <w:r>
        <w:rPr>
          <w:b/>
          <w:color w:val="0B3D91"/>
          <w:sz w:val="17"/>
        </w:rPr>
        <w:t xml:space="preserve">Adresse : </w:t>
      </w:r>
      <w:r>
        <w:rPr>
          <w:color w:val="44546A"/>
          <w:sz w:val="17"/>
        </w:rPr>
        <w:t>https://test.gsleseminents.com/bilinguisme/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Une progression linguistique mesurable qui donne à l’enfant des outils d’avenir.</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nomme les deux langues du projet et annonce une progression observable.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définit un avantage stratégique de l’école tout en exigeant que les progrès puissent être suivis et adaptés.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L’anglais comme outil d’avenir ; Principes de l’approche ; Ce que nous évitons ; Maternelle ; Primaire ; Évaluation.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Bilinguisme français–anglais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Une progression linguistique mesurable qui donne à l’enfant des outils d’avenir.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Quelles deux langues sont associées dans le titre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français et l’anglais.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type de progression est annoncé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Une progression linguistique.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Comment cette progression doit-elle être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Mesurable.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À qui cette progression doit-elle profiter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À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 donne-t-elle à l’enfant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outils d’avenir.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Le bilinguisme est-il présenté comme un simple affichage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Il est présenté comme une progression linguistique mesurable.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 dimension temporelle apparaît dans le résumé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L’avenir.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courte présente la page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Une progression linguistique mesurable qui donne à l’enfant des outils d’avenir.</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26. L’anglais comme outil d’avenir</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https://test.gsleseminents.com/bilinguisme/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 français demeure la langue administrative principale et une base essentielle des apprentissages. L’anglais est intégré progressivement comme langue de communication, de découverte et d’ouverture internationale.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présente l’anglais comme une compétence utile à long terme sans affaiblir la place structurante du français.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clarifie la répartition fonctionnelle des langues et la progression attendue.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Programmes nationaux ; Français ; Maternelle ; Primaire ; Ouverture internationale ; Partenariats.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L’anglais comme outil d’avenir</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français demeure la langue administrative principale et une base essentielle des apprentissages. L’anglais est intégré progressivement comme langue de communication, de découverte et d’ouverture internationale.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Quelle langue demeure la langue administrative principale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Le français.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rôle pédagogique essentiel le français conserve-t-il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Il demeure une base essentielle des apprentissages.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Quelle langue est intégrée progressivement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L’anglais.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Comment l’anglais est-il intégré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Progressivement.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premier usage de l’anglais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communication.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Quel deuxième usage de l’anglais est cité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découverte.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 troisième usage de l’anglais est cité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L’ouverture internationale.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L’introduction de l’anglais remplace-t-elle le français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Le français demeure la langue administrative principale et une base essentielle des apprentissages.</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27. Principes de notre approche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https://test.gsleseminents.com/bilinguisme/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Des objectifs adaptés à l’âge et au niveau réel de l’enfant ; une exposition régulière par les consignes, les chants, les histoires, les dialogues et les projets ; une progression équilibrée entre compréhension, expression orale, lecture et écriture ; des évaluations simples pour mesurer les acquis et ajuster l’accompagnement ; l’utilisation raisonnée des langues du milieu comme appui pédagogique lorsque cela facilite la compréhension.</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expose les règles concrètes qui rendent le bilinguisme progressif, mesurable et respectueux de l’enfant.</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évite l’improvisation et donne des repères aux enseignants, aux familles et aux responsables pédagogiques.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Évaluation et suivi ; Langage et communication ; Français ; Accompagnement personnalisé ; Ce que nous évitons.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Principes de notre approche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Des objectifs adaptés à l’âge et au niveau réel de l’enfant ; une exposition régulière par les consignes, les chants, les histoires, les dialogues et les projets ; une progression équilibrée entre compréhension, expression orale, lecture et écriture ; des évaluations simples pour mesurer les acquis et ajuster l’accompagnement ; l’utilisation raisonnée des langues du milieu comme appui pédagogique lorsque cela facilite la compréhension.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À quels deux éléments les objectifs sont-ils adaptés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À l’âge et au niveau réel de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Comment l’exposition à la langue doit-elle être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Régulière.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Par quels cinq moyens l’exposition est-elle organisée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Par les consignes, les chants, les histoires, les dialogues et les projets.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Entre quelles quatre compétences la progression doit-elle être équilibrée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compréhension, l’expression orale, la lecture et l’écriture.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type d’évaluations est prévu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évaluations simples.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Que servent-elles à mesurer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Les acquis.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 permettent-elles d’ajuster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L’accompagnement.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Quand les langues du milieu peuvent-elles servir d’appui pédagogique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Lorsque leur utilisation raisonnée facilite la compréhension.</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28. Ce que nous évitons</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80" w:after="100"/>
        <w:rPr/>
      </w:pPr>
      <w:r>
        <w:rPr>
          <w:b/>
          <w:color w:val="0B3D91"/>
          <w:sz w:val="17"/>
        </w:rPr>
        <w:t xml:space="preserve">Adresse : </w:t>
      </w:r>
      <w:r>
        <w:rPr>
          <w:color w:val="44546A"/>
          <w:sz w:val="17"/>
        </w:rPr>
        <w:t>https://test.gsleseminents.com/bilinguisme/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Le bilinguisme ne consiste pas à traduire mécaniquement chaque leçon ni à surcharger l’enfant. Il repose sur une progression cohérente, des enseignants formés, des situations authentiques de communication et des attentes clairement définies.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corrige les idées fausses et fixe les limites d’une pratique linguistique de qualité.</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protège l’enfant contre la surcharge et oriente l’école vers une mise en œuvre professionnelle, cohérente et communicative.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Principes de l’approche ; Accompagnement ; Formation des enseignants ; Évaluation ; Bien-être.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cette section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Ce que nous évitons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 texte de référence résume intégralement cette section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Le bilinguisme ne consiste pas à traduire mécaniquement chaque leçon ni à surcharger l’enfant. Il repose sur une progression cohérente, des enseignants formés, des situations authentiques de communication et des attentes clairement définies.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Le bilinguisme consiste-t-il à traduire mécaniquement chaque leçon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Le bilinguisme doit-il surcharger l’enfant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Sur quel type de progression repose-t-il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Une progression cohérente.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Quel niveau de préparation est attendu des enseignants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Ils doivent être formés.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Quel type de situations doit être proposé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Des situations authentiques de communication.</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Comment les attentes doivent-elles être définies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Clairement.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Quelles deux pratiques sont explicitement évitées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La traduction mécanique de chaque leçon et la surcharge de l’enfant.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Quels quatre fondements positifs sont cités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Une progression cohérente, des enseignants formés, des situations authentiques et des attentes clairement définies.</w:t>
            </w:r>
          </w:p>
        </w:tc>
      </w:tr>
    </w:tbl>
    <w:p>
      <w:pPr>
        <w:pStyle w:val="Normal"/>
        <w:spacing w:before="20" w:after="0"/>
        <w:rPr/>
      </w:pPr>
      <w:r>
        <w:rPr/>
      </w:r>
    </w:p>
    <w:p>
      <w:pPr>
        <w:pStyle w:val="Normal"/>
        <w:rPr/>
      </w:pPr>
      <w:r>
        <w:rPr/>
      </w:r>
      <w:r>
        <w:br w:type="page"/>
      </w:r>
    </w:p>
    <w:p>
      <w:pPr>
        <w:pStyle w:val="Normal"/>
        <w:pBdr>
          <w:bottom w:val="single" w:sz="26" w:space="1" w:color="D4AF37"/>
        </w:pBdr>
        <w:spacing w:before="0" w:after="240"/>
        <w:jc w:val="center"/>
        <w:rPr/>
      </w:pPr>
      <w:r>
        <w:rPr>
          <w:rFonts w:ascii="Aptos Display" w:hAnsi="Aptos Display"/>
          <w:b/>
          <w:color w:val="0B3D91"/>
          <w:sz w:val="40"/>
        </w:rPr>
        <w:t>V. PAGES PRÉVUES MAIS NON DÉVELOPPÉES</w:t>
      </w:r>
    </w:p>
    <w:p>
      <w:pPr>
        <w:pStyle w:val="Normal"/>
        <w:jc w:val="center"/>
        <w:rPr/>
      </w:pPr>
      <w:r>
        <w:rPr>
          <w:i/>
          <w:color w:val="667085"/>
          <w:sz w:val="21"/>
        </w:rPr>
        <w:t>Relevé, analyse institutionnelle et questions-réponses de référence</w:t>
      </w:r>
    </w:p>
    <w:p>
      <w:pPr>
        <w:pStyle w:val="Normal"/>
        <w:rPr/>
      </w:pPr>
      <w:r>
        <w:rPr/>
      </w:r>
      <w:r>
        <w:br w:type="page"/>
      </w:r>
    </w:p>
    <w:p>
      <w:pPr>
        <w:pStyle w:val="Heading1"/>
        <w:pBdr>
          <w:bottom w:val="single" w:sz="14" w:space="1" w:color="D4AF37"/>
        </w:pBdr>
        <w:spacing w:before="0" w:after="100"/>
        <w:rPr/>
      </w:pPr>
      <w:r>
        <w:rPr/>
        <w:t>29. SECTION SECONDAIRE</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A61B1B"/>
              <w:start w:val="single" w:sz="4" w:space="0" w:color="A61B1B"/>
              <w:bottom w:val="single" w:sz="4" w:space="0" w:color="A61B1B"/>
              <w:end w:val="single" w:sz="4" w:space="0" w:color="A61B1B"/>
            </w:tcBorders>
            <w:shd w:fill="A61B1B"/>
          </w:tcPr>
          <w:p>
            <w:pPr>
              <w:pStyle w:val="Normal"/>
              <w:spacing w:lineRule="auto" w:line="240" w:before="0" w:after="0"/>
              <w:jc w:val="center"/>
              <w:rPr/>
            </w:pPr>
            <w:r>
              <w:rPr>
                <w:rFonts w:ascii="Aptos" w:hAnsi="Aptos"/>
                <w:b/>
                <w:i w:val="false"/>
                <w:color w:val="FFFFFF"/>
                <w:sz w:val="16"/>
              </w:rPr>
              <w:t>BROUILLON — CONTENU VIDE</w:t>
            </w:r>
          </w:p>
        </w:tc>
      </w:tr>
    </w:tbl>
    <w:p>
      <w:pPr>
        <w:pStyle w:val="Normal"/>
        <w:spacing w:before="80" w:after="100"/>
        <w:rPr/>
      </w:pPr>
      <w:r>
        <w:rPr>
          <w:b/>
          <w:color w:val="0B3D91"/>
          <w:sz w:val="17"/>
        </w:rPr>
        <w:t xml:space="preserve">Adresse : </w:t>
      </w:r>
      <w:r>
        <w:rPr>
          <w:color w:val="44546A"/>
          <w:sz w:val="17"/>
        </w:rPr>
        <w:t>https://test.gsleseminents.com/?page_id=1731</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La page « SECONDAIRE » existe dans l’export WordPress avec le statut brouillon, sans contenu ni extrait développés.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prévoit l’extension du parcours scolaire au-delà du primaire.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est important pour la vision de continuité éducative, mais ne doit pas être présenté comme une offre déjà documentée tant que la page reste vide et non publiée.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Programmes scolaires ; Primaire ; Admissions ; Développement futur ; Orientation vers les études supérieures.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la page relevée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SECTION SECONDAIRE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Quelle adresse est associée à cette page dans l’export WordPress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https://test.gsleseminents.com/?page_id=1731</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identifiant d’adresse ou slug est associé à cette page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secondaire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est le statut WordPress observé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Brouillon (draft).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Un contenu textuel développé est-il enregistré dans la page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champ de contenu est vide dans l’export contrôlé.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Un résumé ou extrait est-il enregistré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Le champ d’extrait est vide dans l’export contrôlé.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Des sous-titres sont-ils présents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l’absence de sous-titres.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Des images ou vidéos sont-elles présentes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qu’aucune image ni vidéo n’est trouvée.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Des liens internes ou externes sont-ils présents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qu’aucun lien n’est trouvé.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prudente doit être donnée au public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page « SECTION SECONDAIRE » existe comme brouillon dans le site test, mais aucun contenu de fond n’y est encore développé dans l’export du 28 juin 2026.</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30. PROGRAMME SPIRITUEL</w:t>
      </w:r>
    </w:p>
    <w:tbl>
      <w:tblPr>
        <w:tblW w:w="4535" w:type="dxa"/>
        <w:jc w:val="start"/>
        <w:tblInd w:w="-18" w:type="dxa"/>
        <w:tblLayout w:type="fixed"/>
        <w:tblCellMar>
          <w:top w:w="45" w:type="dxa"/>
          <w:start w:w="90" w:type="dxa"/>
          <w:bottom w:w="45" w:type="dxa"/>
          <w:end w:w="90" w:type="dxa"/>
        </w:tblCellMar>
        <w:tblLook w:val="04a0" w:noHBand="0" w:noVBand="1" w:firstColumn="1" w:lastRow="0" w:lastColumn="0" w:firstRow="1"/>
      </w:tblPr>
      <w:tblGrid>
        <w:gridCol w:w="4535"/>
      </w:tblGrid>
      <w:tr>
        <w:trPr/>
        <w:tc>
          <w:tcPr>
            <w:tcW w:w="4535" w:type="dxa"/>
            <w:tcBorders>
              <w:top w:val="single" w:sz="4" w:space="0" w:color="A61B1B"/>
              <w:start w:val="single" w:sz="4" w:space="0" w:color="A61B1B"/>
              <w:bottom w:val="single" w:sz="4" w:space="0" w:color="A61B1B"/>
              <w:end w:val="single" w:sz="4" w:space="0" w:color="A61B1B"/>
            </w:tcBorders>
            <w:shd w:fill="A61B1B"/>
          </w:tcPr>
          <w:p>
            <w:pPr>
              <w:pStyle w:val="Normal"/>
              <w:spacing w:lineRule="auto" w:line="240" w:before="0" w:after="0"/>
              <w:jc w:val="center"/>
              <w:rPr/>
            </w:pPr>
            <w:r>
              <w:rPr>
                <w:rFonts w:ascii="Aptos" w:hAnsi="Aptos"/>
                <w:b/>
                <w:i w:val="false"/>
                <w:color w:val="FFFFFF"/>
                <w:sz w:val="16"/>
              </w:rPr>
              <w:t>BROUILLON — CONTENU VIDE</w:t>
            </w:r>
          </w:p>
        </w:tc>
      </w:tr>
    </w:tbl>
    <w:p>
      <w:pPr>
        <w:pStyle w:val="Normal"/>
        <w:spacing w:before="80" w:after="100"/>
        <w:rPr/>
      </w:pPr>
      <w:r>
        <w:rPr>
          <w:b/>
          <w:color w:val="0B3D91"/>
          <w:sz w:val="17"/>
        </w:rPr>
        <w:t xml:space="preserve">Adresse : </w:t>
      </w:r>
      <w:r>
        <w:rPr>
          <w:color w:val="44546A"/>
          <w:sz w:val="17"/>
        </w:rPr>
        <w:t>https://test.gsleseminents.com/?page_id=1850</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Texte-source / constat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La page « PROGRAMME SPIRITUEL » existe dans l’export WordPress avec le statut brouillon, sans contenu ni extrait développés.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Raison du titre ou de la section</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 titre doit regrouper les activités et apprentissages liés à la foi, aux valeurs chrétiennes et à la formation du caractère.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Importance dans le projet</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Il est central pour l’identité chrétienne de l’école, mais son contenu doit être rédigé, validé et publié avant d’être utilisé comme réponse détaillée.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Liens possibles avec les autres sections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Éducation chrétienne ; Vie sociale et valeurs ; Formation intégrale ; Valeurs et leadership ; Vie scolaire.</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 de contrôle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Export WordPress complet du site test — 28 juin 2026</w:t>
            </w:r>
          </w:p>
        </w:tc>
      </w:tr>
    </w:tbl>
    <w:p>
      <w:pPr>
        <w:pStyle w:val="Normal"/>
        <w:spacing w:before="20" w:after="0"/>
        <w:rPr/>
      </w:pPr>
      <w:r>
        <w:rPr/>
      </w:r>
    </w:p>
    <w:p>
      <w:pPr>
        <w:pStyle w:val="Heading2"/>
        <w:rPr/>
      </w:pPr>
      <w:r>
        <w:rPr/>
        <w:t>Banque de questions — 10 questions</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4677"/>
        <w:gridCol w:w="4846"/>
      </w:tblGrid>
      <w:tr>
        <w:trPr>
          <w:tblHeader w:val="true"/>
          <w:cantSplit w:val="true"/>
        </w:trPr>
        <w:tc>
          <w:tcPr>
            <w:tcW w:w="467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QUESTION</w:t>
            </w:r>
          </w:p>
        </w:tc>
        <w:tc>
          <w:tcPr>
            <w:tcW w:w="484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RÉPONSE DE RÉFÉRENCE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Q1. Quel est le titre exact de la page relevée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PROGRAMME SPIRITUEL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Q2. Quelle adresse est associée à cette page dans l’export WordPress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https://test.gsleseminents.com/?page_id=1850</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Q3. Quel identifiant d’adresse ou slug est associé à cette page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programme-spirituel</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Q4. Quel est le statut WordPress observé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Brouillon (draft).</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Q5. Un contenu textuel développé est-il enregistré dans la page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champ de contenu est vide dans l’export contrôlé.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Q6. Un résumé ou extrait est-il enregistré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Le champ d’extrait est vide dans l’export contrôlé.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Q7. Des sous-titres sont-ils présents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l’absence de sous-titres.</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Q8. Des images ou vidéos sont-elles présentes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qu’aucune image ni vidéo n’est trouvée.</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3F4F6"/>
            <w:tcMar>
              <w:top w:w="55" w:type="dxa"/>
              <w:bottom w:w="55" w:type="dxa"/>
            </w:tcMar>
          </w:tcPr>
          <w:p>
            <w:pPr>
              <w:pStyle w:val="Normal"/>
              <w:spacing w:lineRule="auto" w:line="240" w:before="0" w:after="0"/>
              <w:rPr/>
            </w:pPr>
            <w:r>
              <w:rPr>
                <w:rFonts w:ascii="Aptos" w:hAnsi="Aptos"/>
                <w:b/>
                <w:i w:val="false"/>
                <w:color w:val="253247"/>
                <w:sz w:val="16"/>
              </w:rPr>
              <w:t>Q9. Des liens internes ou externes sont-ils présents ?</w:t>
            </w:r>
          </w:p>
        </w:tc>
        <w:tc>
          <w:tcPr>
            <w:tcW w:w="4846" w:type="dxa"/>
            <w:tcBorders>
              <w:top w:val="single" w:sz="4" w:space="0" w:color="D9DEE7"/>
              <w:start w:val="single" w:sz="4" w:space="0" w:color="D9DEE7"/>
              <w:bottom w:val="single" w:sz="4" w:space="0" w:color="D9DEE7"/>
              <w:end w:val="single" w:sz="4" w:space="0" w:color="D9DEE7"/>
            </w:tcBorders>
            <w:shd w:fill="FFF7DF"/>
            <w:tcMar>
              <w:top w:w="55" w:type="dxa"/>
              <w:bottom w:w="55" w:type="dxa"/>
            </w:tcMar>
          </w:tcPr>
          <w:p>
            <w:pPr>
              <w:pStyle w:val="Normal"/>
              <w:spacing w:lineRule="auto" w:line="240" w:before="0" w:after="0"/>
              <w:rPr/>
            </w:pPr>
            <w:r>
              <w:rPr>
                <w:rFonts w:ascii="Aptos" w:hAnsi="Aptos"/>
                <w:b w:val="false"/>
                <w:i w:val="false"/>
                <w:color w:val="253247"/>
                <w:sz w:val="16"/>
              </w:rPr>
              <w:t>Non. Le contrôle éditorial signale qu’aucun lien n’est trouvé.</w:t>
            </w:r>
          </w:p>
        </w:tc>
      </w:tr>
      <w:tr>
        <w:trPr>
          <w:cantSplit w:val="true"/>
        </w:trPr>
        <w:tc>
          <w:tcPr>
            <w:tcW w:w="4677"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i w:val="false"/>
                <w:color w:val="253247"/>
                <w:sz w:val="16"/>
              </w:rPr>
              <w:t>Q10. Quelle réponse prudente doit être donnée au public ?</w:t>
            </w:r>
          </w:p>
        </w:tc>
        <w:tc>
          <w:tcPr>
            <w:tcW w:w="4846" w:type="dxa"/>
            <w:tcBorders>
              <w:top w:val="single" w:sz="4" w:space="0" w:color="D9DEE7"/>
              <w:start w:val="single" w:sz="4" w:space="0" w:color="D9DEE7"/>
              <w:bottom w:val="single" w:sz="4" w:space="0" w:color="D9DEE7"/>
              <w:end w:val="single" w:sz="4" w:space="0" w:color="D9DEE7"/>
            </w:tcBorders>
            <w:shd w:fill="FFFFFF"/>
            <w:tcMar>
              <w:top w:w="55" w:type="dxa"/>
              <w:bottom w:w="55" w:type="dxa"/>
            </w:tcMar>
          </w:tcPr>
          <w:p>
            <w:pPr>
              <w:pStyle w:val="Normal"/>
              <w:spacing w:lineRule="auto" w:line="240" w:before="0" w:after="0"/>
              <w:rPr/>
            </w:pPr>
            <w:r>
              <w:rPr>
                <w:rFonts w:ascii="Aptos" w:hAnsi="Aptos"/>
                <w:b w:val="false"/>
                <w:i w:val="false"/>
                <w:color w:val="253247"/>
                <w:sz w:val="16"/>
              </w:rPr>
              <w:t>La page « PROGRAMME SPIRITUEL » existe comme brouillon dans le site test, mais aucun contenu de fond n’y est encore développé dans l’export du 28 juin 2026.</w:t>
            </w:r>
          </w:p>
        </w:tc>
      </w:tr>
    </w:tbl>
    <w:p>
      <w:pPr>
        <w:pStyle w:val="Normal"/>
        <w:spacing w:before="20" w:after="0"/>
        <w:rPr/>
      </w:pPr>
      <w:r>
        <w:rPr/>
      </w:r>
    </w:p>
    <w:p>
      <w:pPr>
        <w:pStyle w:val="Normal"/>
        <w:rPr/>
      </w:pPr>
      <w:r>
        <w:rPr/>
      </w:r>
      <w:r>
        <w:br w:type="page"/>
      </w:r>
    </w:p>
    <w:p>
      <w:pPr>
        <w:pStyle w:val="Heading1"/>
        <w:pBdr>
          <w:bottom w:val="single" w:sz="14" w:space="1" w:color="D4AF37"/>
        </w:pBdr>
        <w:spacing w:before="0" w:after="100"/>
        <w:rPr/>
      </w:pPr>
      <w:r>
        <w:rPr/>
        <w:t>6. Glossaire des mots clés, sigles, abréviations et termes difficiles</w:t>
      </w:r>
    </w:p>
    <w:p>
      <w:pPr>
        <w:pStyle w:val="Normal"/>
        <w:rPr/>
      </w:pPr>
      <w:r>
        <w:rPr/>
        <w:t>Ce glossaire accompagne la banque de questions afin que les parents, visiteurs, agents, enseignants, partenaires et utilisateurs d’ÉMINA puissent comprendre les formulations pédagogiques et techniques employées dans les pages analysées.</w:t>
      </w:r>
    </w:p>
    <w:tbl>
      <w:tblPr>
        <w:tblW w:w="952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608"/>
        <w:gridCol w:w="6917"/>
      </w:tblGrid>
      <w:tr>
        <w:trPr>
          <w:tblHeader w:val="true"/>
        </w:trPr>
        <w:tc>
          <w:tcPr>
            <w:tcW w:w="2608"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TERME / SIGLE</w:t>
            </w:r>
          </w:p>
        </w:tc>
        <w:tc>
          <w:tcPr>
            <w:tcW w:w="6917"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7"/>
              </w:rPr>
              <w:t>DÉFINITION POUR LA COMPRÉHENSION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GSE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Abréviation de GROUPE SCOLAIRE LES ÉMINENTS.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RDC</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République démocratique du Congo.</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Abréviation pratique de Petite Section, premier niveau de la maternelle. Cette abréviation est expliquée ici pour faciliter la lecture.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Abréviation pratique de Moyenne Section, deuxième niveau de la maternelle.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Abréviation pratique de Grande Section, troisième niveau de la maternelle.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URL</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Adresse permettant d’accéder à une page sur Internet.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CMS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Système de gestion de contenu utilisé pour créer et administrer un site web.</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WordPress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CMS utilisé pour organiser les pages, menus et contenus du site test.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WXR</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Format d’export WordPress fondé sur XML et utilisé pour transférer ou analyser les contenus d’un site.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XML</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Langage structuré servant à enregistrer et échanger des données, notamment dans l’export WordPress.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Menu</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organisé de liens donnant accès aux grandes rubriques du site.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Sous-menu</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Lien rattaché à une rubrique principale et donnant accès à une page plus précise.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Section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Partie d’une page organisée sous un titre propre.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Bloc</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Unité visuelle de contenu, souvent utilisée pour présenter un thème précis.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Extrait</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Résumé court associé à une page dans WordPress.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Publié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Statut d’une page rendue accessible au public.</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Brouillon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Statut d’une page enregistrée mais non finalisée ou non publiée.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Programme officiel congolais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des objectifs, matières et contenus prescrits par les autorités éducatives de la RDC.</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Exigences nationales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Attentes obligatoires que l’école doit respecter dans l’application des programmes officiels.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Enrichissement</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Ajout pédagogique qui complète le programme obligatoire sans en diminuer les exigences.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Module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organisé d’activités et de contenus consacré à un domaine déterminé.</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Compétence de vie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utile dans les situations quotidiennes, relationnelles, scolaires et futures.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Développement global</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Progression de l’enfant dans ses dimensions intellectuelle, physique, langagière, sociale, émotionnelle, morale et créative.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Parcours progressif</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Organisation des apprentissages par étapes successives adaptées à l’évolution de l’enfant.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Rythme de l’enfant</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Vitesse et manière propres à chaque enfant pour apprendre, agir, se reposer et s’adapter.</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Éveil</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Développement initial de la curiosité, des perceptions, du langage, du mouvement et des premières capacités de pensée.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Routine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Activité répétée de manière régulière pour sécuriser l’enfant et développer ses habitudes.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Exploration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Démarche par laquelle l’enfant découvre activement son environnement.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Manipulation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Apprentissage par l’action concrète sur des objets et du matériel.</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Motricité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des capacités liées au mouvement, à la coordination et au contrôle du corps.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Autonomie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réaliser progressivement des actions, des choix et des tâches avec moins d’assistance.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Socialisation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Apprentissage des relations, des règles et des comportements nécessaires à la vie avec les autres.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Vocabulaire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des mots qu’une personne comprend et utilise.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Expression orale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communiquer clairement par la parole.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Ludique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Qui utilise le jeu et le plaisir comme moyens d’apprentissage.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Coordination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organiser plusieurs mouvements de manière harmonieuse et efficace.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Hygiène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Pratiques destinées à préserver la propreté, la santé et le bien-être.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Choix guidé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Décision prise par l’enfant parmi des possibilités encadrées par l’adulte.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Découverte du monde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Domaine d’éveil portant sur les nombres, les formes, la nature, le temps, l’espace et l’environnement.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Coopération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Action de travailler avec d’autres pour atteindre un objectif commun.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Gestion des émotions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reconnaître, exprimer et réguler progressivement ses émotions.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Gratitude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Attitude de reconnaissance pour ce qui est reçu ou vécu.</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Installation sanitaire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Équipement destiné à l’hygiène et aux besoins corporels, par exemple toilettes et douches.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Dortoir</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Espace aménagé pour le repos ou le sommeil des enfants.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Fondations académiques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Savoirs et compétences de base indispensables aux apprentissages ultérieurs.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Culture générale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Connaissances variées permettant de mieux comprendre le monde et la société.</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Compétence citoyenne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comprendre les règles de la vie collective et à agir avec responsabilité dans la société.</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Raisonnement</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Processus de pensée utilisé pour expliquer, déduire, comparer et justifier une réponse.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Production écrite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rédiger des phrases et des textes organisés.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Grammaire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Ensemble des règles qui organisent la langue.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Géométrie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Domaine des mathématiques consacré aux formes, aux positions, aux dimensions et à l’espace.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Mesure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Action de déterminer une longueur, une masse, une durée, une capacité ou une autre grandeur.</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Logique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relier des idées et des informations de manière cohérente.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Résolution de problèmes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Démarche consistant à comprendre une difficulté, choisir une stratégie et vérifier une solution.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Culture scientifique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Connaissances, méthodes et attitudes permettant de comprendre des phénomènes par l’observation et la preuve.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Outil numérique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Équipement ou logiciel utilisé pour apprendre, communiquer, créer ou traiter de l’information.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Usage responsable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Utilisation prudente, éthique, sûre et adaptée d’un outil ou d’une ressource.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Discipline positive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Approche éducative qui fixe des limites claires tout en respectant la dignité de l’enfant et en recherchant l’apprentissage du comportement.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Leadership</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prendre des initiatives, servir, mobiliser et exercer une influence positive et responsable.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Prise de parole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s’exprimer devant d’autres personnes de manière compréhensible et assurée.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Service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Disposition à être utile aux autres et à contribuer au bien commun.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Accompagnement personnalisé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Soutien adapté aux progrès, aux besoins et aux difficultés d’un élève particulier.</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Suivi pédagogique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Observation et analyse régulières des apprentissages et de la progression scolaire.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Suivi comportemental</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Observation et accompagnement des attitudes, habitudes et relations de l’élève.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Mesure d’appui</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Action de soutien mise en place pour aider un élève à surmonter une difficulté.</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Ressources disponibles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Moyens humains, matériels, pédagogiques et organisationnels réellement accessibles à l’école.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Évaluation diagnostique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Évaluation utilisée pour identifier le niveau de départ, les acquis et les besoins.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Évaluation formative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Évaluation réalisée pendant l’apprentissage pour donner un retour et ajuster l’enseignement.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Évaluation certificative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Évaluation servant à attester un niveau ou des acquis à une étape déterminée.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Acquis</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Connaissances, compétences et attitudes déjà maîtrisées.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Concertation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Échange organisé entre plusieurs personnes afin de comprendre une situation et décider ensemble.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Plan d’accompagnement personnalisé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Document ou dispositif qui organise des objectifs, aides, responsabilités et modalités de suivi adaptés à un élève.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Bilinguisme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Développement et utilisation de deux langues dans un parcours éducatif.</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Langue administrative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Langue utilisée officiellement pour les documents, procédures et communications institutionnelles.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Progression linguistique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Développement organisé et graduel des capacités de compréhension, d’expression, de lecture et d’écriture.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Exposition régulière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Contact fréquent et planifié avec une langue à travers des situations variées.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Langues du milieu</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Langues parlées dans l’environnement familial ou communautaire de l’enfant.</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Appui pédagogique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Moyen utilisé pour faciliter la compréhension et l’apprentissage.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Traduction mécanique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Traduction systématique mot à mot ou leçon par leçon sans véritable situation de communication.</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Surcharge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Quantité excessive d’exigences ou d’activités pouvant fatiguer ou désorganiser l’apprentissage.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Situation authentique de communication</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Contexte réel ou vraisemblable dans lequel la langue sert à comprendre, demander, expliquer, raconter ou agir.</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Formation intégrale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Éducation qui développe ensemble les connaissances, le caractère, la foi, le corps, la créativité, les relations et les compétences pratiques.</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Créativité</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Capacité à imaginer, produire ou combiner des idées de manière originale et pertinente.</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Ouverture internationale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Préparation à communiquer, comprendre et agir dans des contextes dépassant le cadre local ou national.</w:t>
            </w:r>
          </w:p>
        </w:tc>
      </w:tr>
      <w:tr>
        <w:trPr>
          <w:cantSplit w:val="true"/>
        </w:trPr>
        <w:tc>
          <w:tcPr>
            <w:tcW w:w="2608" w:type="dxa"/>
            <w:tcBorders>
              <w:top w:val="single" w:sz="4" w:space="0" w:color="D9DEE7"/>
              <w:start w:val="single" w:sz="4" w:space="0" w:color="D9DEE7"/>
              <w:bottom w:val="single" w:sz="4" w:space="0" w:color="D9DEE7"/>
              <w:end w:val="single" w:sz="4" w:space="0" w:color="D9DEE7"/>
            </w:tcBorders>
            <w:shd w:fill="EAF2FB"/>
            <w:tcMar>
              <w:top w:w="55" w:type="dxa"/>
              <w:start w:w="95" w:type="dxa"/>
              <w:bottom w:w="55" w:type="dxa"/>
              <w:end w:w="95" w:type="dxa"/>
            </w:tcMar>
          </w:tcPr>
          <w:p>
            <w:pPr>
              <w:pStyle w:val="Normal"/>
              <w:spacing w:lineRule="auto" w:line="240" w:before="0" w:after="0"/>
              <w:rPr/>
            </w:pPr>
            <w:r>
              <w:rPr>
                <w:rFonts w:ascii="Aptos" w:hAnsi="Aptos"/>
                <w:b/>
                <w:i w:val="false"/>
                <w:color w:val="0B3D91"/>
                <w:sz w:val="16"/>
              </w:rPr>
              <w:t>Éducation chrétienne</w:t>
            </w:r>
          </w:p>
        </w:tc>
        <w:tc>
          <w:tcPr>
            <w:tcW w:w="6917" w:type="dxa"/>
            <w:tcBorders>
              <w:top w:val="single" w:sz="4" w:space="0" w:color="D9DEE7"/>
              <w:start w:val="single" w:sz="4" w:space="0" w:color="D9DEE7"/>
              <w:bottom w:val="single" w:sz="4" w:space="0" w:color="D9DEE7"/>
              <w:end w:val="single" w:sz="4" w:space="0" w:color="D9DEE7"/>
            </w:tcBorders>
            <w:shd w:fill="FFFFFF"/>
            <w:tcMar>
              <w:top w:w="55" w:type="dxa"/>
              <w:start w:w="95" w:type="dxa"/>
              <w:bottom w:w="55" w:type="dxa"/>
              <w:end w:w="95" w:type="dxa"/>
            </w:tcMar>
          </w:tcPr>
          <w:p>
            <w:pPr>
              <w:pStyle w:val="Normal"/>
              <w:spacing w:lineRule="auto" w:line="240" w:before="0" w:after="0"/>
              <w:rPr/>
            </w:pPr>
            <w:r>
              <w:rPr>
                <w:rFonts w:ascii="Aptos" w:hAnsi="Aptos"/>
                <w:b w:val="false"/>
                <w:i w:val="false"/>
                <w:color w:val="253247"/>
                <w:sz w:val="16"/>
              </w:rPr>
              <w:t>Formation qui intègre la foi et les valeurs chrétiennes dans les apprentissages et la vie scolaire.</w:t>
            </w:r>
          </w:p>
        </w:tc>
      </w:tr>
    </w:tbl>
    <w:p>
      <w:pPr>
        <w:pStyle w:val="Normal"/>
        <w:rPr/>
      </w:pPr>
      <w:r>
        <w:rPr/>
      </w:r>
      <w:r>
        <w:br w:type="page"/>
      </w:r>
    </w:p>
    <w:p>
      <w:pPr>
        <w:pStyle w:val="Heading1"/>
        <w:pBdr>
          <w:bottom w:val="single" w:sz="14" w:space="1" w:color="D4AF37"/>
        </w:pBdr>
        <w:spacing w:before="0" w:after="100"/>
        <w:rPr/>
      </w:pPr>
      <w:r>
        <w:rPr/>
        <w:t>7. Observations éditoriales et recommandations de cohérence</w:t>
      </w:r>
    </w:p>
    <w:tbl>
      <w:tblPr>
        <w:tblW w:w="9524" w:type="dxa"/>
        <w:jc w:val="center"/>
        <w:tblInd w:w="0" w:type="dxa"/>
        <w:tblLayout w:type="fixed"/>
        <w:tblCellMar>
          <w:top w:w="65" w:type="dxa"/>
          <w:start w:w="95" w:type="dxa"/>
          <w:bottom w:w="65" w:type="dxa"/>
          <w:end w:w="95" w:type="dxa"/>
        </w:tblCellMar>
        <w:tblLook w:val="04a0" w:noHBand="0" w:noVBand="1" w:firstColumn="1" w:lastRow="0" w:lastColumn="0" w:firstRow="1"/>
      </w:tblPr>
      <w:tblGrid>
        <w:gridCol w:w="2323"/>
        <w:gridCol w:w="7200"/>
      </w:tblGrid>
      <w:tr>
        <w:trPr>
          <w:cantSplit w:val="true"/>
        </w:trPr>
        <w:tc>
          <w:tcPr>
            <w:tcW w:w="2323"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7"/>
              </w:rPr>
              <w:t>Cohérence des niveaux du primaire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7"/>
              </w:rPr>
              <w:t>La page publiée du site test indique une ouverture de la 1re à la 4e primaire pour 2026-2027. Cette formulation doit rester alignée sur les décisions institutionnelles, les admissions, les formulaires et les communications officielles.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Secondaire</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La page Secondaire est un brouillon vide. Tant qu’un contenu validé n’est pas publié, les réponses publiques doivent signaler un développement futur sans présenter de programme détaillé comme déjà opérationnel.</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Programme spirituel</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La page Programme spirituel est un brouillon vide. Il faut rédiger un contenu validé précisant objectifs, activités, respect des familles, liens avec les valeurs, responsabilités et modalités de suivi.</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Correspondance menu–pages</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Les libellés « Section Maternelle », « Section Primaire », « Programme bilingue » doivent renvoyer sans ambiguïté aux pages publiées La Maternelle, Le Primaire et Bilinguisme français–anglais.</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Référencement et accessibilité</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Tous les titres et textes importants doivent rester en texte HTML lisible, et non seulement dans des images, afin d’améliorer l’accessibilité, la traduction, le référencement et la synchronisation avec ÉMINA.</w:t>
            </w:r>
          </w:p>
        </w:tc>
      </w:tr>
      <w:tr>
        <w:trPr>
          <w:cantSplit w:val="true"/>
        </w:trPr>
        <w:tc>
          <w:tcPr>
            <w:tcW w:w="2323"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7"/>
              </w:rPr>
              <w:t>Base de connaissances ÉMINA</w:t>
            </w:r>
          </w:p>
        </w:tc>
        <w:tc>
          <w:tcPr>
            <w:tcW w:w="7200"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7"/>
              </w:rPr>
              <w:t>Chaque question de cette banque peut devenir une intention de recherche reliée à une réponse de référence, une page-source, un statut de publication et une date de validation.</w:t>
            </w:r>
          </w:p>
        </w:tc>
      </w:tr>
    </w:tbl>
    <w:p>
      <w:pPr>
        <w:pStyle w:val="Normal"/>
        <w:spacing w:before="20" w:after="0"/>
        <w:rPr/>
      </w:pPr>
      <w:r>
        <w:rPr/>
      </w:r>
    </w:p>
    <w:p>
      <w:pPr>
        <w:pStyle w:val="Heading1"/>
        <w:pBdr>
          <w:bottom w:val="single" w:sz="14" w:space="1" w:color="D4AF37"/>
        </w:pBdr>
        <w:rPr/>
      </w:pPr>
      <w:r>
        <w:rPr/>
        <w:t>8. Usages recommandés de la banque</w:t>
      </w:r>
    </w:p>
    <w:p>
      <w:pPr>
        <w:pStyle w:val="ListBullet"/>
        <w:numPr>
          <w:ilvl w:val="0"/>
          <w:numId w:val="1"/>
        </w:numPr>
        <w:spacing w:before="0" w:after="40"/>
        <w:contextualSpacing/>
        <w:rPr/>
      </w:pPr>
      <w:r>
        <w:rPr/>
        <w:t>Former le personnel d’accueil, les agents d’admission et les responsables de communication.</w:t>
      </w:r>
    </w:p>
    <w:p>
      <w:pPr>
        <w:pStyle w:val="ListBullet"/>
        <w:numPr>
          <w:ilvl w:val="0"/>
          <w:numId w:val="1"/>
        </w:numPr>
        <w:spacing w:before="0" w:after="40"/>
        <w:contextualSpacing/>
        <w:rPr/>
      </w:pPr>
      <w:r>
        <w:rPr/>
        <w:t>Alimenter la FAQ publique et les réponses de l’Assistante institutionnelle ÉMINA.</w:t>
      </w:r>
    </w:p>
    <w:p>
      <w:pPr>
        <w:pStyle w:val="ListBullet"/>
        <w:numPr>
          <w:ilvl w:val="0"/>
          <w:numId w:val="1"/>
        </w:numPr>
        <w:spacing w:before="0" w:after="40"/>
        <w:contextualSpacing/>
        <w:rPr/>
      </w:pPr>
      <w:r>
        <w:rPr/>
        <w:t>Contrôler la fidélité des réponses avant publication dans les six langues de l’écosystème.</w:t>
      </w:r>
    </w:p>
    <w:p>
      <w:pPr>
        <w:pStyle w:val="ListBullet"/>
        <w:numPr>
          <w:ilvl w:val="0"/>
          <w:numId w:val="1"/>
        </w:numPr>
        <w:spacing w:before="0" w:after="40"/>
        <w:contextualSpacing/>
        <w:rPr/>
      </w:pPr>
      <w:r>
        <w:rPr/>
        <w:t>Préparer des questionnaires de compréhension pour les familles et les nouveaux agents.</w:t>
      </w:r>
    </w:p>
    <w:p>
      <w:pPr>
        <w:pStyle w:val="ListBullet"/>
        <w:numPr>
          <w:ilvl w:val="0"/>
          <w:numId w:val="1"/>
        </w:numPr>
        <w:spacing w:before="0" w:after="40"/>
        <w:contextualSpacing/>
        <w:rPr/>
      </w:pPr>
      <w:r>
        <w:rPr/>
        <w:t>Repérer les pages vides, les incohérences et les contenus à compléter avant la mise en production.</w:t>
      </w:r>
    </w:p>
    <w:p>
      <w:pPr>
        <w:pStyle w:val="Normal"/>
        <w:pBdr>
          <w:bottom w:val="single" w:sz="18" w:space="1" w:color="D4AF37"/>
        </w:pBdr>
        <w:spacing w:before="360" w:after="80"/>
        <w:jc w:val="center"/>
        <w:rPr/>
      </w:pPr>
      <w:r>
        <w:rPr>
          <w:b/>
          <w:color w:val="0B3D91"/>
          <w:sz w:val="24"/>
        </w:rPr>
        <w:t>FIN DU DOCUMENT</w:t>
      </w:r>
    </w:p>
    <w:p>
      <w:pPr>
        <w:pStyle w:val="Normal"/>
        <w:rPr/>
      </w:pPr>
      <w:r>
        <w:rPr/>
      </w:r>
      <w:r>
        <w:br w:type="page"/>
      </w:r>
    </w:p>
    <w:p>
      <w:pPr>
        <w:pStyle w:val="Normal"/>
        <w:rPr/>
      </w:pPr>
      <w:r>
        <w:rPr/>
      </w:r>
    </w:p>
    <w:p>
      <w:pPr>
        <w:pStyle w:val="Normal"/>
        <w:spacing w:before="160" w:after="60"/>
        <w:jc w:val="center"/>
        <w:rPr/>
      </w:pPr>
      <w:r>
        <w:rPr/>
        <w:drawing>
          <wp:inline distT="0" distB="0" distL="0" distR="0">
            <wp:extent cx="1259840" cy="1310640"/>
            <wp:effectExtent l="0" t="0" r="0" b="0"/>
            <wp:docPr id="16" name="Image10" descr="Logo officiel du GROUPE SCOLAIRE LES ÉMINENTS" title="Logo du GROUPE SCOLAIRE LES ÉM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Logo officiel du GROUPE SCOLAIRE LES ÉMINENTS" title="Logo du GROUPE SCOLAIRE LES ÉMINENTS"/>
                    <pic:cNvPicPr>
                      <a:picLocks noChangeAspect="1" noChangeArrowheads="1"/>
                    </pic:cNvPicPr>
                  </pic:nvPicPr>
                  <pic:blipFill>
                    <a:blip r:embed="rId44"/>
                    <a:stretch>
                      <a:fillRect/>
                    </a:stretch>
                  </pic:blipFill>
                  <pic:spPr bwMode="auto">
                    <a:xfrm>
                      <a:off x="0" y="0"/>
                      <a:ext cx="1259840" cy="1310640"/>
                    </a:xfrm>
                    <a:prstGeom prst="rect">
                      <a:avLst/>
                    </a:prstGeom>
                    <a:noFill/>
                  </pic:spPr>
                </pic:pic>
              </a:graphicData>
            </a:graphic>
          </wp:inline>
        </w:drawing>
      </w:r>
    </w:p>
    <w:p>
      <w:pPr>
        <w:pStyle w:val="Normal"/>
        <w:spacing w:before="160" w:after="60"/>
        <w:jc w:val="center"/>
        <w:rPr/>
      </w:pPr>
      <w:r>
        <w:rPr>
          <w:rFonts w:ascii="Aptos Display" w:hAnsi="Aptos Display"/>
          <w:b/>
          <w:color w:val="0B3D91"/>
          <w:sz w:val="44"/>
        </w:rPr>
        <w:t>GROUPE SCOLAIRE</w:t>
        <w:br/>
        <w:t>LES ÉMINENTS</w:t>
      </w:r>
    </w:p>
    <w:p>
      <w:pPr>
        <w:pStyle w:val="Normal"/>
        <w:pBdr>
          <w:bottom w:val="single" w:sz="24" w:space="1" w:color="D4AF37"/>
        </w:pBdr>
        <w:spacing w:before="240" w:after="60"/>
        <w:jc w:val="center"/>
        <w:rPr/>
      </w:pPr>
      <w:r>
        <w:rPr>
          <w:rFonts w:ascii="Aptos Display" w:hAnsi="Aptos Display"/>
          <w:b/>
          <w:color w:val="0B3D91"/>
          <w:sz w:val="42"/>
        </w:rPr>
        <w:t>RELEVÉ COMPLET ET BANQUE EXHAUSTIVE</w:t>
        <w:br/>
        <w:t>DU MENU « VIE SCOLAIRE »</w:t>
      </w:r>
    </w:p>
    <w:p>
      <w:pPr>
        <w:pStyle w:val="Normal"/>
        <w:jc w:val="center"/>
        <w:rPr/>
      </w:pPr>
      <w:r>
        <w:rPr>
          <w:b/>
          <w:color w:val="D4AF37"/>
          <w:sz w:val="24"/>
        </w:rPr>
        <w:t>Page principale • Santé, sécurité &amp; protection • Activités &amp; talents</w:t>
      </w:r>
    </w:p>
    <w:p>
      <w:pPr>
        <w:pStyle w:val="Normal"/>
        <w:spacing w:before="120" w:after="60"/>
        <w:jc w:val="center"/>
        <w:rPr/>
      </w:pPr>
      <w:r>
        <w:rPr>
          <w:i/>
          <w:color w:val="5B6573"/>
          <w:sz w:val="21"/>
        </w:rPr>
        <w:t>Questions-réponses de référence • raison et importance des titres • liens entre sections • glossaire</w:t>
      </w:r>
    </w:p>
    <w:tbl>
      <w:tblPr>
        <w:tblW w:w="9184" w:type="dxa"/>
        <w:jc w:val="center"/>
        <w:tblInd w:w="0" w:type="dxa"/>
        <w:tblLayout w:type="fixed"/>
        <w:tblCellMar>
          <w:top w:w="75" w:type="dxa"/>
          <w:start w:w="85" w:type="dxa"/>
          <w:bottom w:w="75" w:type="dxa"/>
          <w:end w:w="85" w:type="dxa"/>
        </w:tblCellMar>
        <w:tblLook w:val="04a0" w:noHBand="0" w:noVBand="1" w:firstColumn="1" w:lastRow="0" w:lastColumn="0" w:firstRow="1"/>
      </w:tblPr>
      <w:tblGrid>
        <w:gridCol w:w="3684"/>
        <w:gridCol w:w="1815"/>
        <w:gridCol w:w="3685"/>
      </w:tblGrid>
      <w:tr>
        <w:trPr/>
        <w:tc>
          <w:tcPr>
            <w:tcW w:w="3684" w:type="dxa"/>
            <w:tcBorders>
              <w:top w:val="single" w:sz="4" w:space="0" w:color="0B3D91"/>
              <w:start w:val="single" w:sz="4" w:space="0" w:color="0B3D91"/>
              <w:bottom w:val="single" w:sz="4" w:space="0" w:color="0B3D91"/>
              <w:end w:val="single" w:sz="4" w:space="0" w:color="0B3D91"/>
            </w:tcBorders>
            <w:shd w:fill="0B3D91"/>
          </w:tcPr>
          <w:p>
            <w:pPr>
              <w:pStyle w:val="Normal"/>
              <w:spacing w:before="0" w:after="80"/>
              <w:rPr/>
            </w:pPr>
            <w:r>
              <w:rPr/>
            </w:r>
          </w:p>
        </w:tc>
        <w:tc>
          <w:tcPr>
            <w:tcW w:w="1815" w:type="dxa"/>
            <w:tcBorders>
              <w:top w:val="single" w:sz="4" w:space="0" w:color="D4AF37"/>
              <w:start w:val="single" w:sz="4" w:space="0" w:color="D4AF37"/>
              <w:bottom w:val="single" w:sz="4" w:space="0" w:color="D4AF37"/>
              <w:end w:val="single" w:sz="4" w:space="0" w:color="D4AF37"/>
            </w:tcBorders>
            <w:shd w:fill="D4AF37"/>
          </w:tcPr>
          <w:p>
            <w:pPr>
              <w:pStyle w:val="Normal"/>
              <w:spacing w:before="0" w:after="80"/>
              <w:rPr/>
            </w:pPr>
            <w:r>
              <w:rPr/>
            </w:r>
          </w:p>
        </w:tc>
        <w:tc>
          <w:tcPr>
            <w:tcW w:w="3685" w:type="dxa"/>
            <w:tcBorders>
              <w:top w:val="single" w:sz="4" w:space="0" w:color="0B3D91"/>
              <w:start w:val="single" w:sz="4" w:space="0" w:color="0B3D91"/>
              <w:bottom w:val="single" w:sz="4" w:space="0" w:color="0B3D91"/>
              <w:end w:val="single" w:sz="4" w:space="0" w:color="0B3D91"/>
            </w:tcBorders>
            <w:shd w:fill="0B3D91"/>
          </w:tcPr>
          <w:p>
            <w:pPr>
              <w:pStyle w:val="Normal"/>
              <w:spacing w:before="0" w:after="80"/>
              <w:rPr/>
            </w:pPr>
            <w:r>
              <w:rPr/>
            </w:r>
          </w:p>
        </w:tc>
      </w:tr>
    </w:tbl>
    <w:p>
      <w:pPr>
        <w:pStyle w:val="Normal"/>
        <w:spacing w:before="360" w:after="60"/>
        <w:jc w:val="center"/>
        <w:rPr/>
      </w:pPr>
      <w:r>
        <w:rPr>
          <w:b/>
          <w:color w:val="0B3D91"/>
          <w:sz w:val="21"/>
        </w:rPr>
        <w:t>Document institutionnel de travail — 1er juillet 2026</w:t>
      </w:r>
    </w:p>
    <w:p>
      <w:pPr>
        <w:pStyle w:val="Normal"/>
        <w:jc w:val="center"/>
        <w:rPr/>
      </w:pPr>
      <w:r>
        <w:rPr>
          <w:color w:val="5B6573"/>
          <w:sz w:val="19"/>
        </w:rPr>
        <w:t>Site audité : https://test.gsleseminents.com</w:t>
      </w:r>
    </w:p>
    <w:p>
      <w:pPr>
        <w:pStyle w:val="Normal"/>
        <w:spacing w:before="240" w:after="60"/>
        <w:jc w:val="center"/>
        <w:rPr/>
      </w:pPr>
      <w:r>
        <w:rPr>
          <w:b/>
          <w:color w:val="D4AF37"/>
          <w:sz w:val="22"/>
        </w:rPr>
        <w:t>FOI • EXCELLENCE • INTÉGRITÉ • LEADERSHIP</w:t>
      </w:r>
    </w:p>
    <w:p>
      <w:pPr>
        <w:pStyle w:val="Normal"/>
        <w:rPr/>
      </w:pPr>
      <w:r>
        <w:rPr/>
      </w:r>
      <w:r>
        <w:br w:type="page"/>
      </w:r>
    </w:p>
    <w:p>
      <w:pPr>
        <w:pStyle w:val="Heading1"/>
        <w:pBdr>
          <w:bottom w:val="single" w:sz="14" w:space="1" w:color="D4AF37"/>
        </w:pBdr>
        <w:spacing w:before="0" w:after="80"/>
        <w:rPr/>
      </w:pPr>
      <w:r>
        <w:rPr/>
        <w:t>1. Objet, périmètre et méthode</w:t>
      </w:r>
    </w:p>
    <w:p>
      <w:pPr>
        <w:pStyle w:val="Normal"/>
        <w:spacing w:before="0" w:after="120"/>
        <w:rPr/>
      </w:pPr>
      <w:r>
        <w:rPr/>
        <w:t>Ce document relève les contenus actuellement publiés dans le menu « Vie scolaire » et ses deux sous-menus visibles sur le site test du GROUPE SCOLAIRE LES ÉMINENTS. Il distingue les titres de pages, les sections textuelles, les blocs d’information, les liens documentaires et les légendes institutionnelles. Pour chaque point, les réponses de la banque restent limitées au texte sous-jacent publié ; les analyses de raison, d’importance et de liens sont présentées séparément.</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Source principale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Pages publiques du site test consultées le 1er juillet 2026 : /vie-scolaire/, /sante-securite-protection/ et /activites-et-talents/.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Arborescence actuelle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Vie scolaire &gt; Santé, sécurité &amp; protection ; Vie scolaire &gt; Activités &amp; talents.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Règle de fidélité</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Les réponses de référence n’ajoutent aucune promesse absente du texte publié. Les raisons, l’importance et les liens sont des analyses institutionnelles clairement identifiées.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Éléments inclus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Titres, résumés, sections H2/H3, points textuels autonomes, redirections, documentation associée et légendes des illustrations.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Éléments non répétés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pied de page commun, les coordonnées générales, le widget ÉMINA et la navigation globale du site ne sont pas redéveloppés à chaque fiche.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Volume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38 fiches thématiques ; 380 questions-réponses ; 92 définitions.</w:t>
            </w:r>
          </w:p>
        </w:tc>
      </w:tr>
    </w:tbl>
    <w:p>
      <w:pPr>
        <w:pStyle w:val="Normal"/>
        <w:spacing w:before="0" w:after="0"/>
        <w:rPr/>
      </w:pPr>
      <w:r>
        <w:rPr/>
      </w:r>
    </w:p>
    <w:p>
      <w:pPr>
        <w:pStyle w:val="Heading1"/>
        <w:pBdr>
          <w:bottom w:val="single" w:sz="14" w:space="1" w:color="D4AF37"/>
        </w:pBdr>
        <w:rPr/>
      </w:pPr>
      <w:r>
        <w:rPr/>
        <w:t>2. Légende des statuts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890"/>
        <w:gridCol w:w="6633"/>
      </w:tblGrid>
      <w:tr>
        <w:trPr/>
        <w:tc>
          <w:tcPr>
            <w:tcW w:w="2890" w:type="dxa"/>
            <w:tcBorders>
              <w:top w:val="single" w:sz="4" w:space="0" w:color="2E6F40"/>
              <w:start w:val="single" w:sz="4" w:space="0" w:color="2E6F40"/>
              <w:bottom w:val="single" w:sz="4" w:space="0" w:color="2E6F40"/>
              <w:end w:val="single" w:sz="4" w:space="0" w:color="2E6F40"/>
            </w:tcBorders>
            <w:shd w:fill="2E6F40"/>
            <w:vAlign w:val="center"/>
          </w:tcPr>
          <w:p>
            <w:pPr>
              <w:pStyle w:val="Normal"/>
              <w:spacing w:lineRule="auto" w:line="240" w:before="0" w:after="0"/>
              <w:jc w:val="center"/>
              <w:rPr/>
            </w:pPr>
            <w:r>
              <w:rPr>
                <w:rFonts w:ascii="Aptos" w:hAnsi="Aptos"/>
                <w:b/>
                <w:i w:val="false"/>
                <w:color w:val="FFFFFF"/>
                <w:sz w:val="16"/>
              </w:rPr>
              <w:t>PAGE PUBLIÉE</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principale ou sous-page active comprenant un résumé et plusieurs contenus.</w:t>
            </w:r>
          </w:p>
        </w:tc>
      </w:tr>
      <w:tr>
        <w:trPr/>
        <w:tc>
          <w:tcPr>
            <w:tcW w:w="2890" w:type="dxa"/>
            <w:tcBorders>
              <w:top w:val="single" w:sz="4" w:space="0" w:color="0B3D91"/>
              <w:start w:val="single" w:sz="4" w:space="0" w:color="0B3D91"/>
              <w:bottom w:val="single" w:sz="4" w:space="0" w:color="0B3D91"/>
              <w:end w:val="single" w:sz="4" w:space="0" w:color="0B3D91"/>
            </w:tcBorders>
            <w:shd w:fill="0B3D91"/>
            <w:vAlign w:val="center"/>
          </w:tcPr>
          <w:p>
            <w:pPr>
              <w:pStyle w:val="Normal"/>
              <w:spacing w:lineRule="auto" w:line="240" w:before="0" w:after="0"/>
              <w:jc w:val="center"/>
              <w:rPr/>
            </w:pPr>
            <w:r>
              <w:rPr>
                <w:rFonts w:ascii="Aptos" w:hAnsi="Aptos"/>
                <w:b/>
                <w:i w:val="false"/>
                <w:color w:val="FFFFFF"/>
                <w:sz w:val="16"/>
              </w:rPr>
              <w:t>SECTION / BLOC PUBLIÉ</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Titre et texte présents dans le corps d’une page publique.</w:t>
            </w:r>
          </w:p>
        </w:tc>
      </w:tr>
      <w:tr>
        <w:trPr/>
        <w:tc>
          <w:tcPr>
            <w:tcW w:w="2890" w:type="dxa"/>
            <w:tcBorders>
              <w:top w:val="single" w:sz="4" w:space="0" w:color="C46A14"/>
              <w:start w:val="single" w:sz="4" w:space="0" w:color="C46A14"/>
              <w:bottom w:val="single" w:sz="4" w:space="0" w:color="C46A14"/>
              <w:end w:val="single" w:sz="4" w:space="0" w:color="C46A14"/>
            </w:tcBorders>
            <w:shd w:fill="C46A14"/>
            <w:vAlign w:val="center"/>
          </w:tcPr>
          <w:p>
            <w:pPr>
              <w:pStyle w:val="Normal"/>
              <w:spacing w:lineRule="auto" w:line="240" w:before="0" w:after="0"/>
              <w:jc w:val="center"/>
              <w:rPr/>
            </w:pPr>
            <w:r>
              <w:rPr>
                <w:rFonts w:ascii="Aptos" w:hAnsi="Aptos"/>
                <w:b/>
                <w:i w:val="false"/>
                <w:color w:val="FFFFFF"/>
                <w:sz w:val="16"/>
              </w:rPr>
              <w:t>STRUCTURE DE NAVIGATION</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Intitulés et liens visibles dans le menu actuel.</w:t>
            </w:r>
          </w:p>
        </w:tc>
      </w:tr>
      <w:tr>
        <w:trPr/>
        <w:tc>
          <w:tcPr>
            <w:tcW w:w="2890" w:type="dxa"/>
            <w:tcBorders>
              <w:top w:val="single" w:sz="4" w:space="0" w:color="6941C6"/>
              <w:start w:val="single" w:sz="4" w:space="0" w:color="6941C6"/>
              <w:bottom w:val="single" w:sz="4" w:space="0" w:color="6941C6"/>
              <w:end w:val="single" w:sz="4" w:space="0" w:color="6941C6"/>
            </w:tcBorders>
            <w:shd w:fill="6941C6"/>
            <w:vAlign w:val="center"/>
          </w:tcPr>
          <w:p>
            <w:pPr>
              <w:pStyle w:val="Normal"/>
              <w:spacing w:lineRule="auto" w:line="240" w:before="0" w:after="0"/>
              <w:jc w:val="center"/>
              <w:rPr/>
            </w:pPr>
            <w:r>
              <w:rPr>
                <w:rFonts w:ascii="Aptos" w:hAnsi="Aptos"/>
                <w:b/>
                <w:i w:val="false"/>
                <w:color w:val="FFFFFF"/>
                <w:sz w:val="16"/>
              </w:rPr>
              <w:t>LIEN / DOCUMENTATION</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Accès vers une sous-page ou un document public associé.</w:t>
            </w:r>
          </w:p>
        </w:tc>
      </w:tr>
      <w:tr>
        <w:trPr/>
        <w:tc>
          <w:tcPr>
            <w:tcW w:w="2890" w:type="dxa"/>
            <w:tcBorders>
              <w:top w:val="single" w:sz="4" w:space="0" w:color="D4AF37"/>
              <w:start w:val="single" w:sz="4" w:space="0" w:color="D4AF37"/>
              <w:bottom w:val="single" w:sz="4" w:space="0" w:color="D4AF37"/>
              <w:end w:val="single" w:sz="4" w:space="0" w:color="D4AF37"/>
            </w:tcBorders>
            <w:shd w:fill="D4AF37"/>
            <w:vAlign w:val="center"/>
          </w:tcPr>
          <w:p>
            <w:pPr>
              <w:pStyle w:val="Normal"/>
              <w:spacing w:lineRule="auto" w:line="240" w:before="0" w:after="0"/>
              <w:jc w:val="center"/>
              <w:rPr/>
            </w:pPr>
            <w:r>
              <w:rPr>
                <w:rFonts w:ascii="Aptos" w:hAnsi="Aptos"/>
                <w:b/>
                <w:i w:val="false"/>
                <w:color w:val="FFFFFF"/>
                <w:sz w:val="16"/>
              </w:rPr>
              <w:t>ILLUSTRATION / LÉGENDE</w:t>
            </w:r>
          </w:p>
        </w:tc>
        <w:tc>
          <w:tcPr>
            <w:tcW w:w="6633"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Titre et texte accompagnant un visuel institutionnel.</w:t>
            </w:r>
          </w:p>
        </w:tc>
      </w:tr>
    </w:tbl>
    <w:p>
      <w:pPr>
        <w:pStyle w:val="Heading1"/>
        <w:pBdr>
          <w:bottom w:val="single" w:sz="14" w:space="1" w:color="D4AF37"/>
        </w:pBdr>
        <w:rPr/>
      </w:pPr>
      <w:r>
        <w:rPr/>
        <w:t>3. Cartographie des fiches et de la banque</w:t>
      </w:r>
    </w:p>
    <w:tbl>
      <w:tblPr>
        <w:tblW w:w="952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66"/>
        <w:gridCol w:w="4820"/>
        <w:gridCol w:w="2665"/>
        <w:gridCol w:w="1474"/>
      </w:tblGrid>
      <w:tr>
        <w:trPr>
          <w:tblHeader w:val="true"/>
        </w:trPr>
        <w:tc>
          <w:tcPr>
            <w:tcW w:w="566"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5"/>
              </w:rPr>
              <w:t>N°</w:t>
            </w:r>
          </w:p>
        </w:tc>
        <w:tc>
          <w:tcPr>
            <w:tcW w:w="48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5"/>
              </w:rPr>
              <w:t>TITRE / SECTION</w:t>
            </w:r>
          </w:p>
        </w:tc>
        <w:tc>
          <w:tcPr>
            <w:tcW w:w="266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5"/>
              </w:rPr>
              <w:t>STATUT</w:t>
            </w:r>
          </w:p>
        </w:tc>
        <w:tc>
          <w:tcPr>
            <w:tcW w:w="1474"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5"/>
              </w:rPr>
              <w:t>QUESTIONS</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Menu « Vie scolaire » et ses sous-menus</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STRUCTURE DE NAVIGATION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Vie scolaire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PAGE PUBLIÉE</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Une vie scolaire active et bienveillante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4</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Une vie scolaire structurée et bienveillante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5</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Assiduité et ponctualité</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6</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Discipline positive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7</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École–famille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8</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Activités</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9</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Horaire de référence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Accès directs : Santé et sécurité / Activités et talents</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LIENS DE REDIRECTION PUBLIÉS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11</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Remise sécurisée des enfants</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12</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Documentation associée — Vie scolaire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DOCUMENTS ET LIEN PUBLIÉS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13</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Activités et relations</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14</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Une communauté vivante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15</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Santé, sécurité et protection de l’enfant</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PAGE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16</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Prévenir, protéger et accompagner</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17</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L’intérêt supérieur de l’enfant d’abord</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18</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Protection de l’enfant</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19</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Santé scolaire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20</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Contrôle des accès</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21</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Plans d’urgence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22</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Hygiène et installations sanitaires</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23</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Remise sécurisée des enfants — page Santé</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24</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Confidentialité des informations</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POINT PUBLIÉ SANS SOUS-TITRE DISTINCT</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25</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Signalement et accompagnement</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26</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Documentation associée — Santé et protection</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DOCUMENTS ET LIEN PUBLIÉS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27</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Santé scolaire — illustration</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28</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Hygiène et sanitaires — illustration</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29</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Activités, culture et talents</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PAGE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30</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Découvrir, s’exprimer et prendre confiance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31</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Apprendre aussi par l’expérience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32</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Sciences et numérique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33</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Arts et expression</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34</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Sport et bien-être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35</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Culture et service</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BLOC PUBLIÉ</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36</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Uniforme et identité</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SECTION PUBLIÉE</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37</w:t>
            </w:r>
          </w:p>
        </w:tc>
        <w:tc>
          <w:tcPr>
            <w:tcW w:w="4820"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Expression et leadership</w:t>
            </w:r>
          </w:p>
        </w:tc>
        <w:tc>
          <w:tcPr>
            <w:tcW w:w="2665"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3F4F6"/>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r>
        <w:trPr>
          <w:cantSplit w:val="true"/>
        </w:trPr>
        <w:tc>
          <w:tcPr>
            <w:tcW w:w="566"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38</w:t>
            </w:r>
          </w:p>
        </w:tc>
        <w:tc>
          <w:tcPr>
            <w:tcW w:w="4820"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i w:val="false"/>
                <w:color w:val="0B3D91"/>
                <w:sz w:val="14"/>
              </w:rPr>
              <w:t>Sciences et découverte</w:t>
            </w:r>
          </w:p>
        </w:tc>
        <w:tc>
          <w:tcPr>
            <w:tcW w:w="2665"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rPr/>
            </w:pPr>
            <w:r>
              <w:rPr>
                <w:rFonts w:ascii="Aptos" w:hAnsi="Aptos"/>
                <w:b w:val="false"/>
                <w:i w:val="false"/>
                <w:color w:val="253247"/>
                <w:sz w:val="14"/>
              </w:rPr>
              <w:t>ILLUSTRATION ET LÉGENDE PUBLIÉES</w:t>
            </w:r>
          </w:p>
        </w:tc>
        <w:tc>
          <w:tcPr>
            <w:tcW w:w="1474" w:type="dxa"/>
            <w:tcBorders>
              <w:top w:val="single" w:sz="4" w:space="0" w:color="D9DEE7"/>
              <w:start w:val="single" w:sz="4" w:space="0" w:color="D9DEE7"/>
              <w:bottom w:val="single" w:sz="4" w:space="0" w:color="D9DEE7"/>
              <w:end w:val="single" w:sz="4" w:space="0" w:color="D9DEE7"/>
            </w:tcBorders>
            <w:shd w:fill="FFFFFF"/>
            <w:tcMar>
              <w:top w:w="38" w:type="dxa"/>
              <w:start w:w="85" w:type="dxa"/>
              <w:bottom w:w="38" w:type="dxa"/>
              <w:end w:w="85" w:type="dxa"/>
            </w:tcMar>
          </w:tcPr>
          <w:p>
            <w:pPr>
              <w:pStyle w:val="Normal"/>
              <w:spacing w:lineRule="auto" w:line="240" w:before="0" w:after="0"/>
              <w:jc w:val="center"/>
              <w:rPr/>
            </w:pPr>
            <w:r>
              <w:rPr>
                <w:rFonts w:ascii="Aptos" w:hAnsi="Aptos"/>
                <w:b w:val="false"/>
                <w:i w:val="false"/>
                <w:color w:val="253247"/>
                <w:sz w:val="14"/>
              </w:rPr>
              <w:t>10</w:t>
            </w:r>
          </w:p>
        </w:tc>
      </w:tr>
    </w:tbl>
    <w:p>
      <w:pPr>
        <w:pStyle w:val="Normal"/>
        <w:rPr/>
      </w:pPr>
      <w:r>
        <w:rPr/>
      </w:r>
      <w:r>
        <w:br w:type="page"/>
      </w:r>
    </w:p>
    <w:p>
      <w:pPr>
        <w:pStyle w:val="Normal"/>
        <w:pBdr>
          <w:bottom w:val="single" w:sz="24" w:space="1" w:color="D4AF37"/>
        </w:pBdr>
        <w:spacing w:before="0" w:after="240"/>
        <w:jc w:val="center"/>
        <w:rPr/>
      </w:pPr>
      <w:r>
        <w:rPr>
          <w:rFonts w:ascii="Aptos Display" w:hAnsi="Aptos Display"/>
          <w:b/>
          <w:color w:val="0B3D91"/>
          <w:sz w:val="38"/>
        </w:rPr>
        <w:t>I. MENU ET PAGE PRINCIPALE « VIE SCOLAIRE »</w:t>
      </w:r>
    </w:p>
    <w:p>
      <w:pPr>
        <w:pStyle w:val="Normal"/>
        <w:jc w:val="center"/>
        <w:rPr/>
      </w:pPr>
      <w:r>
        <w:rPr>
          <w:i/>
          <w:color w:val="667085"/>
          <w:sz w:val="20"/>
        </w:rPr>
        <w:t>Relevé fidèle • analyse institutionnelle • banque de questions</w:t>
      </w:r>
    </w:p>
    <w:p>
      <w:pPr>
        <w:pStyle w:val="Normal"/>
        <w:rPr/>
      </w:pPr>
      <w:r>
        <w:rPr/>
      </w:r>
      <w:r>
        <w:br w:type="page"/>
      </w:r>
    </w:p>
    <w:p>
      <w:pPr>
        <w:pStyle w:val="Heading1"/>
        <w:pBdr>
          <w:bottom w:val="single" w:sz="14" w:space="1" w:color="D4AF37"/>
        </w:pBdr>
        <w:spacing w:before="0" w:after="80"/>
        <w:rPr/>
      </w:pPr>
      <w:r>
        <w:rPr/>
        <w:t>1. Menu « Vie scolaire » et ses sous-menus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C46A14"/>
              <w:start w:val="single" w:sz="4" w:space="0" w:color="C46A14"/>
              <w:bottom w:val="single" w:sz="4" w:space="0" w:color="C46A14"/>
              <w:end w:val="single" w:sz="4" w:space="0" w:color="C46A14"/>
            </w:tcBorders>
            <w:shd w:fill="C46A14"/>
          </w:tcPr>
          <w:p>
            <w:pPr>
              <w:pStyle w:val="Normal"/>
              <w:spacing w:lineRule="auto" w:line="240" w:before="0" w:after="0"/>
              <w:jc w:val="center"/>
              <w:rPr/>
            </w:pPr>
            <w:r>
              <w:rPr>
                <w:rFonts w:ascii="Aptos" w:hAnsi="Aptos"/>
                <w:b/>
                <w:i w:val="false"/>
                <w:color w:val="FFFFFF"/>
                <w:sz w:val="16"/>
              </w:rPr>
              <w:t>STRUCTURE DE NAVIGATION PUBLIÉE</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 menu « Vie scolaire » comprend deux sous-menus visibles : « Santé, sécurité &amp; protection » et « Activités &amp; talents ».</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rassemble tout ce qui organise l’expérience quotidienne de l’élève en dehors de la seule transmission des cours.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rubrique permet aux familles d’identifier rapidement les dispositifs de suivi, de protection, d’activités et d’épanouissement.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Vie scolaire ; Santé, sécurité et protection de l’enfant ; Activités, culture et talents ; Espace Parents ; Admissions.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Menu public du site test — consultation du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l’intitulé principal de cette rubrique du menu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Vie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Combien de sous-menus visibles sont rattachés à « Vie scolaire »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Deux sous-menus.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est le premier sous-menu visible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Santé, sécurité &amp; protection.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est le deuxième sous-menu visible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Activités &amp;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chemin de navigation conduit au contenu sur la santé et la protection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Vie scolaire &gt; Santé, sécurité &amp; protection.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chemin de navigation conduit au contenu sur les activités et les talents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Vie scolaire &gt; Activités &amp;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Le menu affiche-t-il encore une longue liste de sous-rubriques séparées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Le menu actuel regroupe les contenus sous deux sous-menus visibles.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sous-menu réunit les questions de prévention, sécurité et protection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sécurité &amp; protection.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sous-menu réunit les sciences, les arts, le sport, la culture et les talents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 &amp;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fidèlement l’arborescence actuelle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menu « Vie scolaire » donne accès à « Santé, sécurité &amp; protection » et à « Activités &amp; talents ».</w:t>
            </w:r>
          </w:p>
        </w:tc>
      </w:tr>
    </w:tbl>
    <w:p>
      <w:pPr>
        <w:pStyle w:val="Normal"/>
        <w:rPr/>
      </w:pPr>
      <w:r>
        <w:rPr/>
      </w:r>
      <w:r>
        <w:br w:type="page"/>
      </w:r>
    </w:p>
    <w:p>
      <w:pPr>
        <w:pStyle w:val="Heading1"/>
        <w:pBdr>
          <w:bottom w:val="single" w:sz="14" w:space="1" w:color="D4AF37"/>
        </w:pBdr>
        <w:spacing w:before="0" w:after="80"/>
        <w:rPr/>
      </w:pPr>
      <w:r>
        <w:rPr/>
        <w:t>2. Vie scolaire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Discipline positive, suivi, communication avec les familles, activités et environnement protecteur.</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désigne l’organisation concrète du quotidien scolaire, des comportements, des relations, du suivi et des activités.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présente aux familles la manière dont l’école encadre l’enfant tout au long de la journée et coordonne les acteurs éducatifs.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Une vie scolaire structurée et bienveillante ; Assiduité ; Discipline positive ; École–famille ; Activités ; Sécurité ; Horaires.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Vie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Discipline positive, suivi, communication avec les familles, activités et environnement protecteur.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cinq éléments résument la page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discipline positive, le suivi, la communication avec les familles, les activités et l’environnement protecteur.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type de discipline est mentionné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discipline positive.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aspect d’accompagnement est mentionné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suivi.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Avec qui la communication est-elle organisée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Avec les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dimension du quotidien scolaire est mentionnée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activités.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type d’environnement est annoncé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 environnement protecteur.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page se limite-t-elle aux activités parascolaires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couvre aussi la discipline positive, le suivi, la communication et la protection.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courte présente la page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page présente la discipline positive, le suivi, la communication avec les familles, les activités et l’environnement protecteur.</w:t>
            </w:r>
          </w:p>
        </w:tc>
      </w:tr>
    </w:tbl>
    <w:p>
      <w:pPr>
        <w:pStyle w:val="Normal"/>
        <w:rPr/>
      </w:pPr>
      <w:r>
        <w:rPr/>
      </w:r>
      <w:r>
        <w:br w:type="page"/>
      </w:r>
    </w:p>
    <w:p>
      <w:pPr>
        <w:pStyle w:val="Heading1"/>
        <w:pBdr>
          <w:bottom w:val="single" w:sz="14" w:space="1" w:color="D4AF37"/>
        </w:pBdr>
        <w:spacing w:before="0" w:after="80"/>
        <w:rPr/>
      </w:pPr>
      <w:r>
        <w:rPr/>
        <w:t>3. Une vie scolaire active et bienveillante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Lecture, jeux éducatifs, relations sociales et activités encadrées donnent vie au campus.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associe dynamisme et bienveillance afin de montrer une vie scolaire à la fois vivante et sécurisante.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illustration traduit en images le développement intellectuel, relationnel et ludique annoncé par la page.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Lecture ; Jeux éducatifs ; Relations sociales ; Activités ; Bienveillance ; Développement intégral.</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vie scolaire active et bienveillante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Lecture, jeux éducatifs, relations sociales et activités encadrées donnent vie au campus.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 activité intellectuelle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lecture.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type de jeux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jeux éducatifs.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dimension relationnelle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relations sociales.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Comment les activités sont-elles qualifiées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Elles sont encadrées.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À quoi ces éléments donnent-ils vie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Au campus.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Quels quatre éléments donnent vie au campus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lecture, les jeux éducatifs, les relations sociales et les activités encadrées.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Le visuel présente-t-il des activités sans encadrement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Il mentionne des activités encadrées.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légende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lecture, les jeux éducatifs, les relations sociales et les activités encadrées donnent vie au campus.</w:t>
            </w:r>
          </w:p>
        </w:tc>
      </w:tr>
    </w:tbl>
    <w:p>
      <w:pPr>
        <w:pStyle w:val="Normal"/>
        <w:rPr/>
      </w:pPr>
      <w:r>
        <w:rPr/>
      </w:r>
      <w:r>
        <w:br w:type="page"/>
      </w:r>
    </w:p>
    <w:p>
      <w:pPr>
        <w:pStyle w:val="Heading1"/>
        <w:pBdr>
          <w:bottom w:val="single" w:sz="14" w:space="1" w:color="D4AF37"/>
        </w:pBdr>
        <w:spacing w:before="0" w:after="80"/>
        <w:rPr/>
      </w:pPr>
      <w:r>
        <w:rPr/>
        <w:t>4. Une vie scolaire structurée et bienveillante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La vie scolaire relie les apprentissages, le comportement, la sécurité, la santé, les activités et la communication avec les familles. Chaque enfant doit se sentir accueilli, protégé, écouté et responsabilisé.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souligne que la bienveillance doit s’appuyer sur une organisation claire et des responsabilités coordonnées.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fournit la définition centrale de la vie scolaire au GSE et relie l’enseignement au bien-être, à la sécurité et aux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Assiduité ; Discipline positive ; École–famille ; Santé ; Sécurité ; Activités ; Protection de l’enfant.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vie scolaire structurée et bienveillante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vie scolaire relie les apprentissages, le comportement, la sécurité, la santé, les activités et la communication avec les familles. Chaque enfant doit se sentir accueilli, protégé, écouté et responsabilisé.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relie la vie scolaire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apprentissages, le comportement, la sécurité, la santé, les activités et la communication avec les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premier domaine pédagogique est relié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apprentissages.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domaine lié aux attitudes est relié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comportement.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Quels deux domaines de protection et de bien-être sont reliés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sécurité et la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relation institutionnelle est reliée aux autres domaines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communication avec les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Comment chaque enfant doit-il se sentir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Accueilli, protégé, écouté et responsabilisé.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quatre ressentis ou états sont recherchés pour l’enfant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Être accueilli, protégé, écouté et responsabilisé.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La vie scolaire est-elle présentée comme une fonction isolée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 relie plusieurs dimensions de l’expérience scolaire.</w:t>
            </w:r>
          </w:p>
        </w:tc>
      </w:tr>
    </w:tbl>
    <w:p>
      <w:pPr>
        <w:pStyle w:val="Normal"/>
        <w:rPr/>
      </w:pPr>
      <w:r>
        <w:rPr/>
      </w:r>
      <w:r>
        <w:br w:type="page"/>
      </w:r>
    </w:p>
    <w:p>
      <w:pPr>
        <w:pStyle w:val="Heading1"/>
        <w:pBdr>
          <w:bottom w:val="single" w:sz="14" w:space="1" w:color="D4AF37"/>
        </w:pBdr>
        <w:spacing w:before="0" w:after="80"/>
        <w:rPr/>
      </w:pPr>
      <w:r>
        <w:rPr/>
        <w:t>5. Assiduité et ponctualité</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présences, retards, absences et sorties anticipées sont enregistrés et communiqués selon les procédures internes.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rappelle que la présence régulière et le respect des horaires sont des conditions essentielles du suivi éducatif.</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bloc établit la traçabilité des mouvements des élèves et la communication nécessaire avec les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Horaire de référence ; École–famille ; Contrôle des accès ; Remise sécurisée ; Procédures internes.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Assiduité et ponctualité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présences, retards, absences et sorties anticipées sont enregistrés et communiqués 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événements sont enregistrés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présences, les retards, les absences et les sorties anticipées.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 fait l’école des présences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 les enregistre et les communique 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 fait l’école des retards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 les enregistre et les communique 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 fait l’école des absences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 les enregistre et les communique 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 fait l’école des sorties anticipées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 les enregistre et les communique 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Selon quoi ces informations sont-elles traitées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Selon les procédures internes.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Le suivi concerne-t-il seulement les absences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Il concerne aussi les présences, les retards et les sorties anticipées.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ce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présences, retards, absences et sorties anticipées sont enregistrés et communiqués selon les procédures internes.</w:t>
            </w:r>
          </w:p>
        </w:tc>
      </w:tr>
    </w:tbl>
    <w:p>
      <w:pPr>
        <w:pStyle w:val="Normal"/>
        <w:rPr/>
      </w:pPr>
      <w:r>
        <w:rPr/>
      </w:r>
      <w:r>
        <w:br w:type="page"/>
      </w:r>
    </w:p>
    <w:p>
      <w:pPr>
        <w:pStyle w:val="Heading1"/>
        <w:pBdr>
          <w:bottom w:val="single" w:sz="14" w:space="1" w:color="D4AF37"/>
        </w:pBdr>
        <w:spacing w:before="0" w:after="80"/>
        <w:rPr/>
      </w:pPr>
      <w:r>
        <w:rPr/>
        <w:t>6. Discipline positive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règles sont expliquées, les mesures sont éducatives et proportionnées, et la dignité de l’enfant reste protégée.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annonce une discipline orientée vers l’apprentissage du comportement plutôt que vers la violence ou l’humiliation.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approche protège l’enfant tout en maintenant des règles claires et des réponses adaptées aux situations.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Valeurs ; Protection de l’enfant ; Signalement ; Médiation ; École–famille ; Bien-être.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Discipline positive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règles sont expliquées, les mesures sont éducatives et proportionnées, et la dignité de l’enfant reste protégée.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fait l’école des règles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 les explique.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Comment les mesures sont-elles qualifiées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Elles sont éducatives et proportionnées.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caractéristique pédagogique doivent avoir les mesures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Elles doivent être éducatives.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caractéristique d’équilibre doivent avoir les mesures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Elles doivent être proportionnées.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Qu’est-ce qui doit rester protégé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dignité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Les règles sont-elles seulement imposées sans explication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Elles sont expliquées.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discipline autorise-t-elle des mesures disproportionnées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Les mesures sont proportionnées.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discipline positive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règles sont expliquées, les mesures sont éducatives et proportionnées, et la dignité de l’enfant reste protégée.</w:t>
            </w:r>
          </w:p>
        </w:tc>
      </w:tr>
    </w:tbl>
    <w:p>
      <w:pPr>
        <w:pStyle w:val="Normal"/>
        <w:rPr/>
      </w:pPr>
      <w:r>
        <w:rPr/>
      </w:r>
      <w:r>
        <w:br w:type="page"/>
      </w:r>
    </w:p>
    <w:p>
      <w:pPr>
        <w:pStyle w:val="Heading1"/>
        <w:pBdr>
          <w:bottom w:val="single" w:sz="14" w:space="1" w:color="D4AF37"/>
        </w:pBdr>
        <w:spacing w:before="0" w:after="80"/>
        <w:rPr/>
      </w:pPr>
      <w:r>
        <w:rPr/>
        <w:t>7. École–famille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parents reçoivent des informations utiles, participent au suivi et disposent de mécanismes de plainte, suggestion et médiation.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matérialise le partenariat indispensable entre l’établissement et les responsables de l’enfant.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garantit l’information des parents, leur participation et l’existence de voies organisées pour exprimer une préoccupation ou résoudre un différend.</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Assiduité ; Discipline positive ; Espace Parents ; Communication ; Plaintes ; Médiation ; Admissions.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École–famille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parents reçoivent des informations utiles, participent au suivi et disposent de mécanismes de plainte, suggestion et médiation.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reçoivent les parents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Des informations utiles.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À quoi les parents participent-ils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Au suivi.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De quels mécanismes disposent-ils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 mécanismes de plainte, de suggestion et de médiation.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mécanisme permet d’exprimer une insatisfaction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plainte.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mécanisme permet de proposer une amélioration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suggestion.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mécanisme aide à résoudre un différend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médiation.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Les parents sont-ils seulement destinataires d’informations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Ils participent aussi au suivi.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relation école–famille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parents reçoivent des informations utiles, participent au suivi et disposent de mécanismes de plainte, suggestion et médiation.</w:t>
            </w:r>
          </w:p>
        </w:tc>
      </w:tr>
    </w:tbl>
    <w:p>
      <w:pPr>
        <w:pStyle w:val="Normal"/>
        <w:rPr/>
      </w:pPr>
      <w:r>
        <w:rPr/>
      </w:r>
      <w:r>
        <w:br w:type="page"/>
      </w:r>
    </w:p>
    <w:p>
      <w:pPr>
        <w:pStyle w:val="Heading1"/>
        <w:pBdr>
          <w:bottom w:val="single" w:sz="14" w:space="1" w:color="D4AF37"/>
        </w:pBdr>
        <w:spacing w:before="0" w:after="80"/>
        <w:rPr/>
      </w:pPr>
      <w:r>
        <w:rPr/>
        <w:t>8. Activités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Sciences, langues, arts, sport, culture, foi, citoyenneté et service contribuent au développement intégral.</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montre que les activités sont une composante éducative et non un simple divertissement.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bloc relie les apprentissages, la créativité, la santé, les valeurs et l’engagement social dans une vision globale de l’enfant.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Activités, culture et talents ; Programmes ; Bilinguisme ; Valeurs ; Sport ; Leadership ; Service.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Sciences, langues, arts, sport, culture, foi, citoyenneté et service contribuent au développement intégral.</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domaines académiques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sciences et les langues.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domaine artistique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arts.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domaine physique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sport.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domaine identitaire et patrimonial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culture.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dimension spirituelle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foi.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dimension civique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citoyenneté.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dimension d’engagement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service.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À quoi toutes ces dimensions contribuent-elles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Au développement intégral.</w:t>
            </w:r>
          </w:p>
        </w:tc>
      </w:tr>
    </w:tbl>
    <w:p>
      <w:pPr>
        <w:pStyle w:val="Normal"/>
        <w:rPr/>
      </w:pPr>
      <w:r>
        <w:rPr/>
      </w:r>
      <w:r>
        <w:br w:type="page"/>
      </w:r>
    </w:p>
    <w:p>
      <w:pPr>
        <w:pStyle w:val="Heading1"/>
        <w:pBdr>
          <w:bottom w:val="single" w:sz="14" w:space="1" w:color="D4AF37"/>
        </w:pBdr>
        <w:spacing w:before="0" w:after="80"/>
        <w:rPr/>
      </w:pPr>
      <w:r>
        <w:rPr/>
        <w:t>9. Horaire de référence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L’entrée est prévue à 7 h 30 et la sortie à 15 h 30. Les horaires détaillés par niveau et les adaptations ponctuelles sont communiqués officiellement aux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fixe un cadre horaire commun tout en laissant place aux précisions propres à chaque niveau.</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donne aux familles un repère pratique pour l’organisation quotidienne et précise le canal officiel des changements.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Assiduité et ponctualité ; Remise des enfants ; Communication avec les familles ; Programmes par niveau.</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Horaire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L’entrée est prévue à 7 h 30 et la sortie à 15 h 30. Les horaires détaillés par niveau et les adaptations ponctuelles sont communiqués officiellement aux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À quelle heure l’entrée est-elle prévue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7 h 30.</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À quelle heure la sortie est-elle prévue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À 15 h 30.</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Les mêmes détails d’horaire s’appliquent-ils nécessairement à tous les niveaux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horaires détaillés sont précisés par niveau.</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 devient une adaptation ponctuelle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 est communiquée officiellement aux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À qui les horaires détaillés sont-ils communiqués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Aux familles.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Comment les adaptations sont-elles communiquées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Officiellement.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intervalle général encadre la journée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 7 h 30 à 15 h 30.</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complète doit être donnée sur l’horaire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L’entrée est prévue à 7 h 30 et la sortie à 15 h 30 ; les détails par niveau et les adaptations ponctuelles sont communiqués officiellement aux familles.</w:t>
            </w:r>
          </w:p>
        </w:tc>
      </w:tr>
    </w:tbl>
    <w:p>
      <w:pPr>
        <w:pStyle w:val="Normal"/>
        <w:rPr/>
      </w:pPr>
      <w:r>
        <w:rPr/>
      </w:r>
      <w:r>
        <w:br w:type="page"/>
      </w:r>
    </w:p>
    <w:p>
      <w:pPr>
        <w:pStyle w:val="Heading1"/>
        <w:pBdr>
          <w:bottom w:val="single" w:sz="14" w:space="1" w:color="D4AF37"/>
        </w:pBdr>
        <w:spacing w:before="0" w:after="80"/>
        <w:rPr/>
      </w:pPr>
      <w:r>
        <w:rPr/>
        <w:t>10. Accès directs : Santé et sécurité / Activités et talents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6941C6"/>
              <w:start w:val="single" w:sz="4" w:space="0" w:color="6941C6"/>
              <w:bottom w:val="single" w:sz="4" w:space="0" w:color="6941C6"/>
              <w:end w:val="single" w:sz="4" w:space="0" w:color="6941C6"/>
            </w:tcBorders>
            <w:shd w:fill="6941C6"/>
          </w:tcPr>
          <w:p>
            <w:pPr>
              <w:pStyle w:val="Normal"/>
              <w:spacing w:lineRule="auto" w:line="240" w:before="0" w:after="0"/>
              <w:jc w:val="center"/>
              <w:rPr/>
            </w:pPr>
            <w:r>
              <w:rPr>
                <w:rFonts w:ascii="Aptos" w:hAnsi="Aptos"/>
                <w:b/>
                <w:i w:val="false"/>
                <w:color w:val="FFFFFF"/>
                <w:sz w:val="16"/>
              </w:rPr>
              <w:t>LIENS DE REDIRECTION PUBLIÉS</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Santé et sécurité ; Activités et talents.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Ces libellés orientent le visiteur vers les deux grands domaines d’approfondissement de la vie scolaire.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Ils réduisent la complexité du menu en regroupant les informations sous deux parcours clairs et complémentaires.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sécurité et protection de l’enfant ; Activités, culture et talents ; Menu Vie scolaire.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Quels deux accès directs sont proposés sous l’horaire de référence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Santé et sécurité ; Activités et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accès conduit au contenu de protection et de prévention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et sécurité.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accès conduit aux contenus parascolaires et créatifs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 et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Où conduit le bouton « Santé et sécurité »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Vers la page Santé, sécurité et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Où conduit le bouton « Activités et talents »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Vers la page Activités, culture et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Ces accès sont-ils des réponses développées sur la même ligne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Ce sont des liens vers les deux sous-pages de Vie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Combien de liens d’approfondissement sont visibles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Deux.</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lien doit être choisi pour une question sur les risques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et sécurité.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lien doit être choisi pour une question sur les arts ou le sport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 et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ces accès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page Vie scolaire renvoie directement vers Santé et sécurité ainsi que vers Activités et talents.</w:t>
            </w:r>
          </w:p>
        </w:tc>
      </w:tr>
    </w:tbl>
    <w:p>
      <w:pPr>
        <w:pStyle w:val="Normal"/>
        <w:rPr/>
      </w:pPr>
      <w:r>
        <w:rPr/>
      </w:r>
      <w:r>
        <w:br w:type="page"/>
      </w:r>
    </w:p>
    <w:p>
      <w:pPr>
        <w:pStyle w:val="Heading1"/>
        <w:pBdr>
          <w:bottom w:val="single" w:sz="14" w:space="1" w:color="D4AF37"/>
        </w:pBdr>
        <w:spacing w:before="0" w:after="80"/>
        <w:rPr/>
      </w:pPr>
      <w:r>
        <w:rPr/>
        <w:t>11. Remise sécurisée des enfants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La sortie repose sur des autorisations validées et une vérification adaptée : personne régulièrement autorisée, badge sécurisé, code temporaire ou procédure alternative encadrée. La biométrie, lorsqu’elle sera activée, ne constituera jamais l’unique moyen de vérification.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répond à un enjeu critique : remettre chaque enfant uniquement à une personne reconnue et autorisée.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protège les élèves, rassure les familles et prépare l’intégration de moyens numériques sans dépendance exclusive à la biométrie.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Contrôle des accès ; Santé et sécurité ; Espace Parents ; Badge ; QR temporaire ; Biométrie ; Notification au parent.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Remise sécurisée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sortie repose sur des autorisations validées et une vérification adaptée : personne régulièrement autorisée, badge sécurisé, code temporaire ou procédure alternative encadrée. La biométrie, lorsqu’elle sera activée, ne constituera jamais l’unique moyen de vérification.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Sur quoi repose la sortie de l’enfant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Sur des autorisations validées et une vérification adaptée.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premier mode de vérification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personne régulièrement autorisée.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support sécurisé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badge sécurisé.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moyen temporaire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code temporaire.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solution doit exister en complément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procédure alternative encadrée.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Quand la biométrie est-elle envisagée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Lorsqu’elle sera activée.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biométrie peut-elle être l’unique moyen de vérification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ne constituera jamais l’unique moyen de vérification.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procédure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remise repose sur des autorisations validées, une vérification adaptée et plusieurs moyens possibles, sans dépendre uniquement de la biométrie.</w:t>
            </w:r>
          </w:p>
        </w:tc>
      </w:tr>
    </w:tbl>
    <w:p>
      <w:pPr>
        <w:pStyle w:val="Normal"/>
        <w:rPr/>
      </w:pPr>
      <w:r>
        <w:rPr/>
      </w:r>
      <w:r>
        <w:br w:type="page"/>
      </w:r>
    </w:p>
    <w:p>
      <w:pPr>
        <w:pStyle w:val="Heading1"/>
        <w:pBdr>
          <w:bottom w:val="single" w:sz="14" w:space="1" w:color="D4AF37"/>
        </w:pBdr>
        <w:spacing w:before="0" w:after="80"/>
        <w:rPr/>
      </w:pPr>
      <w:r>
        <w:rPr/>
        <w:t>12. Documentation associée — Vie scolaire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6941C6"/>
              <w:start w:val="single" w:sz="4" w:space="0" w:color="6941C6"/>
              <w:bottom w:val="single" w:sz="4" w:space="0" w:color="6941C6"/>
              <w:end w:val="single" w:sz="4" w:space="0" w:color="6941C6"/>
            </w:tcBorders>
            <w:shd w:fill="6941C6"/>
          </w:tcPr>
          <w:p>
            <w:pPr>
              <w:pStyle w:val="Normal"/>
              <w:spacing w:lineRule="auto" w:line="240" w:before="0" w:after="0"/>
              <w:jc w:val="center"/>
              <w:rPr/>
            </w:pPr>
            <w:r>
              <w:rPr>
                <w:rFonts w:ascii="Aptos" w:hAnsi="Aptos"/>
                <w:b/>
                <w:i w:val="false"/>
                <w:color w:val="FFFFFF"/>
                <w:sz w:val="16"/>
              </w:rPr>
              <w:t>DOCUMENTS ET LIEN PUBLIÉS</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Bien-être, sécurité et protection de l’enfant — GSE-PUB-PRO-001 — Publié — FR/EN ; Santé, sécurité et protection de l’enfant — GSE-PUB-SAN-001 — Publié — FR/EN ; accès à la bibliothèque de documentation publique.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relie les messages synthétiques du site aux documents publics qui les développent et les encadrent.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améliore la transparence, la traçabilité des engagements et l’accès des familles aux références institutionnelles.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sécurité et protection ; Bien-être ; Bibliothèque documentaire ; Qualité et engagements ; ÉMINA.</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Documentation associée.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premier document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Bien-être, sécurité et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est le code du premier document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GSE-PUB-PRO-001.</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deuxième document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sécurité et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est le code du deuxième document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GSE-PUB-SAN-001.</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est le statut indiqué pour ces documents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Publié.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Dans quelles langues les documents sont-ils indiqués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FR/EN.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autre accès documentaire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bibliothèque de documentation publique.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Combien de documents nommément identifiés sont liés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Deux documents.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section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page renvoie vers deux documents publics bilingues et vers la bibliothèque de documentation publique.</w:t>
            </w:r>
          </w:p>
        </w:tc>
      </w:tr>
    </w:tbl>
    <w:p>
      <w:pPr>
        <w:pStyle w:val="Normal"/>
        <w:rPr/>
      </w:pPr>
      <w:r>
        <w:rPr/>
      </w:r>
      <w:r>
        <w:br w:type="page"/>
      </w:r>
    </w:p>
    <w:p>
      <w:pPr>
        <w:pStyle w:val="Heading1"/>
        <w:pBdr>
          <w:bottom w:val="single" w:sz="14" w:space="1" w:color="D4AF37"/>
        </w:pBdr>
        <w:spacing w:before="0" w:after="80"/>
        <w:rPr/>
      </w:pPr>
      <w:r>
        <w:rPr/>
        <w:t>13. Activités et relations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Jeux de réflexion, lecture, échanges et vie collective encadrée.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montre que les activités éducatives soutiennent aussi les relations et la vie en communauté.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légende relie réflexion, lecture, communication et encadrement collectif.</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Activités ; École–famille ; Discipline positive ; Développement intégral ; Activités et talents.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 et relations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Jeux de réflexion, lecture, échanges et vie collective encadrée.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jeux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jeux de réflexion.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activité de lecture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lecture.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forme d’interaction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échanges.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dimension communautaire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vie collective.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Comment la vie collective est-elle qualifiée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 est encadrée.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Quels quatre éléments composent la légende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jeux de réflexion, la lecture, les échanges et la vie collective encadrée.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vie collective est-elle présentée comme non organisée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est encadrée.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l’illustration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Jeux de réflexion, lecture, échanges et vie collective encadrée.</w:t>
            </w:r>
          </w:p>
        </w:tc>
      </w:tr>
    </w:tbl>
    <w:p>
      <w:pPr>
        <w:pStyle w:val="Normal"/>
        <w:rPr/>
      </w:pPr>
      <w:r>
        <w:rPr/>
      </w:r>
      <w:r>
        <w:br w:type="page"/>
      </w:r>
    </w:p>
    <w:p>
      <w:pPr>
        <w:pStyle w:val="Heading1"/>
        <w:pBdr>
          <w:bottom w:val="single" w:sz="14" w:space="1" w:color="D4AF37"/>
        </w:pBdr>
        <w:spacing w:before="0" w:after="80"/>
        <w:rPr/>
      </w:pPr>
      <w:r>
        <w:rPr/>
        <w:t>14. Une communauté vivante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https://test.gsleseminents.com/vie-scolaire/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Différents moments de la journée scolaire réunis dans une même vision.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insiste sur la diversité des expériences et sur leur cohérence au sein d’une même communauté éducative.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illustration aide à percevoir la journée scolaire comme un ensemble coordonné plutôt que comme une succession d’activités isolées.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Horaire ; Activités ; Relations ; Sécurité ; École–famille ; Valeurs.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communauté vivante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Différents moments de la journée scolaire réunis dans une même vision.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montre l’illustration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Différents moments de la journée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Comment ces moments sont-ils présentés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Ils sont réunis.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Dans quoi ces moments sont-ils réunis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Dans une même vision.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L’illustration se limite-t-elle à un seul moment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 réunit différents moments.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À quelle période ces moments appartiennent-ils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la journée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élément assure leur cohérence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Une même vision.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réponse courte présente l’illustration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Différents moments de la journée scolaire sont réunis dans une même vision.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 message d’unité est transmis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différents moments de la journée appartiennent à une vision commune.</w:t>
            </w:r>
          </w:p>
        </w:tc>
      </w:tr>
    </w:tbl>
    <w:p>
      <w:pPr>
        <w:pStyle w:val="Normal"/>
        <w:rPr/>
      </w:pPr>
      <w:r>
        <w:rPr/>
      </w:r>
      <w:r>
        <w:br w:type="page"/>
      </w:r>
    </w:p>
    <w:p>
      <w:pPr>
        <w:pStyle w:val="Normal"/>
        <w:pBdr>
          <w:bottom w:val="single" w:sz="24" w:space="1" w:color="D4AF37"/>
        </w:pBdr>
        <w:spacing w:before="0" w:after="240"/>
        <w:jc w:val="center"/>
        <w:rPr/>
      </w:pPr>
      <w:r>
        <w:rPr>
          <w:rFonts w:ascii="Aptos Display" w:hAnsi="Aptos Display"/>
          <w:b/>
          <w:color w:val="0B3D91"/>
          <w:sz w:val="38"/>
        </w:rPr>
        <w:t>II. SOUS-MENU « SANTÉ, SÉCURITÉ &amp; PROTECTION »</w:t>
      </w:r>
    </w:p>
    <w:p>
      <w:pPr>
        <w:pStyle w:val="Normal"/>
        <w:jc w:val="center"/>
        <w:rPr/>
      </w:pPr>
      <w:r>
        <w:rPr>
          <w:i/>
          <w:color w:val="667085"/>
          <w:sz w:val="20"/>
        </w:rPr>
        <w:t>Relevé fidèle • analyse institutionnelle • banque de questions</w:t>
      </w:r>
    </w:p>
    <w:p>
      <w:pPr>
        <w:pStyle w:val="Normal"/>
        <w:rPr/>
      </w:pPr>
      <w:r>
        <w:rPr/>
      </w:r>
      <w:r>
        <w:br w:type="page"/>
      </w:r>
    </w:p>
    <w:p>
      <w:pPr>
        <w:pStyle w:val="Heading1"/>
        <w:pBdr>
          <w:bottom w:val="single" w:sz="14" w:space="1" w:color="D4AF37"/>
        </w:pBdr>
        <w:spacing w:before="0" w:after="80"/>
        <w:rPr/>
      </w:pPr>
      <w:r>
        <w:rPr/>
        <w:t>15. Santé, sécurité et protection de l’enfant</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Prévenir les risques, protéger les élèves et intervenir de manière organisée et confidentielle.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réunit les dimensions sanitaires, préventives, physiques et humaines de la protection de l’élève.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page présente les garanties essentielles attendues par les familles et précise le cadre d’intervention de l’école.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Intérêt supérieur ; Protection de l’enfant ; Santé scolaire ; Accès ; Urgences ; Hygiène ; Signalement ; Confidentialité.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Santé, sécurité et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Prévenir les risques, protéger les élèves et intervenir de manière organisée et confidentielle.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Quelles sont les trois actions principales annoncées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Prévenir les risques, protéger les élèves et intervenir.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 faut-il prévenir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risques.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Qui faut-il protéger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élèves.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Comment faut-il intervenir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De manière organisée et confidentielle.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qualité d’organisation est exigée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intervention organisée.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exigence de discrétion est annoncée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confidentialité.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page traite-t-elle seulement des soins médicaux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traite aussi de prévention, de protection et d’intervention.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courte présente la page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Elle vise à prévenir les risques, protéger les élèves et intervenir de manière organisée et confidentielle.</w:t>
            </w:r>
          </w:p>
        </w:tc>
      </w:tr>
    </w:tbl>
    <w:p>
      <w:pPr>
        <w:pStyle w:val="Normal"/>
        <w:rPr/>
      </w:pPr>
      <w:r>
        <w:rPr/>
      </w:r>
      <w:r>
        <w:br w:type="page"/>
      </w:r>
    </w:p>
    <w:p>
      <w:pPr>
        <w:pStyle w:val="Heading1"/>
        <w:pBdr>
          <w:bottom w:val="single" w:sz="14" w:space="1" w:color="D4AF37"/>
        </w:pBdr>
        <w:spacing w:before="0" w:after="80"/>
        <w:rPr/>
      </w:pPr>
      <w:r>
        <w:rPr/>
        <w:t>16. Prévenir, protéger et accompagner</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Santé, hygiène, installations sanitaires, premiers secours et protection de l’enfant sont organisés avec soin.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résume la chaîne d’action : anticiper les risques, assurer la sécurité et soutenir l’enfant.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donne une vue d’ensemble des domaines pratiques qui composent le dispositif protecteur.</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scolaire ; Hygiène ; Sanitaires ; Premiers secours ; Protection ; Signalement.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Prévenir, protéger et accompagner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hygiène, installations sanitaires, premiers secours et protection de l’enfant sont organisés avec soin.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premier domaine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domaine de propreté et de prévention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L’hygiène.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Quelles installations sont citées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installations sanitaires.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type d’intervention immédiate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premiers secours.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protection spécifique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Comment ces domaines sont-ils organisés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Avec soin.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cinq domaines composent la légende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santé, l’hygiène, les installations sanitaires, les premiers secours et la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l’illustration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Santé, hygiène, installations sanitaires, premiers secours et protection de l’enfant sont organisés avec soin.</w:t>
            </w:r>
          </w:p>
        </w:tc>
      </w:tr>
    </w:tbl>
    <w:p>
      <w:pPr>
        <w:pStyle w:val="Normal"/>
        <w:rPr/>
      </w:pPr>
      <w:r>
        <w:rPr/>
      </w:r>
      <w:r>
        <w:br w:type="page"/>
      </w:r>
    </w:p>
    <w:p>
      <w:pPr>
        <w:pStyle w:val="Heading1"/>
        <w:pBdr>
          <w:bottom w:val="single" w:sz="14" w:space="1" w:color="D4AF37"/>
        </w:pBdr>
        <w:spacing w:before="0" w:after="80"/>
        <w:rPr/>
      </w:pPr>
      <w:r>
        <w:rPr/>
        <w:t>17. L’intérêt supérieur de l’enfant d’abord</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Toute décision pédagogique, administrative, disciplinaire, sanitaire ou sécuritaire concernant un élève tient compte en priorité de sa dignité, de sa sécurité, de son développement et de son droit à être entendu selon son âge.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place l’enfant et ses droits au centre de toutes les décisions prises par l’établissement.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constitue le principe directeur commun aux pratiques pédagogiques, administratives, disciplinaires, sanitaires et sécuritaires.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Discipline positive ; Santé scolaire ; Protection ; Signalement ; École–famille ; Gouvernance.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L’intérêt supérieur de l’enfant d’abord</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Toute décision pédagogique, administrative, disciplinaire, sanitaire ou sécuritaire concernant un élève tient compte en priorité de sa dignité, de sa sécurité, de son développement et de son droit à être entendu selon son âge.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Quelles décisions sont concernées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décisions pédagogiques, administratives, disciplinaires, sanitaires ou sécuritaires concernant un élève.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Qu’est-ce qui doit être pris en compte en priorité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dignité, la sécurité, le développement et le droit de l’élève à être entendu.</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première valeur personnelle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dignité de l’élève.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exigence de protection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sécurité de l’élève.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dimension de croissance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développement de l’élève.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droit d’expression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droit d’être entendu.</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À quoi l’écoute de l’élève est-elle adaptée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son âge.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Le principe s’applique-t-il seulement aux décisions disciplinaires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Il s’applique aussi aux décisions pédagogiques, administratives, sanitaires et sécuritaires.</w:t>
            </w:r>
          </w:p>
        </w:tc>
      </w:tr>
    </w:tbl>
    <w:p>
      <w:pPr>
        <w:pStyle w:val="Normal"/>
        <w:rPr/>
      </w:pPr>
      <w:r>
        <w:rPr/>
      </w:r>
      <w:r>
        <w:br w:type="page"/>
      </w:r>
    </w:p>
    <w:p>
      <w:pPr>
        <w:pStyle w:val="Heading1"/>
        <w:pBdr>
          <w:bottom w:val="single" w:sz="14" w:space="1" w:color="D4AF37"/>
        </w:pBdr>
        <w:spacing w:before="0" w:after="80"/>
        <w:rPr/>
      </w:pPr>
      <w:r>
        <w:rPr/>
        <w:t>18. Protection de l’enfant</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Code de conduite, prévention des violences, signalement confidentiel, recrutement sûr et traitement responsable des alertes.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regroupe les mesures destinées à prévenir les atteintes, détecter les préoccupations et organiser une réponse responsable.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composante établit des obligations pour les adultes, des voies de signalement et des précautions de recrutement.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Discipline positive ; Signalement ; Confidentialité ; Recrutement ; DBSPE ; Code de conduite.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Code de conduite, prévention des violences, signalement confidentiel, recrutement sûr et traitement responsable des alertes.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document de comportement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code de conduite.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 faut-il prévenir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violences.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Comment le signalement est-il qualifié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Confidentiel.</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type de recrutement est exigé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 recrutement sûr.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Comment les alertes doivent-elles être traitées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 manière responsable.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Quels cinq éléments composent ce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Code de conduite, prévention des violences, signalement confidentiel, recrutement sûr et traitement responsable des alertes.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protection dépend-elle seulement du signalement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comprend aussi le code de conduite, la prévention, le recrutement sûr et le traitement des alertes.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protection repose sur un code de conduite, la prévention des violences, un signalement confidentiel, un recrutement sûr et un traitement responsable des alertes.</w:t>
            </w:r>
          </w:p>
        </w:tc>
      </w:tr>
    </w:tbl>
    <w:p>
      <w:pPr>
        <w:pStyle w:val="Normal"/>
        <w:rPr/>
      </w:pPr>
      <w:r>
        <w:rPr/>
      </w:r>
      <w:r>
        <w:br w:type="page"/>
      </w:r>
    </w:p>
    <w:p>
      <w:pPr>
        <w:pStyle w:val="Heading1"/>
        <w:pBdr>
          <w:bottom w:val="single" w:sz="14" w:space="1" w:color="D4AF37"/>
        </w:pBdr>
        <w:spacing w:before="0" w:after="80"/>
        <w:rPr/>
      </w:pPr>
      <w:r>
        <w:rPr/>
        <w:t>19. Santé scolaire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Prévention, premiers secours, suivi des allergies, traitements autorisés, références médicales et registres protégés.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identifie le dispositif de prévention et de réponse sanitaire adapté au contexte scolaire.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bloc montre que la santé scolaire comprend à la fois l’anticipation, l’urgence, le suivi individuel autorisé et la protection des données.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Hygiène ; Premiers secours ; Allergies ; Confidentialité ; EMA School ;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Santé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Prévention, premiers secours, suivi des allergies, traitements autorisés, références médicales et registres protégés.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 action d’anticipation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prévention.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réponse immédiate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premiers secours.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type de suivi particulier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suivi des allergies.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Quels traitements peuvent être pris en compte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traitements autorisés.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lien avec des professionnels ou structures de santé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références médicales.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Comment les registres sont-ils qualifiés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Ils sont protégés.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six éléments composent la santé scolaire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Prévention, premiers secours, suivi des allergies, traitements autorisés, références médicales et registres protégés.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La santé scolaire se limite-t-elle aux urgences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 comprend aussi la prévention et le suivi.</w:t>
            </w:r>
          </w:p>
        </w:tc>
      </w:tr>
    </w:tbl>
    <w:p>
      <w:pPr>
        <w:pStyle w:val="Normal"/>
        <w:rPr/>
      </w:pPr>
      <w:r>
        <w:rPr/>
      </w:r>
      <w:r>
        <w:br w:type="page"/>
      </w:r>
    </w:p>
    <w:p>
      <w:pPr>
        <w:pStyle w:val="Heading1"/>
        <w:pBdr>
          <w:bottom w:val="single" w:sz="14" w:space="1" w:color="D4AF37"/>
        </w:pBdr>
        <w:spacing w:before="0" w:after="80"/>
        <w:rPr/>
      </w:pPr>
      <w:r>
        <w:rPr/>
        <w:t>20. Contrôle des accès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Identification des visiteurs, zones sensibles, personnes autorisées et vérification de la remise des enfants.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désigne les mesures qui limitent et vérifient l’entrée, la circulation et la sortie des personnes.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bloc contribue directement à la sécurité physique, à la traçabilité et à la remise correcte des enfants.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Remise sécurisée ; Visiteurs ; Zones sensibles ; Badges ; QR ; Sécurité physique.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Contrôle des accès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Identification des visiteurs, zones sensibles, personnes autorisées et vérification de la remise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Qui doit être identifié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visiteurs.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Quelles zones nécessitent une attention particulière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zones sensibles.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Quelles personnes sont mentionnées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personnes autorisées.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opération concernant les enfants doit être vérifiée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remise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Quels quatre éléments composent le contrôle des accès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Identification des visiteurs, zones sensibles, personnes autorisées et vérification de la remise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Le contrôle des accès concerne-t-il uniquement les visiteurs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Il concerne aussi les zones sensibles, les personnes autorisées et la remise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lien existe avec la sortie des élèves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contrôle inclut la vérification de la remise des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contrôle des accès couvre l’identification des visiteurs, les zones sensibles, les personnes autorisées et la remise des enfants.</w:t>
            </w:r>
          </w:p>
        </w:tc>
      </w:tr>
    </w:tbl>
    <w:p>
      <w:pPr>
        <w:pStyle w:val="Normal"/>
        <w:rPr/>
      </w:pPr>
      <w:r>
        <w:rPr/>
      </w:r>
      <w:r>
        <w:br w:type="page"/>
      </w:r>
    </w:p>
    <w:p>
      <w:pPr>
        <w:pStyle w:val="Heading1"/>
        <w:pBdr>
          <w:bottom w:val="single" w:sz="14" w:space="1" w:color="D4AF37"/>
        </w:pBdr>
        <w:spacing w:before="0" w:after="80"/>
        <w:rPr/>
      </w:pPr>
      <w:r>
        <w:rPr/>
        <w:t>21. Plans d’urgence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Accidents, incendies, séismes, évacuations, intrusions, maladies transmissibles et disparition d’un enfant.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annonce la préparation de l’établissement face aux événements graves ou inhabituels.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préparation réduit l’improvisation, clarifie les scénarios à anticiper et soutient une réponse organisée.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scolaire ; Sécurité physique ; Évacuation ; Contrôle des accès ; Communication avec les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Plans d’urgence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Accidents, incendies, séismes, évacuations, intrusions, maladies transmissibles et disparition d’un 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événement corporel ou matériel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accidents.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risque lié au feu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incendies.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risque naturel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séismes.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procédure de mise à l’abri ou de sortie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évacuations.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risque d’entrée non autorisée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intrusions.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risque sanitaire collectif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maladies transmissibles.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situation concernant un élève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disparition d’un 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Quels sept scénarios sont couverts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Accidents, incendies, séismes, évacuations, intrusions, maladies transmissibles et disparition d’un enfant.</w:t>
            </w:r>
          </w:p>
        </w:tc>
      </w:tr>
    </w:tbl>
    <w:p>
      <w:pPr>
        <w:pStyle w:val="Normal"/>
        <w:rPr/>
      </w:pPr>
      <w:r>
        <w:rPr/>
      </w:r>
      <w:r>
        <w:br w:type="page"/>
      </w:r>
    </w:p>
    <w:p>
      <w:pPr>
        <w:pStyle w:val="Heading1"/>
        <w:pBdr>
          <w:bottom w:val="single" w:sz="14" w:space="1" w:color="D4AF37"/>
        </w:pBdr>
        <w:spacing w:before="0" w:after="80"/>
        <w:rPr/>
      </w:pPr>
      <w:r>
        <w:rPr/>
        <w:t>22. Hygiène et installations sanitaires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La Maternelle possède ses propres installations sanitaires adaptées aux jeunes enfants. Au Primaire, les installations des filles et des garçons sont séparées et organisées conformément aux exigences d’hygiène, d’intimité et de sécurité.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lie l’état des installations aux besoins d’hygiène, d’intimité et de sécurité des enfants selon leur âge.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information rassure les familles et précise les choix d’aménagement distincts entre la Maternelle et le Primaire.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Infrastructures ; Maternelle ; Primaire ; Santé scolaire ; Sécurité ; Bien-être.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Hygiène et installations sanitaires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Maternelle possède ses propres installations sanitaires adaptées aux jeunes enfants. Au Primaire, les installations des filles et des garçons sont séparées et organisées conformément aux exigences d’hygiène, d’intimité et de sécurité.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élèves disposent de leurs propres installations sanitaires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élèves de la Maternelle.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À qui les installations de la Maternelle sont-elles adaptées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Aux jeunes enfants.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Comment les installations sont-elles organisées au Primaire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installations des filles et des garçons sont séparées.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première exigence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L’hygiène.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exigence de respect de la vie personnelle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L’intimité.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exigence de protection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sécurité.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même organisation sanitaire est-elle décrite pour la Maternelle et le Primaire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La Maternelle a des installations adaptées aux jeunes enfants et le Primaire sépare celles des filles et des garçons.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la section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Maternelle a des sanitaires adaptés aux jeunes enfants ; au Primaire, les installations filles–garçons sont séparées selon les exigences d’hygiène, d’intimité et de sécurité.</w:t>
            </w:r>
          </w:p>
        </w:tc>
      </w:tr>
    </w:tbl>
    <w:p>
      <w:pPr>
        <w:pStyle w:val="Normal"/>
        <w:rPr/>
      </w:pPr>
      <w:r>
        <w:rPr/>
      </w:r>
      <w:r>
        <w:br w:type="page"/>
      </w:r>
    </w:p>
    <w:p>
      <w:pPr>
        <w:pStyle w:val="Heading1"/>
        <w:pBdr>
          <w:bottom w:val="single" w:sz="14" w:space="1" w:color="D4AF37"/>
        </w:pBdr>
        <w:spacing w:before="0" w:after="80"/>
        <w:rPr/>
      </w:pPr>
      <w:r>
        <w:rPr/>
        <w:t>23. Remise sécurisée des enfants — page Santé</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Aucun enfant n’est remis à une personne non autorisée. L’écosystème numérique prévoit des badges nominatifs, des QR temporaires à usage limité, une vérification par un agent et une notification au parent. La biométrie ne constitue jamais l’unique moyen de vérification.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précise les garanties humaines et numériques prévues au moment de la sortie.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réduit le risque de remise erronée et définit une combinaison de contrôles plutôt qu’un mécanisme unique.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Contrôle des accès ; Espace Parents ; Badges ; QR temporaire ; Biométrie ; Notification ; Agent habilité.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Remise sécurisée des enfants — page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Aucun enfant n’est remis à une personne non autorisée. L’écosystème numérique prévoit des badges nominatifs, des QR temporaires à usage limité, une vérification par un agent et une notification au parent. La biométrie ne constitue jamais l’unique moyen de vérification.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À qui un enfant peut-il être remis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une personne autorisée.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type de badge est prévu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 badge nominatif.</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type de QR est prévu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 QR temporaire à usage limité.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Qui effectue une vérification humaine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 agent.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Qui reçoit une notification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parent.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La biométrie peut-elle être l’unique contrôle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 ne constitue jamais l’unique moyen de vérification.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quatre éléments de l’écosystème numérique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Badges nominatifs, QR temporaires à usage limité, vérification par un agent et notification au parent.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règle absolue ouvre la section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Aucun enfant n’est remis à une personne non autorisée.</w:t>
            </w:r>
          </w:p>
        </w:tc>
      </w:tr>
    </w:tbl>
    <w:p>
      <w:pPr>
        <w:pStyle w:val="Normal"/>
        <w:rPr/>
      </w:pPr>
      <w:r>
        <w:rPr/>
      </w:r>
      <w:r>
        <w:br w:type="page"/>
      </w:r>
    </w:p>
    <w:p>
      <w:pPr>
        <w:pStyle w:val="Heading1"/>
        <w:pBdr>
          <w:bottom w:val="single" w:sz="14" w:space="1" w:color="D4AF37"/>
        </w:pBdr>
        <w:spacing w:before="0" w:after="80"/>
        <w:rPr/>
      </w:pPr>
      <w:r>
        <w:rPr/>
        <w:t>24. Confidentialité des informations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POINT PUBLIÉ SANS SOUS-TITRE DISTINCT</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informations médicales, disciplinaires et familiales ne sont accessibles qu’aux personnes habilitées. ÉMINA peut expliquer une procédure générale sans révéler un dossier personnel.</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titre analytique rend visible un point de contenu essentiel qui apparaît dans la page sans sous-titre propre.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La confidentialité protège l’enfant et la famille tout en permettant une information générale par l’Assistante institutionnelle.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scolaire ; Discipline ; Familles ; ÉMINA ; Protection des données ; Habilitations.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Confidentialité des informations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informations médicales, disciplinaires et familiales ne sont accessibles qu’aux personnes habilitées. ÉMINA peut expliquer une procédure générale sans révéler un dossier personnel.</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Quelles informations sont protégées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informations médicales, disciplinaires et familiales.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Qui peut accéder à ces informations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 peut expliquer ÉMINA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Une procédure générale.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 ne doit pas révéler ÉMINA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Un dossier personnel.</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Les informations familiales sont-elles accessibles à tout le monde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Elles ne sont accessibles qu’aux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Les informations disciplinaires sont-elles protégées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Oui. Elles sont limitées aux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ÉMINA peut-elle exposer une situation individuelle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peut expliquer une procédure générale sans révéler un dossier personnel.</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informations sensibles sont réservées aux personnes habilitées ; ÉMINA n’explique que les procédures générales sans révéler de dossier personnel.</w:t>
            </w:r>
          </w:p>
        </w:tc>
      </w:tr>
    </w:tbl>
    <w:p>
      <w:pPr>
        <w:pStyle w:val="Normal"/>
        <w:rPr/>
      </w:pPr>
      <w:r>
        <w:rPr/>
      </w:r>
      <w:r>
        <w:br w:type="page"/>
      </w:r>
    </w:p>
    <w:p>
      <w:pPr>
        <w:pStyle w:val="Heading1"/>
        <w:pBdr>
          <w:bottom w:val="single" w:sz="14" w:space="1" w:color="D4AF37"/>
        </w:pBdr>
        <w:spacing w:before="0" w:after="80"/>
        <w:rPr/>
      </w:pPr>
      <w:r>
        <w:rPr/>
        <w:t>25. Signalement et accompagnement</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situations de protection peuvent être signalées par des canaux accessibles et confidentiels. ÉMINA peut aider à décrire les faits et orienter vers un adulte habilité ; elle ne mène pas d’enquête, ne confronte pas les personnes et ne clôture pas seule un incident.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distingue le fait d’alerter, l’orientation et l’accompagnement de l’enquête ou de la décision institutionnelle.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indique aux familles et aux élèves comment demander de l’aide tout en encadrant strictement le rôle d’ÉMINA.</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Protection de l’enfant ; Confidentialité ; DBSPE ; ÉMINA ; Assistance humaine ; Plaintes et médiation.</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Signalement et accompagnement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situations de protection peuvent être signalées par des canaux accessibles et confidentiels. ÉMINA peut aider à décrire les faits et orienter vers un adulte habilité ; elle ne mène pas d’enquête, ne confronte pas les personnes et ne clôture pas seule un incident.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Comment les canaux de signalement sont-ils qualifiés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Accessibles et confidentiels.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 peut aider à faire ÉMINA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Décrire les faits.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Vers qui ÉMINA peut-elle orienter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Vers un adulte habilité.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ÉMINA mène-t-elle une enquête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ÉMINA confronte-t-elle les personnes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ÉMINA peut-elle clôturer seule un incident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Quelles trois limites d’ÉMINA sont citées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Elle ne mène pas d’enquête, ne confronte pas les personnes et ne clôture pas seule un incident.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le processus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situations peuvent être signalées par des canaux accessibles et confidentiels ; ÉMINA aide à décrire et orienter, sans enquêter ni décider seule.</w:t>
            </w:r>
          </w:p>
        </w:tc>
      </w:tr>
    </w:tbl>
    <w:p>
      <w:pPr>
        <w:pStyle w:val="Normal"/>
        <w:rPr/>
      </w:pPr>
      <w:r>
        <w:rPr/>
      </w:r>
      <w:r>
        <w:br w:type="page"/>
      </w:r>
    </w:p>
    <w:p>
      <w:pPr>
        <w:pStyle w:val="Heading1"/>
        <w:pBdr>
          <w:bottom w:val="single" w:sz="14" w:space="1" w:color="D4AF37"/>
        </w:pBdr>
        <w:spacing w:before="0" w:after="80"/>
        <w:rPr/>
      </w:pPr>
      <w:r>
        <w:rPr/>
        <w:t>26. Documentation associée — Santé et protection</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6941C6"/>
              <w:start w:val="single" w:sz="4" w:space="0" w:color="6941C6"/>
              <w:bottom w:val="single" w:sz="4" w:space="0" w:color="6941C6"/>
              <w:end w:val="single" w:sz="4" w:space="0" w:color="6941C6"/>
            </w:tcBorders>
            <w:shd w:fill="6941C6"/>
          </w:tcPr>
          <w:p>
            <w:pPr>
              <w:pStyle w:val="Normal"/>
              <w:spacing w:lineRule="auto" w:line="240" w:before="0" w:after="0"/>
              <w:jc w:val="center"/>
              <w:rPr/>
            </w:pPr>
            <w:r>
              <w:rPr>
                <w:rFonts w:ascii="Aptos" w:hAnsi="Aptos"/>
                <w:b/>
                <w:i w:val="false"/>
                <w:color w:val="FFFFFF"/>
                <w:sz w:val="16"/>
              </w:rPr>
              <w:t>DOCUMENTS ET LIEN PUBLIÉS</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Bien-être, sécurité et protection de l’enfant — GSE-PUB-PRO-001 — Publié — FR/EN ; Politique de confidentialité — GSE-PUB-PRI-001 — Publié — FR/EN ; accès à la bibliothèque de documentation publique.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permet au visiteur de passer du résumé public aux textes institutionnels de référence.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Il renforce la transparence sur la protection de l’enfant et la confidentialité des informations.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Documentation publique ; Protection de l’enfant ; Confidentialité ; Qualité et engagements ; ÉMINA.</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la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Documentation associée.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premier document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Bien-être, sécurité et protection de l’enfant.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est son code documentaire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GSE-PUB-PRO-001.</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deuxième document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Politique de confidentialité.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est le code du deuxième document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GSE-PUB-PRI-001.</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statut est indiqué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Publié.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Quelles langues sont indiquées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FR/EN.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accès complémentaire est proposé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bibliothèque de documentation publique.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Combien de documents sont nommément liés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Deux.</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cette documentation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page lie un document sur le bien-être et la protection, la politique de confidentialité et la bibliothèque de documentation publique.</w:t>
            </w:r>
          </w:p>
        </w:tc>
      </w:tr>
    </w:tbl>
    <w:p>
      <w:pPr>
        <w:pStyle w:val="Normal"/>
        <w:rPr/>
      </w:pPr>
      <w:r>
        <w:rPr/>
      </w:r>
      <w:r>
        <w:br w:type="page"/>
      </w:r>
    </w:p>
    <w:p>
      <w:pPr>
        <w:pStyle w:val="Heading1"/>
        <w:pBdr>
          <w:bottom w:val="single" w:sz="14" w:space="1" w:color="D4AF37"/>
        </w:pBdr>
        <w:spacing w:before="0" w:after="80"/>
        <w:rPr/>
      </w:pPr>
      <w:r>
        <w:rPr/>
        <w:t>27. Santé scolaire — illustration</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Prévention, premiers secours et orientation vers les personnes habilitées.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résume la séquence essentielle de la santé scolaire : prévenir, secourir et orienter.</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légende rappelle que l’école organise une première réponse mais s’appuie sur les personnes compétentes et habilitées.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scolaire ; Premiers secours ; Références médicales ; Confidentialité ; Assistance humaine.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Santé scolaire — illustration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Prévention, premiers secours et orientation vers 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 première action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prévention.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deuxième action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premiers secours.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troisième action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L’orientation.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Vers qui l’orientation est-elle faite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Vers 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Quels trois éléments composent la légende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Prévention, premiers secours et orientation vers 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L’école est-elle présentée comme assurant seule tous les soins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La légende prévoit l’orientation vers 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réponse courte présente l’illustration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Prévention, premiers secours et orientation vers les personnes habilitées.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 principe de compétence apparaît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L’orientation vers des personnes habilitées.</w:t>
            </w:r>
          </w:p>
        </w:tc>
      </w:tr>
    </w:tbl>
    <w:p>
      <w:pPr>
        <w:pStyle w:val="Normal"/>
        <w:rPr/>
      </w:pPr>
      <w:r>
        <w:rPr/>
      </w:r>
      <w:r>
        <w:br w:type="page"/>
      </w:r>
    </w:p>
    <w:p>
      <w:pPr>
        <w:pStyle w:val="Heading1"/>
        <w:pBdr>
          <w:bottom w:val="single" w:sz="14" w:space="1" w:color="D4AF37"/>
        </w:pBdr>
        <w:spacing w:before="0" w:after="80"/>
        <w:rPr/>
      </w:pPr>
      <w:r>
        <w:rPr/>
        <w:t>28. Hygiène et sanitaires — illustration</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https://test.gsleseminents.com/sante-securite-protection/</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Installations dédiées à la Maternelle et séparation filles–garçons au Primaire.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met en évidence l’adaptation des sanitaires au niveau scolaire et le respect de l’intimité.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légende synthétise les choix d’infrastructure annoncés dans la section détaillée.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Hygiène et installations sanitaires ; Maternelle ; Primaire ; Intimité ; Sécurité.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Hygiène et sanitaires — illustration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Installations dédiées à la Maternelle et séparation filles–garçons au Primaire.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À quel niveau des installations dédiées sont-elles prévues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la Maternelle.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séparation est prévue au Primaire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séparation filles–garçons.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Quels deux niveaux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Maternelle et le Primaire.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Les installations sont-elles présentées comme identiques à tous les niveaux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Elles sont dédiées à la Maternelle et séparées filles–garçons au Primaire.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réponse résume la légende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Installations dédiées à la Maternelle et séparation filles–garçons au Primaire.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dimension d’adaptation apparaît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L’organisation varie selon le niveau scolaire.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distinction est explicitement mentionnée au Primaire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distinction entre filles et garçons.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 point de la page cette illustration renforce-t-elle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L’hygiène et l’organisation des installations sanitaires.</w:t>
            </w:r>
          </w:p>
        </w:tc>
      </w:tr>
    </w:tbl>
    <w:p>
      <w:pPr>
        <w:pStyle w:val="Normal"/>
        <w:rPr/>
      </w:pPr>
      <w:r>
        <w:rPr/>
      </w:r>
      <w:r>
        <w:br w:type="page"/>
      </w:r>
    </w:p>
    <w:p>
      <w:pPr>
        <w:pStyle w:val="Normal"/>
        <w:pBdr>
          <w:bottom w:val="single" w:sz="24" w:space="1" w:color="D4AF37"/>
        </w:pBdr>
        <w:spacing w:before="0" w:after="240"/>
        <w:jc w:val="center"/>
        <w:rPr/>
      </w:pPr>
      <w:r>
        <w:rPr>
          <w:rFonts w:ascii="Aptos Display" w:hAnsi="Aptos Display"/>
          <w:b/>
          <w:color w:val="0B3D91"/>
          <w:sz w:val="38"/>
        </w:rPr>
        <w:t>III. SOUS-MENU « ACTIVITÉS &amp; TALENTS »</w:t>
      </w:r>
    </w:p>
    <w:p>
      <w:pPr>
        <w:pStyle w:val="Normal"/>
        <w:jc w:val="center"/>
        <w:rPr/>
      </w:pPr>
      <w:r>
        <w:rPr>
          <w:i/>
          <w:color w:val="667085"/>
          <w:sz w:val="20"/>
        </w:rPr>
        <w:t>Relevé fidèle • analyse institutionnelle • banque de questions</w:t>
      </w:r>
    </w:p>
    <w:p>
      <w:pPr>
        <w:pStyle w:val="Normal"/>
        <w:rPr/>
      </w:pPr>
      <w:r>
        <w:rPr/>
      </w:r>
      <w:r>
        <w:br w:type="page"/>
      </w:r>
    </w:p>
    <w:p>
      <w:pPr>
        <w:pStyle w:val="Heading1"/>
        <w:pBdr>
          <w:bottom w:val="single" w:sz="14" w:space="1" w:color="D4AF37"/>
        </w:pBdr>
        <w:spacing w:before="0" w:after="80"/>
        <w:rPr/>
      </w:pPr>
      <w:r>
        <w:rPr/>
        <w:t>29. Activités, culture et talents</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2E6F40"/>
              <w:start w:val="single" w:sz="4" w:space="0" w:color="2E6F40"/>
              <w:bottom w:val="single" w:sz="4" w:space="0" w:color="2E6F40"/>
              <w:end w:val="single" w:sz="4" w:space="0" w:color="2E6F40"/>
            </w:tcBorders>
            <w:shd w:fill="2E6F40"/>
          </w:tcPr>
          <w:p>
            <w:pPr>
              <w:pStyle w:val="Normal"/>
              <w:spacing w:lineRule="auto" w:line="240" w:before="0" w:after="0"/>
              <w:jc w:val="center"/>
              <w:rPr/>
            </w:pPr>
            <w:r>
              <w:rPr>
                <w:rFonts w:ascii="Aptos" w:hAnsi="Aptos"/>
                <w:b/>
                <w:i w:val="false"/>
                <w:color w:val="FFFFFF"/>
                <w:sz w:val="16"/>
              </w:rPr>
              <w:t>PAGE PUBLIÉE</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Sciences, langues, sport, arts, culture, créativité et service pour développer l’enfant dans toutes ses dimensions.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regroupe les expériences qui permettent à l’enfant d’apprendre, de s’exprimer et de découvrir ses aptitudes.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page manifeste la volonté de former l’enfant au-delà des matières fondamentales en intégrant le corps, la créativité, les relations et le service.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Sciences et numérique ; Arts et expression ; Sport et bien-être ; Culture et service ; Uniforme ; Programmes.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Activités, culture et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Sciences, langues, sport, arts, culture, créativité et service pour développer l’enfant dans toutes ses dimensions.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Quels sept domaines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Sciences, langues, sport, arts, culture, créativité et service.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domaine scientifique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sciences.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domaine linguistique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langues.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 domaine physique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sport.</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Quels domaines créatifs et culturels sont cités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arts, la culture et la créativité.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dimension d’engagement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service.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est l’objectif de ces domaines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Développer l’enfant dans toutes ses dimensions.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courte présente la page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page associe sciences, langues, sport, arts, culture, créativité et service pour le développement global de l’enfant.</w:t>
            </w:r>
          </w:p>
        </w:tc>
      </w:tr>
    </w:tbl>
    <w:p>
      <w:pPr>
        <w:pStyle w:val="Normal"/>
        <w:rPr/>
      </w:pPr>
      <w:r>
        <w:rPr/>
      </w:r>
      <w:r>
        <w:br w:type="page"/>
      </w:r>
    </w:p>
    <w:p>
      <w:pPr>
        <w:pStyle w:val="Heading1"/>
        <w:pBdr>
          <w:bottom w:val="single" w:sz="14" w:space="1" w:color="D4AF37"/>
        </w:pBdr>
        <w:spacing w:before="0" w:after="80"/>
        <w:rPr/>
      </w:pPr>
      <w:r>
        <w:rPr/>
        <w:t>30. Découvrir, s’exprimer et prendre confiance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activités développent la créativité, la prise de parole, les talents et le leadership.</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décrit une progression de l’enfant : explorer, communiquer puis consolider sa confiance.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illustration présente les activités comme des outils de développement personnel, d’expression et de responsabilité.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Arts et expression ; Leadership ; Talents ; Confiance en soi ; Activités parascolaires.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Découvrir, s’exprimer et prendre confiance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activités développent la créativité, la prise de parole, les talents et le leadership.</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développent les activités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créativité, la prise de parole, les talents et le leadership.</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faculté d’invention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créativité.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compétence d’expression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prise de parole.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Quelles aptitudes personnelles sont citées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talents.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capacité de responsabilité et d’influence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leadership.</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Combien de dimensions sont explicitement citées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Quatre.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légende associe-t-elle les activités au leadership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Oui.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l’illustration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activités développent la créativité, la prise de parole, les talents et le leadership.</w:t>
            </w:r>
          </w:p>
        </w:tc>
      </w:tr>
    </w:tbl>
    <w:p>
      <w:pPr>
        <w:pStyle w:val="Normal"/>
        <w:rPr/>
      </w:pPr>
      <w:r>
        <w:rPr/>
      </w:r>
      <w:r>
        <w:br w:type="page"/>
      </w:r>
    </w:p>
    <w:p>
      <w:pPr>
        <w:pStyle w:val="Heading1"/>
        <w:pBdr>
          <w:bottom w:val="single" w:sz="14" w:space="1" w:color="D4AF37"/>
        </w:pBdr>
        <w:spacing w:before="0" w:after="80"/>
        <w:rPr/>
      </w:pPr>
      <w:r>
        <w:rPr/>
        <w:t>31. Apprendre aussi par l’expérience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Les activités parascolaires complètent les apprentissages en permettant aux élèves de découvrir leurs talents, de collaborer, de prendre la parole, de créer et de servir.</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affirme que l’apprentissage se construit également par l’action, les projets et les interactions.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justifie pédagogiquement les activités parascolaires et les relie aux compétences personnelles et sociales.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Programmes ; Sciences ; Arts ; Sport ; Culture ; Leadership ; Service ; Développement intégral.</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Apprendre aussi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activités parascolaires complètent les apprentissages en permettant aux élèves de découvrir leurs talents, de collaborer, de prendre la parole, de créer et de servir.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 complètent les activités parascolaires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apprentissages.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 permettent-elles de découvrir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talents des élèves.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capacité de travail avec les autres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Collaborer.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compétence d’expression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Prendre la parole.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capacité de production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Créer.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attitude d’engagement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Servir.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cinq verbes décrivent ce que les élèves peuvent faire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Découvrir, collaborer, prendre la parole, créer et servir.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Les activités parascolaires remplacent-elles les apprentissages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Elles les complètent.</w:t>
            </w:r>
          </w:p>
        </w:tc>
      </w:tr>
    </w:tbl>
    <w:p>
      <w:pPr>
        <w:pStyle w:val="Normal"/>
        <w:rPr/>
      </w:pPr>
      <w:r>
        <w:rPr/>
      </w:r>
      <w:r>
        <w:br w:type="page"/>
      </w:r>
    </w:p>
    <w:p>
      <w:pPr>
        <w:pStyle w:val="Heading1"/>
        <w:pBdr>
          <w:bottom w:val="single" w:sz="14" w:space="1" w:color="D4AF37"/>
        </w:pBdr>
        <w:spacing w:before="0" w:after="80"/>
        <w:rPr/>
      </w:pPr>
      <w:r>
        <w:rPr/>
        <w:t>32. Sciences et numérique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Clubs, défis, expériences, culture numérique, projets pratiques et résolution de problèmes.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associe la démarche scientifique aux outils et compétences du monde numérique.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bloc encourage l’expérimentation, le raisonnement, l’initiative et une utilisation éducative du numérique.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Programmes ; Sciences ; Technologies éducatives ; Clubs ; Projets ; Résolution de problèmes.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Sciences et numérique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Clubs, défis, expériences, culture numérique, projets pratiques et résolution de problèmes.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 structure collective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clubs.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type de stimulation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défis.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démarche pratique scientifique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expériences.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culture liée aux technologies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culture numérique.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type de projets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projets pratiques.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compétence de raisonnement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résolution de problèmes.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six éléments composent le bloc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Clubs, défis, expériences, culture numérique, projets pratiques et résolution de problèmes.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La section se limite-t-elle à l’usage des appareils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Elle inclut aussi clubs, défis, expériences, projets et résolution de problèmes.</w:t>
            </w:r>
          </w:p>
        </w:tc>
      </w:tr>
    </w:tbl>
    <w:p>
      <w:pPr>
        <w:pStyle w:val="Normal"/>
        <w:rPr/>
      </w:pPr>
      <w:r>
        <w:rPr/>
      </w:r>
      <w:r>
        <w:br w:type="page"/>
      </w:r>
    </w:p>
    <w:p>
      <w:pPr>
        <w:pStyle w:val="Heading1"/>
        <w:pBdr>
          <w:bottom w:val="single" w:sz="14" w:space="1" w:color="D4AF37"/>
        </w:pBdr>
        <w:spacing w:before="0" w:after="80"/>
        <w:rPr/>
      </w:pPr>
      <w:r>
        <w:rPr/>
        <w:t>33. Arts et expression</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Arts visuels, musique, chorale, théâtre, lecture, photographie, danse éducative et expression orale.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réunit les moyens artistiques et langagiers par lesquels l’élève peut créer et communiquer.</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diversité permet de révéler plusieurs formes de talent et de renforcer la confiance, la sensibilité et la prise de parole.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Créativité ; Leadership ; Culture ; Lecture ; Expression orale ; Galerie ; Événements.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Arts et expression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Arts visuels, musique, chorale, théâtre, lecture, photographie, danse éducative et expression orale.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premier domaine artistique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arts visuels.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Quels deux domaines musicaux sont cités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musique et la chorale.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art de la scène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 théâtre.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activité liée aux textes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lecture.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art de l’image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photographie.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art du mouvement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danse éducative.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Quelle compétence de communication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L’expression orale.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Quels huit domaines composent le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Arts visuels, musique, chorale, théâtre, lecture, photographie, danse éducative et expression orale.</w:t>
            </w:r>
          </w:p>
        </w:tc>
      </w:tr>
    </w:tbl>
    <w:p>
      <w:pPr>
        <w:pStyle w:val="Normal"/>
        <w:rPr/>
      </w:pPr>
      <w:r>
        <w:rPr/>
      </w:r>
      <w:r>
        <w:br w:type="page"/>
      </w:r>
    </w:p>
    <w:p>
      <w:pPr>
        <w:pStyle w:val="Heading1"/>
        <w:pBdr>
          <w:bottom w:val="single" w:sz="14" w:space="1" w:color="D4AF37"/>
        </w:pBdr>
        <w:spacing w:before="0" w:after="80"/>
        <w:rPr/>
      </w:pPr>
      <w:r>
        <w:rPr/>
        <w:t>34. Sport et bien-être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Jeux collectifs, motricité, activité physique, fair-play, coopération et habitudes favorables à la santé.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relie le mouvement physique au bien-être, aux relations et aux habitudes de vie.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montre que le sport sert aussi à développer la coopération, le respect des règles et la santé.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Santé scolaire ; Motricité ; Discipline positive ; Coopération ; Développement intégral.</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Sport et bien-être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Jeux collectifs, motricité, activité physique, fair-play, coopération et habitudes favorables à la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type de jeux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jeux collectifs.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capacité corporelle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motricité.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forme de mouvement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L’activité physique.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valeur sportive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fair-play.</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Quelle capacité de travail commun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coopération.</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type d’habitudes est recherché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Des habitudes favorables à la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Quels six éléments composent le bloc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Jeux collectifs, motricité, activité physique, fair-play, coopération et habitudes favorables à la santé.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Le sport est-il présenté seulement comme une compétition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Non. Il est associé à la motricité, au fair-play, à la coopération et à la santé.</w:t>
            </w:r>
          </w:p>
        </w:tc>
      </w:tr>
    </w:tbl>
    <w:p>
      <w:pPr>
        <w:pStyle w:val="Normal"/>
        <w:rPr/>
      </w:pPr>
      <w:r>
        <w:rPr/>
      </w:r>
      <w:r>
        <w:br w:type="page"/>
      </w:r>
    </w:p>
    <w:p>
      <w:pPr>
        <w:pStyle w:val="Heading1"/>
        <w:pBdr>
          <w:bottom w:val="single" w:sz="14" w:space="1" w:color="D4AF37"/>
        </w:pBdr>
        <w:spacing w:before="0" w:after="80"/>
        <w:rPr/>
      </w:pPr>
      <w:r>
        <w:rPr/>
        <w:t>35. Culture et service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BLOC PUBLIÉ</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Culture congolaise et africaine, journées thématiques, foi, citoyenneté et actions communautaires.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associe l’enracinement culturel à l’engagement utile envers la communauté.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 bloc valorise l’identité, les valeurs, la participation citoyenne et l’apprentissage par le service.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Valeurs ; Foi ; Citoyenneté ; Journées culturelles ; Partenariats ; Actions communautaires.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Culture et service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Culture congolaise et africaine, journées thématiques, foi, citoyenneté et actions communautaires.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Quelles cultures sont citées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culture congolaise et africaine.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type de journées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Les journées thématiques.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dimension spirituelle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foi.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 dimension civique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citoyenneté.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type d’actions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Les actions communautaires.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Quels cinq éléments composent le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Culture congolaise et africaine, journées thématiques, foi, citoyenneté et actions communautaires.</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La culture est-elle séparée du service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Le bloc les associe.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réponse résume le bloc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culture congolaise et africaine, les journées thématiques, la foi, la citoyenneté et les actions communautaires sont associées.</w:t>
            </w:r>
          </w:p>
        </w:tc>
      </w:tr>
    </w:tbl>
    <w:p>
      <w:pPr>
        <w:pStyle w:val="Normal"/>
        <w:rPr/>
      </w:pPr>
      <w:r>
        <w:rPr/>
      </w:r>
      <w:r>
        <w:br w:type="page"/>
      </w:r>
    </w:p>
    <w:p>
      <w:pPr>
        <w:pStyle w:val="Heading1"/>
        <w:pBdr>
          <w:bottom w:val="single" w:sz="14" w:space="1" w:color="D4AF37"/>
        </w:pBdr>
        <w:spacing w:before="0" w:after="80"/>
        <w:rPr/>
      </w:pPr>
      <w:r>
        <w:rPr/>
        <w:t>36. Uniforme et identité</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SECTION PUBLIÉE</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L’uniforme officiel contribue à l’identité, à la sécurité et à l’égalité. Il comprend notamment la chemise blanche avec l’écusson du côté gauche, les pièces bleu marine et jaune-or, la cravate pour les garçons et le nœud pour les filles, selon les modèles communiqués par l’école.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présente l’uniforme comme un signe d’appartenance et un outil d’organisation, au-delà de sa fonction vestimentaire.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section relie la charte visuelle de l’école à la sécurité, à l’égalité et à l’identification des élèves.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Identité visuelle ; Sécurité ; Valeurs ; Admissions ; Communication avec les familles.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Uniforme et identité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L’uniforme officiel contribue à l’identité, à la sécurité et à l’égalité. Il comprend notamment la chemise blanche avec l’écusson du côté gauche, les pièces bleu marine et jaune-or, la cravate pour les garçons et le nœud pour les filles, selon les modèles communiqués par l’école.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À quoi l’uniforme officiel contribue-t-il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À l’identité, à la sécurité et à l’égalité.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couleur de chemise est indiquée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chemise blanche.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Où l’écusson est-il placé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Du côté gauche.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Quelles deux couleurs institutionnelles sont citées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bleu marine et le jaune-or.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Quel accessoire est prévu pour les garçons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cravate.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 accessoire est prévu pour les filles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Le nœud.</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Selon quoi les détails de l’uniforme doivent-ils être suivis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Selon les modèles communiqués par l’école.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Quels trois objectifs généraux sont associés à l’uniforme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L’identité, la sécurité et l’égalité.</w:t>
            </w:r>
          </w:p>
        </w:tc>
      </w:tr>
    </w:tbl>
    <w:p>
      <w:pPr>
        <w:pStyle w:val="Normal"/>
        <w:rPr/>
      </w:pPr>
      <w:r>
        <w:rPr/>
      </w:r>
      <w:r>
        <w:br w:type="page"/>
      </w:r>
    </w:p>
    <w:p>
      <w:pPr>
        <w:pStyle w:val="Heading1"/>
        <w:pBdr>
          <w:bottom w:val="single" w:sz="14" w:space="1" w:color="D4AF37"/>
        </w:pBdr>
        <w:spacing w:before="0" w:after="80"/>
        <w:rPr/>
      </w:pPr>
      <w:r>
        <w:rPr/>
        <w:t>37. Expression et leadership</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Prise de parole, confiance en soi et responsabilité.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relie l’expression personnelle à la capacité d’assumer un rôle positif et responsable.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légende met en avant trois compétences essentielles à la formation de futurs leaders.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Arts et expression ; Leadership ; Discipline positive ; Service ; Valeurs.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Expression et leadership</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Prise de parole, confiance en soi et responsabilité.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Quelle compétence d’expression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prise de parole.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Quelle disposition personnelle est citée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confiance en soi.</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Quelle qualité liée aux devoirs est citée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responsabilité.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Quels trois éléments composent la légende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Prise de parole, confiance en soi et responsabilité.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La légende associe-t-elle leadership et responsabilité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Oui. La responsabilité est explicitement citée.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réponse courte présente l’illustration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Prise de parole, confiance en soi et responsabilité.</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élément aide l’élève à s’exprimer devant les autres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 prise de parole.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 élément renforce l’assurance personnelle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La confiance en soi.</w:t>
            </w:r>
          </w:p>
        </w:tc>
      </w:tr>
    </w:tbl>
    <w:p>
      <w:pPr>
        <w:pStyle w:val="Normal"/>
        <w:rPr/>
      </w:pPr>
      <w:r>
        <w:rPr/>
      </w:r>
      <w:r>
        <w:br w:type="page"/>
      </w:r>
    </w:p>
    <w:p>
      <w:pPr>
        <w:pStyle w:val="Heading1"/>
        <w:pBdr>
          <w:bottom w:val="single" w:sz="14" w:space="1" w:color="D4AF37"/>
        </w:pBdr>
        <w:spacing w:before="0" w:after="80"/>
        <w:rPr/>
      </w:pPr>
      <w:r>
        <w:rPr/>
        <w:t>38. Sciences et découverte</w:t>
      </w:r>
    </w:p>
    <w:tbl>
      <w:tblPr>
        <w:tblW w:w="4649" w:type="dxa"/>
        <w:jc w:val="start"/>
        <w:tblInd w:w="-23" w:type="dxa"/>
        <w:tblLayout w:type="fixed"/>
        <w:tblCellMar>
          <w:top w:w="40" w:type="dxa"/>
          <w:start w:w="85" w:type="dxa"/>
          <w:bottom w:w="40" w:type="dxa"/>
          <w:end w:w="85" w:type="dxa"/>
        </w:tblCellMar>
        <w:tblLook w:val="04a0" w:noHBand="0" w:noVBand="1" w:firstColumn="1" w:lastRow="0" w:lastColumn="0" w:firstRow="1"/>
      </w:tblPr>
      <w:tblGrid>
        <w:gridCol w:w="4649"/>
      </w:tblGrid>
      <w:tr>
        <w:trPr/>
        <w:tc>
          <w:tcPr>
            <w:tcW w:w="4649" w:type="dxa"/>
            <w:tcBorders>
              <w:top w:val="single" w:sz="4" w:space="0" w:color="D4AF37"/>
              <w:start w:val="single" w:sz="4" w:space="0" w:color="D4AF37"/>
              <w:bottom w:val="single" w:sz="4" w:space="0" w:color="D4AF37"/>
              <w:end w:val="single" w:sz="4" w:space="0" w:color="D4AF37"/>
            </w:tcBorders>
            <w:shd w:fill="D4AF37"/>
          </w:tcPr>
          <w:p>
            <w:pPr>
              <w:pStyle w:val="Normal"/>
              <w:spacing w:lineRule="auto" w:line="240" w:before="0" w:after="0"/>
              <w:jc w:val="center"/>
              <w:rPr/>
            </w:pPr>
            <w:r>
              <w:rPr>
                <w:rFonts w:ascii="Aptos" w:hAnsi="Aptos"/>
                <w:b/>
                <w:i w:val="false"/>
                <w:color w:val="FFFFFF"/>
                <w:sz w:val="16"/>
              </w:rPr>
              <w:t>ILLUSTRATION ET LÉGENDE PUBLIÉES</w:t>
            </w:r>
          </w:p>
        </w:tc>
      </w:tr>
    </w:tbl>
    <w:p>
      <w:pPr>
        <w:pStyle w:val="Normal"/>
        <w:spacing w:before="60" w:after="80"/>
        <w:rPr/>
      </w:pPr>
      <w:r>
        <w:rPr>
          <w:b/>
          <w:color w:val="0B3D91"/>
          <w:sz w:val="16"/>
        </w:rPr>
        <w:t xml:space="preserve">Adresse : </w:t>
      </w:r>
      <w:r>
        <w:rPr>
          <w:color w:val="44546A"/>
          <w:sz w:val="16"/>
        </w:rPr>
        <w:t>https://test.gsleseminents.com/activites-et-talents/</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Texte-source / constat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Observer, manipuler et apprendre par l’expérience.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Raison du titre ou de la section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titre visuel présente les sciences comme une démarche active de découverte.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Importance dans le projet</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Cette légende résume une pédagogie où l’élève comprend en observant et en agissant.</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Liens possibles avec les autres sections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Sciences et numérique ; Expériences ; Projets pratiques ; Pédagogie active ; Résolution de problèmes.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Référence de contrôle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Page publique du site test consultée le 1er juillet 2026</w:t>
            </w:r>
          </w:p>
        </w:tc>
      </w:tr>
    </w:tbl>
    <w:p>
      <w:pPr>
        <w:pStyle w:val="Normal"/>
        <w:spacing w:before="0" w:after="0"/>
        <w:rPr/>
      </w:pPr>
      <w:r>
        <w:rPr/>
      </w:r>
    </w:p>
    <w:p>
      <w:pPr>
        <w:pStyle w:val="Heading2"/>
        <w:keepNext w:val="true"/>
        <w:rPr/>
      </w:pPr>
      <w:r>
        <w:rPr/>
        <w:t>Banque de questions — 10 questions</w:t>
      </w:r>
    </w:p>
    <w:tbl>
      <w:tblPr>
        <w:tblW w:w="9524"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4620"/>
        <w:gridCol w:w="4903"/>
      </w:tblGrid>
      <w:tr>
        <w:trPr>
          <w:tblHeader w:val="true"/>
          <w:cantSplit w:val="true"/>
        </w:trPr>
        <w:tc>
          <w:tcPr>
            <w:tcW w:w="462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QUESTION</w:t>
            </w:r>
          </w:p>
        </w:tc>
        <w:tc>
          <w:tcPr>
            <w:tcW w:w="4903"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RÉPONSE DE RÉFÉRENCE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Q1. Quel est le titre exact de ce point ou de cette section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Sciences et découverte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Q2. Quel texte de référence doit être repris pour présenter fidèlement ce point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Observer, manipuler et apprendre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Q3. Quel premier verbe d’action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Observer.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Q4. Quel deuxième verbe d’action est cité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Manipuler.</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Q5. Quel apprentissage est cité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Apprendre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Q6. Quels trois éléments composent la légende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Observer, manipuler et apprendre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Q7. La découverte est-elle présentée comme uniquement théorique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Non. Elle implique l’observation, la manipulation et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Q8. Quelle réponse courte présente l’illustration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Observer, manipuler et apprendre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3F4F6"/>
            <w:tcMar>
              <w:top w:w="45" w:type="dxa"/>
              <w:bottom w:w="45" w:type="dxa"/>
            </w:tcMar>
          </w:tcPr>
          <w:p>
            <w:pPr>
              <w:pStyle w:val="Normal"/>
              <w:spacing w:lineRule="auto" w:line="240" w:before="0" w:after="0"/>
              <w:rPr/>
            </w:pPr>
            <w:r>
              <w:rPr>
                <w:rFonts w:ascii="Aptos" w:hAnsi="Aptos"/>
                <w:b/>
                <w:i w:val="false"/>
                <w:color w:val="253247"/>
                <w:sz w:val="15"/>
              </w:rPr>
              <w:t>Q9. Quel lien est établi entre action et apprentissage ?</w:t>
            </w:r>
          </w:p>
        </w:tc>
        <w:tc>
          <w:tcPr>
            <w:tcW w:w="4903" w:type="dxa"/>
            <w:tcBorders>
              <w:top w:val="single" w:sz="4" w:space="0" w:color="D9DEE7"/>
              <w:start w:val="single" w:sz="4" w:space="0" w:color="D9DEE7"/>
              <w:bottom w:val="single" w:sz="4" w:space="0" w:color="D9DEE7"/>
              <w:end w:val="single" w:sz="4" w:space="0" w:color="D9DEE7"/>
            </w:tcBorders>
            <w:shd w:fill="FFF7DF"/>
            <w:tcMar>
              <w:top w:w="45" w:type="dxa"/>
              <w:bottom w:w="45" w:type="dxa"/>
            </w:tcMar>
          </w:tcPr>
          <w:p>
            <w:pPr>
              <w:pStyle w:val="Normal"/>
              <w:spacing w:lineRule="auto" w:line="240" w:before="0" w:after="0"/>
              <w:rPr/>
            </w:pPr>
            <w:r>
              <w:rPr>
                <w:rFonts w:ascii="Aptos" w:hAnsi="Aptos"/>
                <w:b w:val="false"/>
                <w:i w:val="false"/>
                <w:color w:val="253247"/>
                <w:sz w:val="15"/>
              </w:rPr>
              <w:t>L’apprentissage se fait par l’expérience.</w:t>
            </w:r>
          </w:p>
        </w:tc>
      </w:tr>
      <w:tr>
        <w:trPr>
          <w:cantSplit w:val="true"/>
        </w:trPr>
        <w:tc>
          <w:tcPr>
            <w:tcW w:w="4620"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i w:val="false"/>
                <w:color w:val="253247"/>
                <w:sz w:val="15"/>
              </w:rPr>
              <w:t>Q10. Quelle démarche précède la manipulation ?</w:t>
            </w:r>
          </w:p>
        </w:tc>
        <w:tc>
          <w:tcPr>
            <w:tcW w:w="4903" w:type="dxa"/>
            <w:tcBorders>
              <w:top w:val="single" w:sz="4" w:space="0" w:color="D9DEE7"/>
              <w:start w:val="single" w:sz="4" w:space="0" w:color="D9DEE7"/>
              <w:bottom w:val="single" w:sz="4" w:space="0" w:color="D9DEE7"/>
              <w:end w:val="single" w:sz="4" w:space="0" w:color="D9DEE7"/>
            </w:tcBorders>
            <w:shd w:fill="FFFFFF"/>
            <w:tcMar>
              <w:top w:w="45" w:type="dxa"/>
              <w:bottom w:w="45" w:type="dxa"/>
            </w:tcMar>
          </w:tcPr>
          <w:p>
            <w:pPr>
              <w:pStyle w:val="Normal"/>
              <w:spacing w:lineRule="auto" w:line="240" w:before="0" w:after="0"/>
              <w:rPr/>
            </w:pPr>
            <w:r>
              <w:rPr>
                <w:rFonts w:ascii="Aptos" w:hAnsi="Aptos"/>
                <w:b w:val="false"/>
                <w:i w:val="false"/>
                <w:color w:val="253247"/>
                <w:sz w:val="15"/>
              </w:rPr>
              <w:t>L’observation.</w:t>
            </w:r>
          </w:p>
        </w:tc>
      </w:tr>
    </w:tbl>
    <w:p>
      <w:pPr>
        <w:pStyle w:val="Normal"/>
        <w:rPr/>
      </w:pPr>
      <w:r>
        <w:rPr/>
      </w:r>
      <w:r>
        <w:br w:type="page"/>
      </w:r>
    </w:p>
    <w:p>
      <w:pPr>
        <w:pStyle w:val="Heading1"/>
        <w:pBdr>
          <w:bottom w:val="single" w:sz="14" w:space="1" w:color="D4AF37"/>
        </w:pBdr>
        <w:spacing w:before="0" w:after="80"/>
        <w:rPr/>
      </w:pPr>
      <w:r>
        <w:rPr/>
        <w:t>4. Glossaire des mots clés, sigles, abréviations et termes difficiles</w:t>
      </w:r>
    </w:p>
    <w:p>
      <w:pPr>
        <w:pStyle w:val="Normal"/>
        <w:rPr/>
      </w:pPr>
      <w:r>
        <w:rPr/>
        <w:t>Ce glossaire facilite la compréhension des formulations utilisées dans les trois pages analysées. Il peut servir aux parents, visiteurs, agents, enseignants, partenaires et utilisateurs d’ÉMINA.</w:t>
      </w:r>
    </w:p>
    <w:tbl>
      <w:tblPr>
        <w:tblW w:w="952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665"/>
        <w:gridCol w:w="6860"/>
      </w:tblGrid>
      <w:tr>
        <w:trPr>
          <w:tblHeader w:val="true"/>
        </w:trPr>
        <w:tc>
          <w:tcPr>
            <w:tcW w:w="266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TERME / SIGLE</w:t>
            </w:r>
          </w:p>
        </w:tc>
        <w:tc>
          <w:tcPr>
            <w:tcW w:w="6860"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jc w:val="center"/>
              <w:rPr/>
            </w:pPr>
            <w:r>
              <w:rPr>
                <w:rFonts w:ascii="Aptos" w:hAnsi="Aptos"/>
                <w:b/>
                <w:i w:val="false"/>
                <w:color w:val="FFFFFF"/>
                <w:sz w:val="16"/>
              </w:rPr>
              <w:t>DÉFINITION POUR LA COMPRÉHENSION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GSE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Abréviation de GROUPE SCOLAIRE LES ÉMINENTS.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ÉMINA</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Nom de l’Assistante institutionnelle officielle du GROUPE SCOLAIRE LES ÉMINENTS.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DBSPE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Département du Bien-être, de la Sécurité et de la Protection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FR/EN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Indication qu’un contenu est disponible en français et en anglais.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QR</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Code graphique lisible par un appareil, utilisé ici sous forme temporaire et à usage limité pour certaines vérifications.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GSE-PUB-PRO-001</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Code d’un document public du GSE relatif au bien-être, à la sécurité et à la protection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GSE-PUB-SAN-001</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Code d’un document public du GSE relatif à la santé, à la sécurité et à la protection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GSE-PUB-PRI-001</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Code de la politique publique de confidentialité du GSE.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Vie scolaire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Ensemble des règles, relations, suivis, activités, dispositifs de sécurité et communications qui organisent le quotidien des élèves.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Bienveillance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Attitude attentive qui cherche le bien de l’enfant tout en maintenant un cadre clair.</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Structurée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Organisée selon des règles, des responsabilités et des procédures définies.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Environnement protecteur</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Cadre conçu pour prévenir les risques, détecter les préoccupations et protéger les personnes.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Assiduité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Présence régulière et constante aux activités scolaires.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Ponctualité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Respect des heures prévues pour l’arrivée, les activités et la sortie.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Sortie anticipée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Départ d’un élève avant l’heure normale de sortie.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Procédure interne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Suite d’étapes et de responsabilités définie par l’établissement pour traiter une situation.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Discipline positive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Approche éducative qui explique les règles, privilégie les mesures formatrices et protège la dignité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Mesure éducative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Réponse destinée à faire comprendre une règle, réparer une situation et améliorer le comportement.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Proportionnée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Adaptée à la gravité, au contexte et aux besoins de la situation, sans excès.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Dignité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Valeur inhérente à toute personne, qui impose le respect et interdit l’humiliation.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École–famille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Partenariat entre l’établissement et les parents ou responsables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Plainte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Expression formelle d’une insatisfaction ou d’une préoccupation.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Suggestion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Proposition formulée pour améliorer un service, une activité ou une procédure.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Médiation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Processus encadré qui aide des personnes à rechercher une solution à un différend.</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Développement intégral</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Développement intellectuel, physique, moral, spirituel, émotionnel, social et créatif de l’enfant.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Citoyenneté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Connaissance et pratique des droits, devoirs et responsabilités dans la communauté.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Service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Action utile réalisée au bénéfice d’une autre personne ou de la communauté.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Horaire de référence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Heures générales qui servent de repère commun, sous réserve de détails ou adaptations officiellement communiqués.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Adaptation ponctuelle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Modification exceptionnelle et limitée d’un horaire ou d’une organisation.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Autorisation validée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Accord vérifié et reconnu par l’école avant une action, notamment la remise d’un enfant.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Personne autorisée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Adulte dont le droit de récupérer ou d’accompagner un enfant a été vérifié et enregistré.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Badge nominatif</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Support d’identification portant ou reliant de manière sécurisée l’identité d’une personne autorisée.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Code temporaire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Code valable pendant une période limitée ou pour un usage déterminé.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Biométrie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Technique de vérification reposant sur une caractéristique physique ; elle ne doit pas être l’unique moyen de contrôle dans le dispositif décrit.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Procédure alternative encadrée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Méthode de remplacement prévue, vérifiée et supervisée lorsqu’un moyen principal ne peut pas être utilisé.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Documentation associée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Documents publics liés à une page afin d’approfondir ou de formaliser les informations présentées.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Bibliothèque de documentation publique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Espace du site regroupant les documents institutionnels autorisés à la consultation publique.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Intérêt supérieur de l’enfant</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Principe selon lequel la dignité, la sécurité, le développement et les droits de l’enfant sont prioritaires dans les décisions qui le concernent.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Droit d’être entendu</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Droit de l’enfant d’exprimer son point de vue d’une manière adaptée à son âge et à la situation.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Code de conduite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Ensemble de règles qui définissent les comportements attendus et interdits.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Prévention des violences</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Mesures destinées à éviter les atteintes physiques, psychologiques, sexuelles, numériques ou autres.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Signalement</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Communication d’un fait, d’une inquiétude ou d’un soupçon à une personne ou à un service habilité.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Signalement confidentiel</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Signalement traité avec une diffusion limitée aux personnes qui doivent en connaître.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Recrutement sûr</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Processus de sélection et de vérification visant à réduire les risques pour les enfants.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Alerte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Information indiquant un risque, un incident ou une situation nécessitant une attention.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Santé scolaire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Dispositif de prévention, de premiers secours, de suivi autorisé et d’orientation sanitaire dans l’école.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Premiers secours</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Gestes et mesures immédiats apportés avant une prise en charge complémentaire.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Allergie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Réaction anormale de l’organisme à une substance, qui peut nécessiter un suivi et des précautions.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Traitement autorisé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Médicament ou soin dont l’administration est permise selon les règles et autorisations applicables.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Référence médicale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Orientation vers une personne ou une structure de santé compétente.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Registre protégé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Document dont l’accès, la conservation et l’utilisation sont sécurisés.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Contrôle des accès</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Mesures d’identification et d’autorisation appliquées aux entrées, sorties et zones sensibles.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Zone sensible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Espace qui nécessite une protection ou une autorisation particulière.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Plan d’urgence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Organisation préparée à l’avance pour répondre à un événement grave ou inhabituel.</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Évacuation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Déplacement organisé des personnes hors d’une zone de danger.</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Intrusion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Entrée ou présence non autorisée dans un espace protégé.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Maladie transmissible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Maladie qui peut se propager d’une personne à une autre directement ou indirectement.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Installation sanitaire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Équipement ou local destiné à l’hygiène corporelle et aux besoins sanitaires.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Hygiène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Pratiques et conditions qui protègent la propreté et la santé.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Intimité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Respect de l’espace personnel et de la vie privée d’une personne.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Remise sécurisée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Procédure de sortie qui vérifie que l’enfant est confié à une personne autorisée.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Notification au parent</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Message adressé au parent pour l’informer d’une action ou d’un événement.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Confidentialité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Protection d’une information contre l’accès ou la divulgation non autorisés.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Personne habilitée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Personne officiellement autorisée à accéder à une information ou à accomplir une action déterminée.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Dossier personnel</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Ensemble d’informations individuelles concernant un élève ou une famille.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Enquête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Démarche institutionnelle de recherche et de vérification des faits.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Confronter</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Mettre directement des personnes en présence pour comparer leurs versions ; cette action n’appartient pas au rôle d’ÉMINA.</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Clôturer un incident</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Décider officiellement qu’un incident a été traité et que son suivi peut être terminé.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Canal accessible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Moyen de communication que les personnes concernées peuvent utiliser facilement.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Activité parascolaire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Activité éducative qui complète les apprentissages de classe.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Talent</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Aptitude ou potentiel particulier qui peut être découvert et développé.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Collaboration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Action de travailler avec d’autres personnes vers un objectif commun.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Prise de parole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Capacité à s’exprimer oralement devant une ou plusieurs personnes.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Leadership</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Capacité à exercer une influence positive, prendre des responsabilités et servir avec discernement.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Culture numérique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Connaissances, usages responsables et compréhension des outils et environnements numériques.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Projet pratique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Activité organisée autour d’une réalisation concrète.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Résolution de problèmes</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Capacité à analyser une difficulté et à rechercher une solution adaptée.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Arts visuels</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Formes artistiques principalement perçues par la vue, comme le dessin, la peinture ou la photographie.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Chorale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Groupe de personnes qui chantent ensemble de manière organisée.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Expression orale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Capacité à communiquer clairement par la parole.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Motricité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Ensemble des capacités de mouvement et de coordination du corps.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Fair-play</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Comportement loyal, respectueux des règles et des autres dans le sport.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Coopération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Action de contribuer ensemble à une tâche ou à un objectif.</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Journée thématique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Journée organisée autour d’un sujet éducatif, culturel, scientifique, spirituel ou citoyen.</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Action communautaire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Activité menée au service d’un groupe, d’un quartier ou de la société.</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Uniforme officiel</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Tenue scolaire définie et validée par l’établissement.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Écusson</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Insigne portant l’identité ou le logo de l’établissement.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Bleu marine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Couleur bleue sombre utilisée dans l’identité visuelle et l’uniforme du GSE.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Jaune-or</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Couleur dorée utilisée comme couleur institutionnelle du GSE.</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Identité scolaire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Ensemble des signes, valeurs et pratiques qui expriment l’appartenance à l’établissement.</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EAF2FB"/>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Égalité</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Principe selon lequel les élèves sont traités avec la même considération et selon des règles communes.</w:t>
            </w:r>
          </w:p>
        </w:tc>
      </w:tr>
      <w:tr>
        <w:trPr>
          <w:cantSplit w:val="true"/>
        </w:trPr>
        <w:tc>
          <w:tcPr>
            <w:tcW w:w="2665"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i w:val="false"/>
                <w:color w:val="0B3D91"/>
                <w:sz w:val="15"/>
              </w:rPr>
              <w:t>Illustration institutionnelle</w:t>
            </w:r>
          </w:p>
        </w:tc>
        <w:tc>
          <w:tcPr>
            <w:tcW w:w="6860" w:type="dxa"/>
            <w:tcBorders>
              <w:top w:val="single" w:sz="4" w:space="0" w:color="D9DEE7"/>
              <w:start w:val="single" w:sz="4" w:space="0" w:color="D9DEE7"/>
              <w:bottom w:val="single" w:sz="4" w:space="0" w:color="D9DEE7"/>
              <w:end w:val="single" w:sz="4" w:space="0" w:color="D9DEE7"/>
            </w:tcBorders>
            <w:shd w:fill="FFFFFF"/>
            <w:tcMar>
              <w:top w:w="45" w:type="dxa"/>
              <w:start w:w="85" w:type="dxa"/>
              <w:bottom w:w="45" w:type="dxa"/>
              <w:end w:w="85" w:type="dxa"/>
            </w:tcMar>
          </w:tcPr>
          <w:p>
            <w:pPr>
              <w:pStyle w:val="Normal"/>
              <w:spacing w:lineRule="auto" w:line="240" w:before="0" w:after="0"/>
              <w:rPr/>
            </w:pPr>
            <w:r>
              <w:rPr>
                <w:rFonts w:ascii="Aptos" w:hAnsi="Aptos"/>
                <w:b w:val="false"/>
                <w:i w:val="false"/>
                <w:color w:val="253247"/>
                <w:sz w:val="15"/>
              </w:rPr>
              <w:t>Image conçue pour représenter officiellement un message, une activité ou une valeur de l’établissement.</w:t>
            </w:r>
          </w:p>
        </w:tc>
      </w:tr>
    </w:tbl>
    <w:p>
      <w:pPr>
        <w:pStyle w:val="Normal"/>
        <w:rPr/>
      </w:pPr>
      <w:r>
        <w:rPr/>
      </w:r>
      <w:r>
        <w:br w:type="page"/>
      </w:r>
    </w:p>
    <w:p>
      <w:pPr>
        <w:pStyle w:val="Heading1"/>
        <w:pBdr>
          <w:bottom w:val="single" w:sz="14" w:space="1" w:color="D4AF37"/>
        </w:pBdr>
        <w:spacing w:before="0" w:after="80"/>
        <w:rPr/>
      </w:pPr>
      <w:r>
        <w:rPr/>
        <w:t>5. Observations éditoriales et recommandations de cohérence</w:t>
      </w:r>
    </w:p>
    <w:tbl>
      <w:tblPr>
        <w:tblW w:w="9526" w:type="dxa"/>
        <w:jc w:val="center"/>
        <w:tblInd w:w="0" w:type="dxa"/>
        <w:tblLayout w:type="fixed"/>
        <w:tblCellMar>
          <w:top w:w="55" w:type="dxa"/>
          <w:start w:w="85" w:type="dxa"/>
          <w:bottom w:w="55" w:type="dxa"/>
          <w:end w:w="85" w:type="dxa"/>
        </w:tblCellMar>
        <w:tblLook w:val="04a0" w:noHBand="0" w:noVBand="1" w:firstColumn="1" w:lastRow="0" w:lastColumn="0" w:firstRow="1"/>
      </w:tblPr>
      <w:tblGrid>
        <w:gridCol w:w="2268"/>
        <w:gridCol w:w="7257"/>
      </w:tblGrid>
      <w:tr>
        <w:trPr>
          <w:cantSplit w:val="true"/>
        </w:trPr>
        <w:tc>
          <w:tcPr>
            <w:tcW w:w="2268" w:type="dxa"/>
            <w:tcBorders>
              <w:top w:val="single" w:sz="4" w:space="0" w:color="D9DEE7"/>
              <w:start w:val="single" w:sz="4" w:space="0" w:color="D9DEE7"/>
              <w:bottom w:val="single" w:sz="4" w:space="0" w:color="D9DEE7"/>
              <w:end w:val="single" w:sz="4" w:space="0" w:color="D9DEE7"/>
            </w:tcBorders>
            <w:shd w:fill="0B3D91"/>
            <w:vAlign w:val="center"/>
          </w:tcPr>
          <w:p>
            <w:pPr>
              <w:pStyle w:val="Normal"/>
              <w:spacing w:lineRule="auto" w:line="240" w:before="0" w:after="0"/>
              <w:rPr/>
            </w:pPr>
            <w:r>
              <w:rPr>
                <w:rFonts w:ascii="Aptos" w:hAnsi="Aptos"/>
                <w:b/>
                <w:i w:val="false"/>
                <w:color w:val="FFFFFF"/>
                <w:sz w:val="16"/>
              </w:rPr>
              <w:t>Arborescence simplifiée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i w:val="false"/>
                <w:color w:val="253247"/>
                <w:sz w:val="16"/>
              </w:rPr>
              <w:t>Le menu actuel « Vie scolaire » ne présente plus une longue liste de pages séparées. Il regroupe les contenus sous deux sous-menus : « Santé, sécurité &amp; protection » et « Activités &amp; talents ». Cette simplification améliore la lisibilité.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Harmonisation des intitulés</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Trois variantes sont visibles : « Santé, sécurité &amp; protection » dans le menu, « Santé et sécurité » dans le bouton de la page Vie scolaire et « Santé, sécurité et protection de l’enfant » comme titre de page. De même, « Activités &amp; talents », « Activités et talents » et « Activités, culture et talents » coexistent. Un libellé principal cohérent doit être retenu tout en conservant les titres explicatifs.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Point sans sous-titre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 paragraphe sur la confidentialité des informations médicales, disciplinaires et familiales est important mais ne possède pas de sous-titre propre. L’ajout d’un titre « Confidentialité des informations » améliorerait le repérage et l’accessibilité.</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Documentation publique</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Les codes GSE-PUB-PRO-001, GSE-PUB-SAN-001 et GSE-PUB-PRI-001 doivent rester liés aux versions validées, datées et bilingues des documents correspondants.</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Réponses d’ÉMINA</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Les réponses publiques d’ÉMINA doivent reprendre les textes de référence, préserver la confidentialité et orienter vers un adulte habilité pour toute situation individuelle ou sensible.</w:t>
            </w:r>
          </w:p>
        </w:tc>
      </w:tr>
      <w:tr>
        <w:trPr>
          <w:cantSplit w:val="true"/>
        </w:trPr>
        <w:tc>
          <w:tcPr>
            <w:tcW w:w="2268" w:type="dxa"/>
            <w:tcBorders>
              <w:top w:val="single" w:sz="4" w:space="0" w:color="D9DEE7"/>
              <w:start w:val="single" w:sz="4" w:space="0" w:color="D9DEE7"/>
              <w:bottom w:val="single" w:sz="4" w:space="0" w:color="D9DEE7"/>
              <w:end w:val="single" w:sz="4" w:space="0" w:color="D9DEE7"/>
            </w:tcBorders>
            <w:shd w:fill="EAF2FB"/>
            <w:vAlign w:val="center"/>
          </w:tcPr>
          <w:p>
            <w:pPr>
              <w:pStyle w:val="Normal"/>
              <w:spacing w:lineRule="auto" w:line="240" w:before="0" w:after="0"/>
              <w:rPr/>
            </w:pPr>
            <w:r>
              <w:rPr>
                <w:rFonts w:ascii="Aptos" w:hAnsi="Aptos"/>
                <w:b/>
                <w:i w:val="false"/>
                <w:color w:val="0B3D91"/>
                <w:sz w:val="16"/>
              </w:rPr>
              <w:t>Accessibilité et traduction</w:t>
            </w:r>
          </w:p>
        </w:tc>
        <w:tc>
          <w:tcPr>
            <w:tcW w:w="7257" w:type="dxa"/>
            <w:tcBorders>
              <w:top w:val="single" w:sz="4" w:space="0" w:color="D9DEE7"/>
              <w:start w:val="single" w:sz="4" w:space="0" w:color="D9DEE7"/>
              <w:bottom w:val="single" w:sz="4" w:space="0" w:color="D9DEE7"/>
              <w:end w:val="single" w:sz="4" w:space="0" w:color="D9DEE7"/>
            </w:tcBorders>
            <w:shd w:fill="FFFFFF"/>
            <w:vAlign w:val="center"/>
          </w:tcPr>
          <w:p>
            <w:pPr>
              <w:pStyle w:val="Normal"/>
              <w:spacing w:lineRule="auto" w:line="240" w:before="0" w:after="0"/>
              <w:rPr/>
            </w:pPr>
            <w:r>
              <w:rPr>
                <w:rFonts w:ascii="Aptos" w:hAnsi="Aptos"/>
                <w:b w:val="false"/>
                <w:i w:val="false"/>
                <w:color w:val="253247"/>
                <w:sz w:val="16"/>
              </w:rPr>
              <w:t>Tous les titres, légendes et messages importants doivent exister en texte HTML, avec des équivalents validés dans les langues prévues, afin de soutenir l’accessibilité, le référencement et la base de connaissances.</w:t>
            </w:r>
          </w:p>
        </w:tc>
      </w:tr>
    </w:tbl>
    <w:p>
      <w:pPr>
        <w:pStyle w:val="Normal"/>
        <w:spacing w:before="0" w:after="0"/>
        <w:rPr/>
      </w:pPr>
      <w:r>
        <w:rPr/>
      </w:r>
    </w:p>
    <w:p>
      <w:pPr>
        <w:pStyle w:val="Heading1"/>
        <w:pBdr>
          <w:bottom w:val="single" w:sz="14" w:space="1" w:color="D4AF37"/>
        </w:pBdr>
        <w:rPr/>
      </w:pPr>
      <w:r>
        <w:rPr/>
        <w:t>6. Usages recommandés de la banque</w:t>
      </w:r>
    </w:p>
    <w:p>
      <w:pPr>
        <w:pStyle w:val="ListBullet"/>
        <w:numPr>
          <w:ilvl w:val="0"/>
          <w:numId w:val="1"/>
        </w:numPr>
        <w:spacing w:before="0" w:after="40"/>
        <w:contextualSpacing/>
        <w:rPr/>
      </w:pPr>
      <w:r>
        <w:rPr/>
        <w:t>Former le personnel d’accueil, les responsables de la vie scolaire, de la sécurité, de la santé et des activités.</w:t>
      </w:r>
    </w:p>
    <w:p>
      <w:pPr>
        <w:pStyle w:val="ListBullet"/>
        <w:numPr>
          <w:ilvl w:val="0"/>
          <w:numId w:val="1"/>
        </w:numPr>
        <w:spacing w:before="0" w:after="40"/>
        <w:contextualSpacing/>
        <w:rPr/>
      </w:pPr>
      <w:r>
        <w:rPr/>
        <w:t>Alimenter la FAQ publique et la base de connaissances de l’Assistante institutionnelle ÉMINA.</w:t>
      </w:r>
    </w:p>
    <w:p>
      <w:pPr>
        <w:pStyle w:val="ListBullet"/>
        <w:numPr>
          <w:ilvl w:val="0"/>
          <w:numId w:val="1"/>
        </w:numPr>
        <w:spacing w:before="0" w:after="40"/>
        <w:contextualSpacing/>
        <w:rPr/>
      </w:pPr>
      <w:r>
        <w:rPr/>
        <w:t>Contrôler la fidélité des réponses avant traduction et publication dans les langues de l’écosystème.</w:t>
      </w:r>
    </w:p>
    <w:p>
      <w:pPr>
        <w:pStyle w:val="ListBullet"/>
        <w:numPr>
          <w:ilvl w:val="0"/>
          <w:numId w:val="1"/>
        </w:numPr>
        <w:spacing w:before="0" w:after="40"/>
        <w:contextualSpacing/>
        <w:rPr/>
      </w:pPr>
      <w:r>
        <w:rPr/>
        <w:t>Préparer des questionnaires de compréhension pour les familles, les agents et les partenaires.</w:t>
      </w:r>
    </w:p>
    <w:p>
      <w:pPr>
        <w:pStyle w:val="ListBullet"/>
        <w:numPr>
          <w:ilvl w:val="0"/>
          <w:numId w:val="1"/>
        </w:numPr>
        <w:spacing w:before="0" w:after="40"/>
        <w:contextualSpacing/>
        <w:rPr/>
      </w:pPr>
      <w:r>
        <w:rPr/>
        <w:t>Repérer les variations de libellés et les points qui nécessitent une harmonisation éditoriale.</w:t>
      </w:r>
    </w:p>
    <w:p>
      <w:pPr>
        <w:pStyle w:val="Normal"/>
        <w:pBdr>
          <w:bottom w:val="single" w:sz="18" w:space="1" w:color="D4AF37"/>
        </w:pBdr>
        <w:spacing w:before="360" w:after="60"/>
        <w:jc w:val="center"/>
        <w:rPr/>
      </w:pPr>
      <w:r>
        <w:rPr>
          <w:b/>
          <w:color w:val="0B3D91"/>
          <w:sz w:val="24"/>
        </w:rPr>
        <w:t>FIN DU DOCUMENT</w:t>
      </w:r>
    </w:p>
    <w:p>
      <w:pPr>
        <w:pStyle w:val="Normal"/>
        <w:rPr/>
      </w:pPr>
      <w:r>
        <w:rPr/>
      </w:r>
      <w:r>
        <w:br w:type="page"/>
      </w:r>
    </w:p>
    <w:p>
      <w:pPr>
        <w:pStyle w:val="Normal"/>
        <w:rPr/>
      </w:pPr>
      <w:r>
        <w:rPr/>
      </w:r>
    </w:p>
    <w:p>
      <w:pPr>
        <w:pStyle w:val="Normal"/>
        <w:spacing w:lineRule="auto" w:line="240" w:before="40" w:after="100"/>
        <w:jc w:val="center"/>
        <w:rPr/>
      </w:pPr>
      <w:r>
        <w:rPr/>
        <w:drawing>
          <wp:inline distT="0" distB="0" distL="0" distR="0">
            <wp:extent cx="1188085" cy="1235710"/>
            <wp:effectExtent l="0" t="0" r="0" b="0"/>
            <wp:docPr id="17"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title=""/>
                    <pic:cNvPicPr>
                      <a:picLocks noChangeAspect="1" noChangeArrowheads="1"/>
                    </pic:cNvPicPr>
                  </pic:nvPicPr>
                  <pic:blipFill>
                    <a:blip r:embed="rId45"/>
                    <a:stretch>
                      <a:fillRect/>
                    </a:stretch>
                  </pic:blipFill>
                  <pic:spPr bwMode="auto">
                    <a:xfrm>
                      <a:off x="0" y="0"/>
                      <a:ext cx="1188085" cy="1235710"/>
                    </a:xfrm>
                    <a:prstGeom prst="rect">
                      <a:avLst/>
                    </a:prstGeom>
                    <a:noFill/>
                  </pic:spPr>
                </pic:pic>
              </a:graphicData>
            </a:graphic>
          </wp:inline>
        </w:drawing>
      </w:r>
    </w:p>
    <w:p>
      <w:pPr>
        <w:pStyle w:val="Normal"/>
        <w:spacing w:lineRule="auto" w:line="240" w:before="80" w:after="120"/>
        <w:jc w:val="center"/>
        <w:rPr/>
      </w:pPr>
      <w:r>
        <w:rPr>
          <w:rFonts w:eastAsia="Georgia" w:ascii="Georgia" w:hAnsi="Georgia"/>
          <w:b/>
          <w:i w:val="false"/>
          <w:color w:val="0B3D91"/>
          <w:sz w:val="52"/>
        </w:rPr>
        <w:t>GROUPE SCOLAIRE</w:t>
        <w:br/>
        <w:t>LES ÉMINENTS</w:t>
      </w:r>
    </w:p>
    <w:p>
      <w:pPr>
        <w:pStyle w:val="Normal"/>
        <w:pBdr>
          <w:bottom w:val="single" w:sz="14" w:space="5" w:color="D4AF37"/>
        </w:pBdr>
        <w:spacing w:lineRule="auto" w:line="240" w:before="100" w:after="60"/>
        <w:jc w:val="center"/>
        <w:rPr/>
      </w:pPr>
      <w:r>
        <w:rPr>
          <w:rFonts w:eastAsia="Georgia" w:ascii="Georgia" w:hAnsi="Georgia"/>
          <w:b/>
          <w:i w:val="false"/>
          <w:color w:val="0B3D91"/>
          <w:sz w:val="44"/>
        </w:rPr>
        <w:t>RELEVÉ COMPLET ET BANQUE EXHAUSTIVE</w:t>
        <w:br/>
        <w:t>DU MENU « ADMISSIONS »</w:t>
      </w:r>
    </w:p>
    <w:p>
      <w:pPr>
        <w:pStyle w:val="Normal"/>
        <w:spacing w:lineRule="auto" w:line="240" w:before="100" w:after="100"/>
        <w:jc w:val="center"/>
        <w:rPr/>
      </w:pPr>
      <w:r>
        <w:rPr>
          <w:rFonts w:eastAsia="Aptos" w:ascii="Aptos" w:hAnsi="Aptos"/>
          <w:b/>
          <w:i w:val="false"/>
          <w:color w:val="D4AF37"/>
          <w:sz w:val="28"/>
        </w:rPr>
        <w:t>Présentation de la procédure • Préinscription • Dossier complet • Pièces • Frais</w:t>
      </w:r>
    </w:p>
    <w:p>
      <w:pPr>
        <w:pStyle w:val="Normal"/>
        <w:spacing w:lineRule="auto" w:line="240" w:before="0" w:after="160"/>
        <w:jc w:val="center"/>
        <w:rPr/>
      </w:pPr>
      <w:r>
        <w:rPr>
          <w:rFonts w:eastAsia="Aptos" w:ascii="Aptos" w:hAnsi="Aptos"/>
          <w:b w:val="false"/>
          <w:i/>
          <w:color w:val="5B6777"/>
          <w:sz w:val="22"/>
        </w:rPr>
        <w:t>Questions-réponses de référence • raison et importance des titres • liens entre sections • glossaire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240" w:after="60"/>
        <w:jc w:val="center"/>
        <w:rPr/>
      </w:pPr>
      <w:r>
        <w:rPr>
          <w:rFonts w:eastAsia="Aptos" w:ascii="Aptos" w:hAnsi="Aptos"/>
          <w:b/>
          <w:i w:val="false"/>
          <w:color w:val="0B3D91"/>
          <w:sz w:val="24"/>
        </w:rPr>
        <w:t>Document institutionnel de travail — 2 juillet 2026</w:t>
      </w:r>
    </w:p>
    <w:p>
      <w:pPr>
        <w:pStyle w:val="Normal"/>
        <w:spacing w:lineRule="auto" w:line="240" w:before="0" w:after="200"/>
        <w:jc w:val="center"/>
        <w:rPr/>
      </w:pPr>
      <w:r>
        <w:rPr>
          <w:rFonts w:eastAsia="Aptos" w:ascii="Aptos" w:hAnsi="Aptos"/>
          <w:b w:val="false"/>
          <w:i w:val="false"/>
          <w:color w:val="5B6777"/>
          <w:sz w:val="21"/>
        </w:rPr>
        <w:t>Site audité : https://test.gsleseminents.com</w:t>
      </w:r>
    </w:p>
    <w:p>
      <w:pPr>
        <w:pStyle w:val="Normal"/>
        <w:spacing w:lineRule="auto" w:line="240" w:before="120" w:after="0"/>
        <w:jc w:val="center"/>
        <w:rPr/>
      </w:pPr>
      <w:r>
        <w:rPr>
          <w:rFonts w:eastAsia="Aptos" w:ascii="Aptos" w:hAnsi="Aptos"/>
          <w:b/>
          <w:i w:val="false"/>
          <w:color w:val="D4AF37"/>
          <w:sz w:val="25"/>
        </w:rPr>
        <w:t>FOI • EXCELLENCE • INTÉGRITÉ • LEADERSHIP</w:t>
      </w:r>
    </w:p>
    <w:p>
      <w:pPr>
        <w:pStyle w:val="Normal"/>
        <w:rPr/>
      </w:pPr>
      <w:r>
        <w:rPr/>
      </w:r>
      <w:r>
        <w:br w:type="page"/>
      </w:r>
    </w:p>
    <w:p>
      <w:pPr>
        <w:pStyle w:val="Heading1"/>
        <w:keepNext w:val="true"/>
        <w:spacing w:lineRule="auto" w:line="240" w:before="0" w:after="100"/>
        <w:rPr/>
      </w:pPr>
      <w:r>
        <w:rPr/>
        <w:t>1. Objet, périmètre et méthode</w:t>
      </w:r>
    </w:p>
    <w:p>
      <w:pPr>
        <w:pStyle w:val="Normal"/>
        <w:spacing w:lineRule="auto" w:line="259" w:before="0" w:after="100"/>
        <w:rPr/>
      </w:pPr>
      <w:r>
        <w:rPr>
          <w:rFonts w:eastAsia="Aptos" w:ascii="Aptos" w:hAnsi="Aptos"/>
          <w:b w:val="false"/>
          <w:i w:val="false"/>
          <w:color w:val="1F2D3D"/>
          <w:sz w:val="20"/>
        </w:rPr>
        <w:t>Ce document relève les points publiés dans le menu « Admissions » et ses sous-menus actuels sur le site test du GROUPE SCOLAIRE LES ÉMINENTS. Il couvre la présentation de la procédure, la préinscription, le formulaire complet en 14 étapes, les pièces à fournir, les frais et modalités de paiement, ainsi que la FAQ publique connexe. Pour chaque titre ou section retenu, la banque fournit dix questions dont les réponses demeurent fidèles au texte sous-jacent. Les analyses de raison, d’importance et de liens fonctionnels sont clairement séparées du texte-source.</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Source principale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publiques consultées le 2 juillet 2026 : /admissions/, /preinscription/, /inscription-definitive/, /pieces-a-fournir/, /frais-modalites-paiement/ et /faq/.</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Arborescence actuelle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&gt; Présentation de la procédure ; Préinscription ; Inscription définitive — Compléter mon dossier ; Pièces à fournir ; Frais et modalités de paiement.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Règle de fidélité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réponses de référence reprennent ou paraphrasent strictement le contenu publié. Aucune condition d’admission supplémentaire n’est inventée.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Éléments inclus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Titres, résumés, étapes, champs et choix du formulaire, listes de pièces, références financières, règles de paiement, documentation associée, légendes et notes de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Éléments non répétés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pied de page commun, la navigation globale, les coordonnées générales et le widget ÉMINA ne sont pas développés comme fiches distinctes, sauf lorsqu’ils apportent un point spécifique aux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Observation de navigation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FAQ reste publique et connexe, mais les pages Admissions actuelles affichent désormais quatre sous-pages opérationnelles en plus de la présentation. Une harmonisation de l’ensemble du site est recommandée.</w:t>
            </w:r>
          </w:p>
        </w:tc>
      </w:tr>
    </w:tbl>
    <w:p>
      <w:pPr>
        <w:pStyle w:val="Heading1"/>
        <w:keepNext w:val="true"/>
        <w:spacing w:lineRule="auto" w:line="240" w:before="160" w:after="80"/>
        <w:rPr/>
      </w:pPr>
      <w:r>
        <w:rPr/>
        <w:t>2. Légende des statuts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STRUCTURE DE NAVIGATION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Intitulés et liens visibles dans le menu actuel.</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PAGE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Page active comprenant un titre, un résumé et des contenus opérationnels.</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SECTION / ÉTAPE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Titre et texte présents dans le corps d’une page.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FORMULAIRE PUBLIÉ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Champs, choix et consentements disponibles dans un formulaire public.</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LIEN / DOCUMENTATION PUBLIÉS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Accès vers une référence documentaire ou une page associée.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OBSERVATION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Constat de cohérence éditoriale ou de navigation clairement distingué du contenu-source.</w:t>
            </w:r>
          </w:p>
        </w:tc>
      </w:tr>
    </w:tbl>
    <w:p>
      <w:pPr>
        <w:pStyle w:val="Heading1"/>
        <w:keepNext w:val="true"/>
        <w:spacing w:lineRule="auto" w:line="240" w:before="160" w:after="80"/>
        <w:rPr/>
      </w:pPr>
      <w:r>
        <w:rPr/>
        <w:t>3. Cartographie des fiches et de la banque</w:t>
      </w:r>
    </w:p>
    <w:tbl>
      <w:tblPr>
        <w:tblW w:w="10480"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TITRE / SECTION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STATUT</w:t>
            </w:r>
          </w:p>
        </w:tc>
        <w:tc>
          <w:tcPr>
            <w:tcW w:w="2619"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QUESTIONS</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Menu « Admissions » et ses sous-menus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STRUCTURE DE NAVIGATION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Admissions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Bienvenue dans le parcours d’admission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1. Prise d’information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2. Préinscription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3. Constitution du dossier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4. Décision et confirmation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Pièces généralement demandées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Référence financière 2026-2027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Documentation associée aux Admissions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LIEN ET DOCUMENTATION PUBLIÉS</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Accueil des familles et partenariat école–famille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ILLUSTRATIONS ET LÉGENDES PUBLIÉES</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Préinscription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Demande de préinscription et informations du formulaire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Après l’envoi de la préinscription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Documentation associée à la préinscription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LIEN ET DOCUMENTATION PUBLIÉS</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Inscription définitive — Compléter mon dossier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ET FORMULAIRE PUBLIÉS</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Fiche complète d’inscription 2026-2027 et confidentialité</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INTRODUCTIVE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 — Identification de la demande et niveau sollicité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2 — Identité complète de l’enfant</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3 — Parcours scolaire ou première entrée à l’école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4 — Responsables légaux et autorité parentale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5 — Contacts d’urgence et personnes autorisées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6 — Santé déclarée, allergies, vaccination et restrictions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7 — Antécédents, traitements et autorisations médicales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8 — Besoins particuliers, bien-être et talents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9 — Vie scolaire, activités, transport et garderie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10 — Numérique, données, image et communications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11 — Pièces justificatives et contrôle documentaire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12 — Engagement financier et échéancier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13 — Contrat, déclarations et signature du responsable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14 — Résumé, soumission et validation administrative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Pièces à fournir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Identité de l’enfant — pièces à fournir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Responsables légaux — pièces à fournir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Parcours scolaire — pièces à fournir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Santé et sécurité — pièces et informations à fournir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Protection des données et dépôt sécurisé des pièces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NOTE DE CONFIDENTIALITÉ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Frais et modalités de paiement 2026-2027</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Principes officiels de paiement et rôle d’ÉMINA</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FAQ Admissions — page connexe et cohérence de navigation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CONNEXE PUBLIÉE / OBSERVATION</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bl>
    <w:p>
      <w:pPr>
        <w:pStyle w:val="Normal"/>
        <w:spacing w:lineRule="auto" w:line="240" w:before="80" w:after="0"/>
        <w:jc w:val="end"/>
        <w:rPr/>
      </w:pPr>
      <w:r>
        <w:rPr>
          <w:rFonts w:eastAsia="Aptos" w:ascii="Aptos" w:hAnsi="Aptos"/>
          <w:b/>
          <w:i w:val="false"/>
          <w:color w:val="D4AF37"/>
          <w:sz w:val="18"/>
        </w:rPr>
        <w:t>Total : 40 fiches • 400 questions-réponses • 129 définitions</w:t>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 CARTOGRAPHIE ET PAGE PRINCIPALE « ADMISSIONS »</w:t>
      </w:r>
    </w:p>
    <w:p>
      <w:pPr>
        <w:pStyle w:val="Normal"/>
        <w:keepNext w:val="true"/>
        <w:spacing w:lineRule="auto" w:line="240" w:before="0" w:after="160"/>
        <w:rPr/>
      </w:pPr>
      <w:r>
        <w:rPr>
          <w:rFonts w:eastAsia="Aptos" w:ascii="Aptos" w:hAnsi="Aptos"/>
          <w:b w:val="false"/>
          <w:i/>
          <w:color w:val="5B6777"/>
          <w:sz w:val="19"/>
        </w:rPr>
        <w:t>Menu, procédure générale, étapes, pièces, références et accompagnement</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 Menu « Admissions » et ses sous-menus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STRUCTURE DE NAVIGATION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menu actuel « Admissions » comprend : « Présentation de la procédure », « Préinscription », « Inscription définitive — Compléter mon dossier », « Pièces à fournir » et « Frais et modalités de paiement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intitulé regroupe toutes les étapes qui conduisent une famille de la première information jusqu’à la constitution et à la validation administrative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donne une vue ordonnée du parcours, réduit les erreurs et permet aux familles d’accéder directement au service dont elles ont besoin.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Accueil ; Programmes ; Préinscription ; Inscription définitive ; Pièces à fournir ; Frais ; FAQ ; Contact ; Espace Parents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Menu « Admissions » et ses sous-menus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menu actuel « Admissions » comprend : « Présentation de la procédure », « Préinscription », « Inscription définitive — Compléter mon dossier », « Pièces à fournir » et « Frais et modalités de paiement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premier sous-menu du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Présentation de la procédure.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sous-menu permet de manifester l’intérêt de la famille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sous-menu permet de compléter le dossier complet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Inscription définitive — Compléter mon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Où la famille trouve-t-elle la liste des documents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 Pièces à fournir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Où les montants et règles de paiement sont-ils présentés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Dans « Frais et modalités de paiement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Combien d’entrées opérationnelles sont visibles sous Admissions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Cinq entrées : présentation, préinscription, inscription définitive, pièces et frais.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FAQ existe encore comme page publique connexe, mais elle n’apparaît pas dans le sous-menu actuel observé sur les pages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Admissions donne accès à la procédure, à la préinscription, au dossier complet, aux pièces et aux frais.</w:t>
            </w:r>
          </w:p>
        </w:tc>
      </w:tr>
    </w:tbl>
    <w:p>
      <w:pPr>
        <w:pStyle w:val="Normal"/>
        <w:spacing w:lineRule="auto" w:line="240" w:before="0" w:after="40"/>
        <w:rPr/>
      </w:pPr>
      <w:r>
        <w:rPr/>
      </w:r>
    </w:p>
    <w:p>
      <w:pPr>
        <w:pStyle w:val="Heading1"/>
        <w:keepNext w:val="true"/>
        <w:spacing w:lineRule="auto" w:line="240" w:before="100" w:after="20"/>
        <w:rPr/>
      </w:pPr>
      <w:r>
        <w:rPr/>
        <w:t>2. Admissions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Conditions, étapes, pièces, frais et accompagnement des familles pour l’année scolaire 2026-2027.</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identifie le service et la page qui présentent les conditions d’accès à l’école et l’accompagnement administratif des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constitue le point d’entrée officiel du parcours d’admission et rassemble les informations essentielles avant toute démarche.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 ; dossier complet ; pièces ; frais ; programmes ; visite ; contact ; documentation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Conditions, étapes, pièces, frais et accompagnement des familles pour l’année scolaire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catégories d’information sont annoncées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conditions, les étapes, les pièces, les frais et l’accompagnement des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Pour quelle année scolaire ces informations sont-elles présentées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Pour l’année scolaire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 page se limite-t-elle aux frais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 traite aussi des conditions, des étapes, des pièces et de l’accompagnement.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qui l’accompagnement est-il destiné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est le rôle général de cette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Présenter le parcours et les références de l’admission.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service institutionnel porte ce parcours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 du GROUPE SCOLAIRE LES ÉMINENTS.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financières et les conditions doivent toujours être confirmées par les canaux officiels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Admissions présente les conditions, les étapes, les pièces, les frais et l’accompagnement pour 2026-2027.</w:t>
            </w:r>
          </w:p>
        </w:tc>
      </w:tr>
    </w:tbl>
    <w:p>
      <w:pPr>
        <w:pStyle w:val="Normal"/>
        <w:spacing w:lineRule="auto" w:line="240" w:before="0" w:after="40"/>
        <w:rPr/>
      </w:pPr>
      <w:r>
        <w:rPr/>
      </w:r>
    </w:p>
    <w:p>
      <w:pPr>
        <w:pStyle w:val="Heading1"/>
        <w:keepNext w:val="true"/>
        <w:spacing w:lineRule="auto" w:line="240" w:before="100" w:after="20"/>
        <w:rPr/>
      </w:pPr>
      <w:r>
        <w:rPr/>
        <w:t>3. Bienvenue dans le parcours d’admission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Notre objectif est de rendre chaque étape claire. La préinscription manifeste l’intérêt de la famille ; l’inscription définitive intervient après l’étude du dossier, la disponibilité d’une place, la conformité de l’âge et du niveau, et l’accomplissement des formalités prévues.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accueille la famille et explique immédiatement la logique générale du parcours.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évite la confusion entre une simple manifestation d’intérêt et une admission effectivement validée.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Prise d’information ; préinscription ; étude du dossier ; disponibilité des places ; conformité âge-niveau ; formalités ; décision.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Bienvenue dans le parcours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Notre objectif est de rendre chaque étape claire. La préinscription manifeste l’intérêt de la famille ; l’inscription définitive intervient après l’étude du dossier, la disponibilité d’une place, la conformité de l’âge et du niveau, et l’accomplissement des formalités prévues.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l’objectif déclaré de l’école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Rendre chaque étape claire.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manifeste la préinscription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Quand l’inscription définitive intervient-elle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Après l’étude du dossier, la disponibilité d’une place, la conformité de l’âge et du niveau, et l’accomplissement des formalités prévues.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préinscription vaut-elle admission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manifeste 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condition matérielle est vérifiée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disponibilité d’une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conformités sont examinées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conformité de l’âge et du niveau.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Même un dossier complet ne garantit pas automatiquement une place : la décision dépend aussi de la disponibilité et de la conformité du profil demandé.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parcours distingue la préinscription de l’inscription définitive, qui dépend de plusieurs vérifications.</w:t>
            </w:r>
          </w:p>
        </w:tc>
      </w:tr>
    </w:tbl>
    <w:p>
      <w:pPr>
        <w:pStyle w:val="Normal"/>
        <w:spacing w:lineRule="auto" w:line="240" w:before="0" w:after="40"/>
        <w:rPr/>
      </w:pPr>
      <w:r>
        <w:rPr/>
      </w:r>
    </w:p>
    <w:p>
      <w:pPr>
        <w:pStyle w:val="Heading1"/>
        <w:keepNext w:val="true"/>
        <w:spacing w:lineRule="auto" w:line="240" w:before="100" w:after="20"/>
        <w:rPr/>
      </w:pPr>
      <w:r>
        <w:rPr/>
        <w:t>4. 1. Prise d’information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Découvrez l’école, les programmes, les valeurs, les horaires et les conditions.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première étape invite la famille à comprendre le projet éducatif avant de déposer une demande.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Une décision éclairée réduit les inscriptions inadaptées et favorise l’adhésion de la famille au projet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À propos ; Programmes ; Valeurs ; Vie scolaire ; Horaires ; Conditions d’admission ; Visite du campus.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 Prise d’information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Découvrez l’école, les programmes, les valeurs, les horaires et les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doit d’abord découvrir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contenus pédagogiques doivent être consultés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programmes.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dimension institutionnelle doit être comprise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valeurs.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aspect pratique est mentionné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horaires.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règles doivent être examinées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Cette étape vient-elle avant la préinscription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Elle constitue la première étape du parcours.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prise d’information ne constitue ni une demande ni une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découvre l’école, les programmes, les valeurs, les horaires et les conditions.</w:t>
            </w:r>
          </w:p>
        </w:tc>
      </w:tr>
    </w:tbl>
    <w:p>
      <w:pPr>
        <w:pStyle w:val="Normal"/>
        <w:spacing w:lineRule="auto" w:line="240" w:before="0" w:after="40"/>
        <w:rPr/>
      </w:pPr>
      <w:r>
        <w:rPr/>
      </w:r>
    </w:p>
    <w:p>
      <w:pPr>
        <w:pStyle w:val="Heading1"/>
        <w:keepNext w:val="true"/>
        <w:spacing w:lineRule="auto" w:line="240" w:before="100" w:after="20"/>
        <w:rPr/>
      </w:pPr>
      <w:r>
        <w:rPr/>
        <w:t>5. 2.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Indiquez vos coordonnées, le niveau souhaité et votre disponibilité pour un entretien ou une visite.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désigne la première démarche concrète par laquelle la famille manifeste son intérêt.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au service Admissions de reprendre contact, de vérifier le niveau demandé et d’organiser la suite.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de préinscription ; coordonnées ; niveau ; entretien ; visite ;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2.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Indiquez vos coordonnées, le niveau souhaité et votre disponibilité pour un entretien ou une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informations de contact sont demandées de manière générale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coordonnées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information scolaire doit être indiquée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niveau souhaité.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Pour quel échange la disponibilité peut-elle être donnée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Pour un entretien.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autre possibilité de rencontre est mentionnée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préinscription est-elle la deuxième étape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quoi sert cette étape dans le parcours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manifester l’intérêt et à permettre l’organisation de 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préinscription ne constitue pas encore une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communique ses coordonnées, le niveau souhaité et sa disponibilité pour un entretien ou une visite.</w:t>
            </w:r>
          </w:p>
        </w:tc>
      </w:tr>
    </w:tbl>
    <w:p>
      <w:pPr>
        <w:pStyle w:val="Normal"/>
        <w:spacing w:lineRule="auto" w:line="240" w:before="0" w:after="40"/>
        <w:rPr/>
      </w:pPr>
      <w:r>
        <w:rPr/>
      </w:r>
    </w:p>
    <w:p>
      <w:pPr>
        <w:pStyle w:val="Heading1"/>
        <w:keepNext w:val="true"/>
        <w:spacing w:lineRule="auto" w:line="240" w:before="100" w:after="20"/>
        <w:rPr/>
      </w:pPr>
      <w:r>
        <w:rPr/>
        <w:t>6. 3. Constitution du dossier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Fournissez les pièces demandées et les informations nécessaires concernant l’enfant et ses responsables.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désigne la phase de rassemblement et de vérification des informations nécessaires à l’étude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dossier structuré permet à l’école d’évaluer la demande, de sécuriser les responsabilités et de préparer l’accueil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Pièces à fournir ; identité de l’enfant ; responsables légaux ; santé ; urgences ; parcours scolaire ; contrôle documentaire.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 Constitution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Fournissez les pièces demandées et les informations nécessaires concernant l’enfant et ses responsables.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doit fournir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pièces demandées.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informations doivent accompagner les pièces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nécessaires.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qui une partie des informations se rapporte-t-elle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qui l’autre partie se rapporte-t-elle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ses responsables.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Cette étape précède-t-elle la décision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Elle prépare l’étude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Où la liste détaillée des pièces est-elle développée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la page « Pièces à fournir » et dans l’étape documentaire du dossier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liste exacte peut varier selon l’âge, le niveau et la situation particulière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fournit les pièces et informations nécessaires sur l’enfant et ses responsables.</w:t>
            </w:r>
          </w:p>
        </w:tc>
      </w:tr>
    </w:tbl>
    <w:p>
      <w:pPr>
        <w:pStyle w:val="Normal"/>
        <w:spacing w:lineRule="auto" w:line="240" w:before="0" w:after="40"/>
        <w:rPr/>
      </w:pPr>
      <w:r>
        <w:rPr/>
      </w:r>
    </w:p>
    <w:p>
      <w:pPr>
        <w:pStyle w:val="Heading1"/>
        <w:keepNext w:val="true"/>
        <w:spacing w:lineRule="auto" w:line="240" w:before="100" w:after="20"/>
        <w:rPr/>
      </w:pPr>
      <w:r>
        <w:rPr/>
        <w:t>7. 4. Décision et confirmation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décision peut être : admis, liste d’attente ou non retenu. Une admission favorable est ensuite confirmée selon la procédure financière.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distingue la décision d’admission de sa confirmation administrative et financière.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section clarifie les résultats possibles et évite de considérer la simple transmission du dossier comme une admission acquise.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Étude du dossier ; admission ; liste d’attente ; non retenu ; confirmation ; frais ; reçu officiel.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4. Décision et confirmation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décision peut être : admis, liste d’attente ou non retenu. Une admission favorable est ensuite confirmée selon la procédure financière.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sont les trois résultats possibles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 liste d’attente ou non retenu.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se passe-t-il après une admission favorable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Elle est confirmée selon la procédure financière.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 liste d’attente équivaut-elle à une admission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Un dossier transmis garantit-il le statut « admis »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Une décision doit être prise.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procédure intervient après une décision favorable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procédure financière.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résultat indique que la candidature n’est pas acceptée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retenu.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confirmation financière ne doit intervenir qu’après une décision favorable et par les canaux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décision peut être admis, liste d’attente ou non retenu ; l’admission favorable est ensuite confirmée financièrement.</w:t>
            </w:r>
          </w:p>
        </w:tc>
      </w:tr>
    </w:tbl>
    <w:p>
      <w:pPr>
        <w:pStyle w:val="Normal"/>
        <w:spacing w:lineRule="auto" w:line="240" w:before="0" w:after="40"/>
        <w:rPr/>
      </w:pPr>
      <w:r>
        <w:rPr/>
      </w:r>
    </w:p>
    <w:p>
      <w:pPr>
        <w:pStyle w:val="Heading1"/>
        <w:keepNext w:val="true"/>
        <w:spacing w:lineRule="auto" w:line="240" w:before="100" w:after="20"/>
        <w:rPr/>
      </w:pPr>
      <w:r>
        <w:rPr/>
        <w:t>8. Pièces généralement demandées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Fiche d’inscription remplie, acte de naissance ou identité de l’enfant, photos récentes, bulletins ou attestations antérieurs si applicable, informations sanitaires utiles, pièces d’identité et coordonnées des responsables légaux.</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donne une première liste pratique avant la consultation de la page documentaire détaillée.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aide les familles à anticiper les documents, réduit les retards et soutient la vérification de l’identité, du parcours, de la santé et des responsabilités.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Constitution du dossier ; Pièces à fournir ; Étape 11 ; santé ; responsables légaux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Pièces généralement demandées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Fiche d’inscription remplie, acte de naissance ou identité de l’enfant, photos récentes, bulletins ou attestations antérieurs si applicable, informations sanitaires utiles, pièces d’identité et coordonnées des responsables légaux.</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formulaire doit être dûment rempli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fiche d’inscription.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document d’état civil de l’enfant est demandé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copie de l’acte de naissance ou un document d’identité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type de photos est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photos d’identité récentes.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documents scolaires antérieurs peuvent être requis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bulletins ou attestations de l’école précédente, lorsque cela s’applique.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informations de santé sont notamment citées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allergies et les personnes à contacter en 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documents concernent les responsables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Leurs pièces d’identité et leurs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 confirme la liste exacte selon l’âge, le niveau et la situation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prépare les pièces d’identité, scolaires, sanitaires et les informations des responsables.</w:t>
            </w:r>
          </w:p>
        </w:tc>
      </w:tr>
    </w:tbl>
    <w:p>
      <w:pPr>
        <w:pStyle w:val="Normal"/>
        <w:spacing w:lineRule="auto" w:line="240" w:before="0" w:after="40"/>
        <w:rPr/>
      </w:pPr>
      <w:r>
        <w:rPr/>
      </w:r>
    </w:p>
    <w:p>
      <w:pPr>
        <w:pStyle w:val="Heading1"/>
        <w:keepNext w:val="true"/>
        <w:spacing w:lineRule="auto" w:line="240" w:before="100" w:after="20"/>
        <w:rPr/>
      </w:pPr>
      <w:r>
        <w:rPr/>
        <w:t>9. Référence financière 2026-2027</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scolarité annuelle de référence est de 370 USD, organisée en dix mois, avec trois tranches de 150 USD, 120 USD et 100 USD. Les frais d’inscription, de réinscription et toute mise à jour doivent être confirmés avant paiement. Chaque paiement exige un reçu officiel numéroté.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situe clairement les montants dans une année scolaire précise et les présente comme références officielles à vérifier.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transparence financière protège les familles, facilite la planification et limite les paiements frauduleux ou non reconnus.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et modalités ; engagement financier ; échéancier ; reçu ; Finance ; Admissions ; communication officielle.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Référence financière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scolarité annuelle de référence est de 370 USD, organisée en dix mois, avec trois tranches de 150 USD, 120 USD et 100 USD. Les frais d’inscription, de réinscription et toute mise à jour doivent être confirmés avant paiement. Chaque paiement exige un reçu officiel numéroté.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montant annuel de référence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370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Sur combien de mois la scolarité est-elle organisée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Dix mois.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sont les montants des trois tranches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150 USD, 120 USD et 100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frais doivent être confirmés avant paiement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frais d’inscription, de réinscription et toute mise à jour.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document doit suivre chaque paiement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reçu officiel numéroté.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Sur quelle base ne faut-il pas verser de fonds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Sur la base d’un message non validé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Seule une communication institutionnelle officielle peut confirmer ou modifier les références financières.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référence annuelle est de 370 USD en trois tranches, avec reçu officiel obligatoire.</w:t>
            </w:r>
          </w:p>
        </w:tc>
      </w:tr>
    </w:tbl>
    <w:p>
      <w:pPr>
        <w:pStyle w:val="Normal"/>
        <w:spacing w:lineRule="auto" w:line="240" w:before="0" w:after="40"/>
        <w:rPr/>
      </w:pPr>
      <w:r>
        <w:rPr/>
      </w:r>
    </w:p>
    <w:p>
      <w:pPr>
        <w:pStyle w:val="Heading1"/>
        <w:keepNext w:val="true"/>
        <w:spacing w:lineRule="auto" w:line="240" w:before="100" w:after="20"/>
        <w:rPr/>
      </w:pPr>
      <w:r>
        <w:rPr/>
        <w:t>10. Documentation associée aux Admissions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LIEN ET DOCUMENTATION PUBLIÉS</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renvoie à « Documentation publique » — GSE-PUB-ADM-001, publié en FR/EN — et à la « Politique de confidentialité » — GSE-PUB-PRI-001, publiée en FR/EN — ainsi qu’à la bibliothèque de documentation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relie la page pratique aux textes institutionnels qui encadrent la procédure et la protection des 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documentation versionnée améliore la traçabilité, permet le contrôle des références et fournit une base stable à ÉMINA et au personnel.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Documentation publique ; Politique de confidentialité ; GSE-PUB-ADM-001 ; GSE-PUB-PRI-001 ; FR/EN ; ÉMINA ; Assurance qualité.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Documentation associée aux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renvoie à « Documentation publique » — GSE-PUB-ADM-001, publié en FR/EN — et à la « Politique de confidentialité » — GSE-PUB-PRI-001, publiée en FR/EN — ainsi qu’à 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porte le code GSE-PUB-ADM-001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documentation publique relative aux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document porte le code GSE-PUB-PRI-001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Politique de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est le statut indiqué pour ces documents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Publié.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Dans quelles langues sont-ils signalés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 français et en anglais, 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Vers quel espace la page propose-t-elle de poursuivre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 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Pourquoi la politique de confidentialité est-elle liée aux Admissions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Parce que la procédure traite des informations personnelles et parfois sensibles.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documents doivent être consultés dans leur version publiée la plus récente.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Admissions est relié à une documentation publique et à une politique de confidentialité versionnées.</w:t>
            </w:r>
          </w:p>
        </w:tc>
      </w:tr>
    </w:tbl>
    <w:p>
      <w:pPr>
        <w:pStyle w:val="Normal"/>
        <w:spacing w:lineRule="auto" w:line="240" w:before="0" w:after="40"/>
        <w:rPr/>
      </w:pPr>
      <w:r>
        <w:rPr/>
      </w:r>
    </w:p>
    <w:p>
      <w:pPr>
        <w:pStyle w:val="Heading1"/>
        <w:keepNext w:val="true"/>
        <w:spacing w:lineRule="auto" w:line="240" w:before="100" w:after="20"/>
        <w:rPr/>
      </w:pPr>
      <w:r>
        <w:rPr/>
        <w:t>11. Accueil des familles et partenariat école–famille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ILLUSTRATIONS ET LÉGENDES PUBLIÉES</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 Accueil des familles » : un échange clair pour comprendre le besoin et expliquer le parcours. « Partenariat école–famille » : une relation de confiance dès les premiers échanges.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intitulés traduisent visuellement la dimension humaine de la procédure d’admission.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Ils rappellent que l’admission n’est pas seulement documentaire : elle repose aussi sur l’écoute, l’orientation et la confiance réciproque.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Entretien ; visite ; communication ; Préinscription ; Espace Parents ; Vie scolaire ; Contact ; accompagnement.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Accueil des familles et partenariat école–famille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 Accueil des familles » : un échange clair pour comprendre le besoin et expliquer le parcours. « Partenariat école–famille » : une relation de confiance dès les premiers échanges.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but de l’accueil des familles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Comprendre le besoin et expliquer le parcours.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l’échange avec la famille doit-il être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Clair.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type de relation est recherché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relation de confiance.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Quand ce partenariat commence-t-il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Dès les premiers échanges.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 doit comprendre l’école lors de l’accueil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besoin de la famille et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 doit expliquer l’école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parcours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relation de confiance accompagne la procédure mais ne remplace pas les conditions, les pièces et la décision formelle.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 accueille, écoute, explique et construit une relation de confiance avec la famille.</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 SOUS-MENU « PRÉINSCRIPTION »</w:t>
      </w:r>
    </w:p>
    <w:p>
      <w:pPr>
        <w:pStyle w:val="Normal"/>
        <w:keepNext w:val="true"/>
        <w:spacing w:lineRule="auto" w:line="240" w:before="0" w:after="160"/>
        <w:rPr/>
      </w:pPr>
      <w:r>
        <w:rPr>
          <w:rFonts w:eastAsia="Aptos" w:ascii="Aptos" w:hAnsi="Aptos"/>
          <w:b w:val="false"/>
          <w:i/>
          <w:color w:val="5B6777"/>
          <w:sz w:val="19"/>
        </w:rPr>
        <w:t>Demande de contact, informations du formulaire, suivi et documentation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12.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Manifestez votre intérêt pour une place en Maternelle ou au Primaire et demandez l’accompagnement de notre équipe. La préinscription permet d’exprimer l’intérêt de la famille et de préparer les prochaines étapes.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désigne la démarche initiale et volontaire de la famille avant l’étude complète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transforme l’intérêt en demande de contact structurée et oriente rapidement la famille vers le niveau concerné.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Maternelle ; Primaire ; Demande de contact ; visite ; dossier complet ;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Manifestez votre intérêt pour une place en Maternelle ou au Primaire et demandez l’accompagnement de notre équipe. La préinscription permet d’exprimer l’intérêt de la famille et de préparer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Pour quels niveaux une place peut-elle être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Pour la Maternelle ou le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manifeste la famille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Son intérêt pour 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accompagnement peut-elle demander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L’accompagnement de l’équipe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 permet d’exprimer la préinscription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 permet-elle de préparer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Comment la démarche est-elle présentée dans l’illustration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Comme une démarche à commencer en toute simplicité.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préinscription n’est pas une décision d’admission et ne garantit pas 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exprime l’intérêt pour la Maternelle ou le Primaire et prépare la suite.</w:t>
            </w:r>
          </w:p>
        </w:tc>
      </w:tr>
    </w:tbl>
    <w:p>
      <w:pPr>
        <w:pStyle w:val="Normal"/>
        <w:spacing w:lineRule="auto" w:line="240" w:before="0" w:after="40"/>
        <w:rPr/>
      </w:pPr>
      <w:r>
        <w:rPr/>
      </w:r>
    </w:p>
    <w:p>
      <w:pPr>
        <w:pStyle w:val="Heading1"/>
        <w:keepNext w:val="true"/>
        <w:spacing w:lineRule="auto" w:line="240" w:before="100" w:after="20"/>
        <w:rPr/>
      </w:pPr>
      <w:r>
        <w:rPr/>
        <w:t>13. Demande de préinscription et informations du formulaire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formulaire demande le nom du parent ou responsable, le téléphone, le courriel, le niveau demandé, l’âge approximatif de l’enfant, la disponibilité pour une visite et une question ou précision. Il s’agit d’une demande de contact, non d’une admission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explicite les données minimales nécessaires pour que le service Admissions puisse recontacter et orienter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formulaire court facilite le premier contact tout en recueillant les informations indispensables à la préparation de l’entretien ou de la visite.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Coordonnées ; Maternelle ; Primaire ; âge ; visite ; consentement de contact ; service Admissions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Demande de préinscription et informations du formulaire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demande le nom du parent ou responsable, le téléphone, le courriel, le niveau demandé, l’âge approximatif de l’enfant, la disponibilité pour une visite et une question ou précision. Il s’agit d’une demande de contact, non d’une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nom doit être indiqué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du parent ou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moyen de contact est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courriel est-il prévu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un champ courriel est prévu.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choix sont proposés pour le niveau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Maternelle ou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information sur l’enfant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âge approximatif.</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deux informations complémentaires peuvent être données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disponibilité pour une visite et une question ou précision.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indique explicitement que la demande ne constitue pas encore l’admission définitive et nécessite l’autorisation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recueille les coordonnées, le niveau, l’âge, la disponibilité et les précisions utiles pour un premier contact.</w:t>
            </w:r>
          </w:p>
        </w:tc>
      </w:tr>
    </w:tbl>
    <w:p>
      <w:pPr>
        <w:pStyle w:val="Normal"/>
        <w:spacing w:lineRule="auto" w:line="240" w:before="0" w:after="40"/>
        <w:rPr/>
      </w:pPr>
      <w:r>
        <w:rPr/>
      </w:r>
    </w:p>
    <w:p>
      <w:pPr>
        <w:pStyle w:val="Heading1"/>
        <w:keepNext w:val="true"/>
        <w:spacing w:lineRule="auto" w:line="240" w:before="100" w:after="20"/>
        <w:rPr/>
      </w:pPr>
      <w:r>
        <w:rPr/>
        <w:t>14. Après l’envoi de la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Après l’envoi : la demande est enregistrée de manière sécurisée ; un agent vérifie le niveau demandé et les coordonnées ; la famille reçoit les informations sur la visite, le dossier et les prochaines étapes ; l’admission définitive reste soumise à l’étude du dossier et à la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explique ce qui se passe après l’action de la famille et réduit l’incertitude sur le suivi de la demande.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définit un enchaînement de traitement, responsabilise le service Admissions et rappelle les conditions de la décision finale.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Enregistrement sécurisé ; vérification ; contact ; visite ; dossier ; étude ; disponibilité des places ; décision.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Après l’envoi de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Après l’envoi : la demande est enregistrée de manière sécurisée ; un agent vérifie le niveau demandé et les coordonnées ; la famille reçoit les informations sur la visite, le dossier et les prochaines étapes ; l’admission définitive reste soumise à l’étude du dossier et à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devient la demande après l’envoi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Elle est enregistrée de manière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vérifie la demande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éléments l’agent vérifie-t-il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niveau demandé et les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informations la famille reçoit-elle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sur la visite, le dossier et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À quoi l’admission définitive reste-t-elle soumise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l’étude du dossier et à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Combien d’étapes de suivi sont énumérées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Quatre.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L’enregistrement sécurisé d’une demande ne vaut pas validation du dossier ni réservation définitive d’une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demande est enregistrée, vérifiée, suivie d’informations, puis soumise à l’étude du dossier et aux places disponibles.</w:t>
            </w:r>
          </w:p>
        </w:tc>
      </w:tr>
    </w:tbl>
    <w:p>
      <w:pPr>
        <w:pStyle w:val="Normal"/>
        <w:spacing w:lineRule="auto" w:line="240" w:before="0" w:after="40"/>
        <w:rPr/>
      </w:pPr>
      <w:r>
        <w:rPr/>
      </w:r>
    </w:p>
    <w:p>
      <w:pPr>
        <w:pStyle w:val="Heading1"/>
        <w:keepNext w:val="true"/>
        <w:spacing w:lineRule="auto" w:line="240" w:before="100" w:after="20"/>
        <w:rPr/>
      </w:pPr>
      <w:r>
        <w:rPr/>
        <w:t>15. Documentation associée à la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LIEN ET DOCUMENTATION PUBLIÉS</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de préinscription renvoie au document « Admissions » GSE-PUB-ADM-001 et à la « Politique de confidentialité » GSE-PUB-PRI-001, tous deux publiés en FR/EN, ainsi qu’à la bibliothèque documentaire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assure que la demande de contact est accompagnée des références de procédure et de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liens permettent à la famille de comprendre le traitement de sa demande et donnent au dispositif une base documentaire contrôlable.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confidentialité ; consentement ; documentation publique ; GSE-PUB-ADM-001 ; GSE-PUB-PRI-001 ; FR/EN.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Documentation associée à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de préinscription renvoie au document « Admissions » GSE-PUB-ADM-001 et à la « Politique de confidentialité » GSE-PUB-PRI-001, tous deux publiés en FR/EN, ainsi qu’à la bibliothèque documentaire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explique la procédure d’admission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code GSE-PUB-ADM-001.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document encadre les données personnelles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Politique de confidentialité, code GSE-PUB-PRI-001.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statut est affiché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Publié.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langues sont indiquées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autre accès documentaire est proposé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Ces références sont-elles liées à la demande de contact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elles sont affichées comme documentation associée.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famille doit se référer aux versions publiées et à jour de ces documents.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est reliée aux documents Admissions et Confidentialité publiés en français et en anglais.</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III. SOUS-MENU « INSCRIPTION DÉFINITIVE — COMPLÉTER MON DOSSIER »</w:t>
      </w:r>
    </w:p>
    <w:p>
      <w:pPr>
        <w:pStyle w:val="Normal"/>
        <w:keepNext w:val="true"/>
        <w:spacing w:lineRule="auto" w:line="240" w:before="0" w:after="160"/>
        <w:rPr/>
      </w:pPr>
      <w:r>
        <w:rPr>
          <w:rFonts w:eastAsia="Aptos" w:ascii="Aptos" w:hAnsi="Aptos"/>
          <w:b w:val="false"/>
          <w:i/>
          <w:color w:val="5B6777"/>
          <w:sz w:val="19"/>
        </w:rPr>
        <w:t>Fiche complète de GSE Admissions en 14 étapes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16. Inscription définitive — Compléter mon dossier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ET FORMULAIRE PUBLIÉS</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Fiche complète d’inscription en 14 étapes, conforme au parcours fonctionnel de GSE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identifie l’outil de constitution détaillée du dossier après la phase initiale de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centralise les informations administratives, scolaires, sécuritaires, sanitaires, financières et les consentements nécessaires à l’étude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GSE Admissions ; Préinscription ; 14 étapes ; pièces ; santé ; protection ; consentements ; frais ; signature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Inscription définitive — Compléter mon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Fiche complète d’inscription en 14 étapes, conforme au parcours fonctionnel de 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Combien d’étapes comprend la fiche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Quatorze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quel parcours fonctionnel la fiche est-elle conforme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parcours fonctionnel de 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action le titre invite-t-il à réaliser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Compléter 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est-elle un simple formulaire de contact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C’est une fiche complète d’inscription en 14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système institutionnel structure ce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transmission finale vaut-elle automatiquement décision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Le formulaire précise que l’envoi ne constitue pas une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Malgré l’intitulé « inscription définitive », la soumission reste soumise à la vérification et à la décision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permet de compléter une fiche d’inscription structurée en 14 étapes dans GSE Admissions.</w:t>
            </w:r>
          </w:p>
        </w:tc>
      </w:tr>
    </w:tbl>
    <w:p>
      <w:pPr>
        <w:pStyle w:val="Normal"/>
        <w:spacing w:lineRule="auto" w:line="240" w:before="0" w:after="40"/>
        <w:rPr/>
      </w:pPr>
      <w:r>
        <w:rPr/>
      </w:r>
    </w:p>
    <w:p>
      <w:pPr>
        <w:pStyle w:val="Heading1"/>
        <w:keepNext w:val="true"/>
        <w:spacing w:lineRule="auto" w:line="240" w:before="100" w:after="20"/>
        <w:rPr/>
      </w:pPr>
      <w:r>
        <w:rPr/>
        <w:t>17. Fiche complète d’inscription 2026-2027 et confidentialité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INTRODUCTIVE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fiche couvre : demande et niveau, identité de l’enfant, parcours scolaire, responsables légaux, urgences, santé déclarée, traitements, besoins particuliers, vie scolaire, numérique et consentements, pièces, engagement financier, signatures et validation. Les données sont enregistrées dans un dossier privé accessible uniquement aux administrateurs habilités ; les pièces sensibles ne sont pas téléversées publiquement.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résume l’étendue du dossier et place immédiatement la confidentialité parmi les conditions de fonctionnement.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section informe la famille de la nature des données demandées et des protections prévues avant qu’elle ne commence la saisie.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14 étapes ; dossier privé ; administrateurs habilités ; canal sécurisé ; pièces sensibles ; Politique de confidentialité ; ÉMINA ; EMA.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Fiche complète d’inscription 2026-2027 et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fiche couvre : demande et niveau, identité de l’enfant, parcours scolaire, responsables légaux, urgences, santé déclarée, traitements, besoins particuliers, vie scolaire, numérique et consentements, pièces, engagement financier, signatures et validation. Les données sont enregistrées dans un dossier privé accessible uniquement aux administrateurs habilités ; les pièces sensibles ne sont pas téléversées publiquement.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grands domaines la fiche couvre-t-elle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demande, l’identité, le parcours scolaire, les responsables, les urgences, la santé, les traitements, les besoins, la vie scolaire, le numérique, les pièces, les finances, les signatures et la validation.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Où les informations sont-elles enregistrées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un dossier privé.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Qui peut accéder à ce dossier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Uniquement les administrateurs habilités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pièces sensibles sont-elles téléversées publiquement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Comment leur vérification se poursuit-elle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 le canal sécurisé communiqué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Comment les champs obligatoires sont-ils signalés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confidentialité annoncée n’autorise pas la transmission de mots de passe ni d’informations inutiles au traitement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fiche couvre 14 domaines et protège les données dans un dossier privé avec vérification sécurisée des pièces sensibles.</w:t>
            </w:r>
          </w:p>
        </w:tc>
      </w:tr>
    </w:tbl>
    <w:p>
      <w:pPr>
        <w:pStyle w:val="Normal"/>
        <w:spacing w:lineRule="auto" w:line="240" w:before="0" w:after="40"/>
        <w:rPr/>
      </w:pPr>
      <w:r>
        <w:rPr/>
      </w:r>
    </w:p>
    <w:p>
      <w:pPr>
        <w:pStyle w:val="Heading1"/>
        <w:keepNext w:val="true"/>
        <w:spacing w:lineRule="auto" w:line="240" w:before="100" w:after="20"/>
        <w:rPr/>
      </w:pPr>
      <w:r>
        <w:rPr/>
        <w:t>18. Étape 1 — Identification de la demande et niveau sollicité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le type de demande, l’année scolaire, le niveau sollicité, la langue de communication souhaitée et une précision initiale éventuelle.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identifie la nature administrative de la demande avant de recueillir les données personnelles détaillées.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de router le dossier vers le bon niveau, la bonne année et le bon mode de communication.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Nouvelle inscription ; réinscription ; Maternelle ; Primaire ; français ; English ; bilingue ;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 — Identification de la demande et niveau sollicité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le type de demande, l’année scolaire, le niveau sollicité, la langue de communication souhaitée et une précision initiale éventuelle.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types de demande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Nouvelle inscription ou 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période doit être indiquée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L’année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niveaux maternels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Petite Section, Moyenne Section et Grande Section.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niveaux primaires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1re, 2e, 3e et 4e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langues de communication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Français, English ou Français–English.</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champ libre est prévu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précision initiale ou demande particulière.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demande de ne fournir aucun mot de passe ni information confidentielle inutile.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 identifie le type de demande, l’année, le niveau et la langue de communication.</w:t>
            </w:r>
          </w:p>
        </w:tc>
      </w:tr>
    </w:tbl>
    <w:p>
      <w:pPr>
        <w:pStyle w:val="Normal"/>
        <w:spacing w:lineRule="auto" w:line="240" w:before="0" w:after="40"/>
        <w:rPr/>
      </w:pPr>
      <w:r>
        <w:rPr/>
      </w:r>
    </w:p>
    <w:p>
      <w:pPr>
        <w:pStyle w:val="Heading1"/>
        <w:keepNext w:val="true"/>
        <w:spacing w:lineRule="auto" w:line="240" w:before="100" w:after="20"/>
        <w:rPr/>
      </w:pPr>
      <w:r>
        <w:rPr/>
        <w:t>19. Étape 2 — Identité complète de l’enfant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 nom, les prénoms, le nom usuel, le sexe, la date et le lieu de naissance, la nationalité, la langue maternelle, les autres langues et l’adresse de résidence.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garantit l’identification fiable de l’enfant dans le dossier 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Des données identitaires exactes sont indispensables pour les documents officiels, le classement du dossier et la communication avec les services.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Acte de naissance ; pièce d’identité ; langue maternelle ; bilinguisme ; pièces justificatives.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2 — Identité complète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 nom, les prénoms, le nom usuel, le sexe, la date et le lieu de naissance, la nationalité, la langue maternelle, les autres langues et l’adresse de résidence.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noms sont demandés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de famille, les prénoms et, le cas échéant, le nom usuel.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donnée relative au sexe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Féminin ou Masculin.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informations de naissance sont requises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date et le lieu de naissance.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citoyenneté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nationalité.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informations linguistiques sont prévues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langue maternelle et les autres langues comprises ou parlées.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donnée de localisation est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L’adresse de résidence.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doivent correspondre aux pièces d’état civil qui seront vérifiées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2 recueille toutes les données nécessaires à l’identité complète de l’enfant.</w:t>
            </w:r>
          </w:p>
        </w:tc>
      </w:tr>
    </w:tbl>
    <w:p>
      <w:pPr>
        <w:pStyle w:val="Normal"/>
        <w:spacing w:lineRule="auto" w:line="240" w:before="0" w:after="40"/>
        <w:rPr/>
      </w:pPr>
      <w:r>
        <w:rPr/>
      </w:r>
    </w:p>
    <w:p>
      <w:pPr>
        <w:pStyle w:val="Heading1"/>
        <w:keepNext w:val="true"/>
        <w:spacing w:lineRule="auto" w:line="240" w:before="100" w:after="20"/>
        <w:rPr/>
      </w:pPr>
      <w:r>
        <w:rPr/>
        <w:t>20. Étape 3 — Parcours scolaire ou première entrée à l’école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distingue la première entrée à l’école de la situation d’un enfant déjà scolarisé et recueille l’école de provenance, la dernière classe, le résultat, le motif du changement et les observations pédagogiques.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tient compte à la fois des nouveaux élèves sans antécédent scolaire et de ceux qui changent d’établissement.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information aide à orienter l’enfant, à comprendre ses acquis et à préparer un accompagnement adapté.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Maternelle ; Primaire ; école de provenance ; bulletin ; attestation ; niveau demandé ; besoins particuliers.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3 — Parcours scolaire ou première entrée à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distingue la première entrée à l’école de la situation d’un enfant déjà scolarisé et recueille l’école de provenance, la dernière classe, le résultat, le motif du changement et les observations pédagogiques.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scolaires antérieures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Jamais scolarisé(e) / Première entrée à l’école, ou Déjà scolarisé(e).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établissement antérieur peut être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 de provenance.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classe antérieure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dernière classe fréquentée.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résultats de fin d’année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Réussi, En cours, Redoublant, Inconnu ou Sans objet.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motif peut être expliqué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motif du changement d’école.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accompagnement antérieur peut être signalé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observations pédagogiques ou l’accompagnement déjà reçu.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Pour un enfant jamais scolarisé, les champs de provenance doivent être traités comme non applicables.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3 documente la première entrée ou le parcours scolaire antérieur de l’enfant.</w:t>
            </w:r>
          </w:p>
        </w:tc>
      </w:tr>
    </w:tbl>
    <w:p>
      <w:pPr>
        <w:pStyle w:val="Normal"/>
        <w:spacing w:lineRule="auto" w:line="240" w:before="0" w:after="40"/>
        <w:rPr/>
      </w:pPr>
      <w:r>
        <w:rPr/>
      </w:r>
    </w:p>
    <w:p>
      <w:pPr>
        <w:pStyle w:val="Heading1"/>
        <w:keepNext w:val="true"/>
        <w:spacing w:lineRule="auto" w:line="240" w:before="100" w:after="20"/>
        <w:rPr/>
      </w:pPr>
      <w:r>
        <w:rPr/>
        <w:t>21. Étape 4 — Responsables légaux et autorité parentale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informations du responsable principal, d’un deuxième responsable éventuel, le lien avec l’enfant, les coordonnées, l’autorité parentale et les restrictions de garde, de contact ou d’autorité.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établit clairement qui représente légalement l’enfant et qui peut prendre des décisions le concernant.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protège l’enfant, sécurise les communications et réduit les risques liés à la garde ou aux décisions non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Responsables légaux ; pièces d’identité ; garde ; autorité parentale ; contacts d’urgence ; sortie sécurisée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4 — Responsables légaux et autorité parentale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informations du responsable principal, d’un deuxième responsable éventuel, le lien avec l’enfant, les coordonnées, l’autorité parentale et les restrictions de garde, de contact ou d’autorité.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données sont obligatoires pour le responsable principal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complet, le lien avec l’enfant et 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liens avec l’enfant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Père, Mère, Tuteur/Tutrice ou Autre.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autres contacts peuvent être fournis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WhatsApp et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situations d’autorité parentale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Confirmée, Partagée, Sous conditions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Un deuxième responsable peut-il être enregistré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le cas échéant.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restrictions doivent être déclarées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restrictions de garde, d’autorité parentale ou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justificatifs peuvent être demandés et la mention « Aucune connue » doit être utilisée lorsqu’elle s’applique.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4 identifie les responsables et précise l’autorité parentale ainsi que les restrictions éventuelles.</w:t>
            </w:r>
          </w:p>
        </w:tc>
      </w:tr>
    </w:tbl>
    <w:p>
      <w:pPr>
        <w:pStyle w:val="Normal"/>
        <w:spacing w:lineRule="auto" w:line="240" w:before="0" w:after="40"/>
        <w:rPr/>
      </w:pPr>
      <w:r>
        <w:rPr/>
      </w:r>
    </w:p>
    <w:p>
      <w:pPr>
        <w:pStyle w:val="Heading1"/>
        <w:keepNext w:val="true"/>
        <w:spacing w:lineRule="auto" w:line="240" w:before="100" w:after="20"/>
        <w:rPr/>
      </w:pPr>
      <w:r>
        <w:rPr/>
        <w:t>22. Étape 5 — Contacts d’urgence et personnes autorisées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un premier contact d’urgence obligatoire, un deuxième contact éventuel, les personnes régulièrement autorisées à récupérer l’enfant et les restrictions ou consignes particulières de sortie.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relie la gestion des urgences à la remise sécurisée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une réaction rapide en cas d’urgence et évite la remise de l’enfant à une personne non autorisée.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 sécurité ; protection de l’enfant ; remise sécurisée ; Espace Parents ; responsables légaux.</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5 — Contacts d’urgence et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un premier contact d’urgence obligatoire, un deuxième contact éventuel, les personnes régulièrement autorisées à récupérer l’enfant et les restrictions ou consignes particulières de sortie.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contact d’urgence est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premier contact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données sont demandées pour ce contact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nom, le lien avec l’enfant et 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Un deuxième contact peut-il être indiqué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Combien de personnes autorisées peuvent être saisies dans la fiche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moins deux emplacements sont prévus.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données sont demandées pour la première personne autorisée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nom, son lien avec l’enfant et son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champ encadre les exceptions de sortie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Restrictions de sortie ou consignes particulières.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présence d’un nom dans le dossier doit rester soumise aux procédures effectives de vérification lors de la sortie.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5 organise les contacts d’urgence et les personnes autorisées à récupérer l’enfant.</w:t>
            </w:r>
          </w:p>
        </w:tc>
      </w:tr>
    </w:tbl>
    <w:p>
      <w:pPr>
        <w:pStyle w:val="Normal"/>
        <w:spacing w:lineRule="auto" w:line="240" w:before="0" w:after="40"/>
        <w:rPr/>
      </w:pPr>
      <w:r>
        <w:rPr/>
      </w:r>
    </w:p>
    <w:p>
      <w:pPr>
        <w:pStyle w:val="Heading1"/>
        <w:keepNext w:val="true"/>
        <w:spacing w:lineRule="auto" w:line="240" w:before="100" w:after="20"/>
        <w:rPr/>
      </w:pPr>
      <w:r>
        <w:rPr/>
        <w:t>23. Étape 6 — Santé déclarée, allergies, vaccination et restrictions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la situation allergique, les catégories d’allergies, l’allergène, la réaction et la gravité, la conduite à tenir, le groupe sanguin si connu, la situation vaccinale, les maladies chroniques et les signes d’alerte.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regroupe les informations de santé que la famille déclare afin de prévenir les risques à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données soutiennent la prévention, la préparation aux urgences et l’adaptation de l’accueil sans transformer le formulaire en dossier clinique.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et sécurité ; EMA ; allergies ; vaccination ; premiers secours ; contacts d’urgence ; besoins particuliers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6 — Santé déclarée, allergies, vaccination et restrictions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la situation allergique, les catégories d’allergies, l’allergène, la réaction et la gravité, la conduite à tenir, le groupe sanguin si connu, la situation vaccinale, les maladies chroniques et les signes d’alerte.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d’allergie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Aucune allergie connue, Allergie déclarée, Inconnu ou Évaluation en cours.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catégories d’allergies sont citées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Alimentaire, Médicamenteuse, Respiratoire/environnementale, Insectes, Cutanée/contact ou Autre.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détails sur l’allergie doivent être précisés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L’allergène, la réaction et la gravité.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préparation d’urgence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conduite à tenir et le médicament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situations vaccinales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jour selon le parent, Carnet vérifié, Partielle, Non à jour, Inconnue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 peut-on déclarer au sujet d’une affection importante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Aucune connue, Déclarée, Inconnue ou Évaluation en cours, avec précisions et signes d’alerte.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sont déclaratives ; les diagnostics et notes cliniques relèvent des professionnels et des modules médicaux habilités.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6 documente allergies, vaccination, maladies importantes, restrictions et conduite à tenir.</w:t>
            </w:r>
          </w:p>
        </w:tc>
      </w:tr>
    </w:tbl>
    <w:p>
      <w:pPr>
        <w:pStyle w:val="Normal"/>
        <w:spacing w:lineRule="auto" w:line="240" w:before="0" w:after="40"/>
        <w:rPr/>
      </w:pPr>
      <w:r>
        <w:rPr/>
      </w:r>
    </w:p>
    <w:p>
      <w:pPr>
        <w:pStyle w:val="Heading1"/>
        <w:keepNext w:val="true"/>
        <w:spacing w:lineRule="auto" w:line="240" w:before="100" w:after="20"/>
        <w:rPr/>
      </w:pPr>
      <w:r>
        <w:rPr/>
        <w:t>24. Étape 7 — Antécédents, traitements et autorisations médicales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traitements, le médecin ou la structure de soins, le contact médical, la couverture éventuelle, les médicaments et ordonnances, ainsi que les autorisations de premiers soins, de transfert urgent et d’administration de médicament.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complète la santé déclarée par les mesures concrètes de prise en charge autorisées par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sécurise les interventions de l’école, limite les ambiguïtés et prépare la coordination avec les services de santé.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EMA ; santé scolaire ; ordonnance ; premiers soins ; urgence ; consentement ; confidentialité ; responsables légaux.</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7 — Antécédents, traitements et autorisations médicales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traitements, le médecin ou la structure de soins, le contact médical, la couverture éventuelle, les médicaments et ordonnances, ainsi que les autorisations de premiers soins, de transfert urgent et d’administration de médicament.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de traitement en cours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Régulier, Temporaire, Suspendu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professionnel ou service peut être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médecin ou la structure de soins habituelle.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détails d’un médicament sont demandés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médicament, la dose, les horaires et la situation de l’ordonnance.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options existent pour les premiers soins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Refusé ou Autorisé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options existent pour un transfert urgent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Autorisé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Comment l’administration d’un médicament déclaré peut-elle être encadrée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sur ordonnance, Refusé, Sans objet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enregistre les déclarations ; les consultations, diagnostics et notes cliniques internes relèvent d’EMA et ne font pas partie de la fiche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7 précise traitements, contacts médicaux et autorisations de soins ou de transfert.</w:t>
            </w:r>
          </w:p>
        </w:tc>
      </w:tr>
    </w:tbl>
    <w:p>
      <w:pPr>
        <w:pStyle w:val="Normal"/>
        <w:spacing w:lineRule="auto" w:line="240" w:before="0" w:after="40"/>
        <w:rPr/>
      </w:pPr>
      <w:r>
        <w:rPr/>
      </w:r>
    </w:p>
    <w:p>
      <w:pPr>
        <w:pStyle w:val="Heading1"/>
        <w:keepNext w:val="true"/>
        <w:spacing w:lineRule="auto" w:line="240" w:before="100" w:after="20"/>
        <w:rPr/>
      </w:pPr>
      <w:r>
        <w:rPr/>
        <w:t>25. Étape 8 — Besoins particuliers, bien-être et talents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les besoins éducatifs ou fonctionnels, la mobilité, l’accompagnement linguistique, les adaptations utiles, les informations de bien-être ou de transition et les talents ou centres d’intérêt.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associe l’inclusion et le bien-être à la reconnaissance des forces et des talents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aide l’école à préparer un accompagnement adapté et à valoriser l’enfant au-delà de ses éventuelles difficultés.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Inclusion ; accompagnement personnalisé ; bilinguisme ; Vie scolaire ; Activités et talents ; santé ; transition 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8 — Besoins particuliers, bien-être et talents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les besoins éducatifs ou fonctionnels, la mobilité, l’accompagnement linguistique, les adaptations utiles, les informations de bien-être ou de transition et les talents ou centres d’intérêt.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de besoin particulier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connu, Déclaré, Inconnu, Non évalué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situations de mobilité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Autonome, Aide ponctuelle, Adaptation nécessaire ou Non évaluée.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options d’accompagnement linguistique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Français, English, Français–English ou À évaluer.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champ permet de proposer des adaptations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Adaptations ou accompagnements 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aspects personnels peuvent être décrits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bien-être, le comportement ou la transition.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forces de l’enfant peuvent être signalées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Ses talents, centres d’intérêt et activités appréciées.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doivent être utilisées pour préparer l’accompagnement et non pour discriminer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8 identifie les besoins, les adaptations, le bien-être et les talents de l’enfant.</w:t>
            </w:r>
          </w:p>
        </w:tc>
      </w:tr>
    </w:tbl>
    <w:p>
      <w:pPr>
        <w:pStyle w:val="Normal"/>
        <w:spacing w:lineRule="auto" w:line="240" w:before="0" w:after="40"/>
        <w:rPr/>
      </w:pPr>
      <w:r>
        <w:rPr/>
      </w:r>
    </w:p>
    <w:p>
      <w:pPr>
        <w:pStyle w:val="Heading1"/>
        <w:keepNext w:val="true"/>
        <w:spacing w:lineRule="auto" w:line="240" w:before="100" w:after="20"/>
        <w:rPr/>
      </w:pPr>
      <w:r>
        <w:rPr/>
        <w:t>26. Étape 9 — Vie scolaire, activités, transport et garderie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autorisations pour les activités et sorties, l’intérêt pour un éventuel transport scolaire, les besoins de garderie ou d’activités après les cours et la présence de frères ou sœurs inscrits ou candidats.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rassemble les services et activités qui organisent la vie de l’enfant autour des cours.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de préparer les autorisations, d’évaluer les besoins des familles et de planifier les services sans créer de promesse prématurée.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Vie scolaire ; Activités et talents ; sorties ; garderie ; transport ; Espace Parents ; fratrie.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9 — Vie scolaire, activités, transport et garderie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autorisations pour les activités et sorties, l’intérêt pour un éventuel transport scolaire, les besoins de garderie ou d’activités après les cours et la présence de frères ou sœurs inscrits ou candidats.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options existent pour les activités scolaires et parascolaires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les sorties pédagogiques peuvent-elles être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avec information préalable,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peut indiquer la famille concernant le transport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besoin ou le souhait d’être informée si le service devient disponible.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options existent pour la garderie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 besoin, Information souhaitée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information familiale supplémentaire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présence de frères ou sœurs inscrits ou candidats.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Un bus scolaire est-il annoncé pour la première année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question sur le transport recueille seulement l’intérêt et ne constitue aucun engagement de transport.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9 recueille les autorisations et besoins liés aux activités, sorties, transport, garderie et fratrie.</w:t>
            </w:r>
          </w:p>
        </w:tc>
      </w:tr>
    </w:tbl>
    <w:p>
      <w:pPr>
        <w:pStyle w:val="Normal"/>
        <w:spacing w:lineRule="auto" w:line="240" w:before="0" w:after="40"/>
        <w:rPr/>
      </w:pPr>
      <w:r>
        <w:rPr/>
      </w:r>
    </w:p>
    <w:p>
      <w:pPr>
        <w:pStyle w:val="Heading1"/>
        <w:keepNext w:val="true"/>
        <w:spacing w:lineRule="auto" w:line="240" w:before="100" w:after="20"/>
        <w:rPr/>
      </w:pPr>
      <w:r>
        <w:rPr/>
        <w:t>27. Étape 10 — Numérique, données, image et communications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choix sur les services numériques sécurisés, l’utilisation de l’image de l’enfant, les restrictions d’image, les canaux de communication et l’autorisation de traiter les données pour l’admission, la scolarité, la sécurité, la communication et les obligations institutionnelles.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réunit les consentements numériques et communicationnels qui doivent être explicites et traçables.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protège les droits de la famille, encadre la communication et donne une base légitime au traitement des 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Confidentialité ; Portail Parents ; ÉMINA ; droit à l’image ; consentement ; communication ; services numériques ; obligations légales.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10 — Numérique, données, image et communications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choix sur les services numériques sécurisés, l’utilisation de l’image de l’enfant, les restrictions d’image, les canaux de communication et l’autorisation de traiter les données pour l’admission, la scolarité, la sécurité, la communication et les obligations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options existent pour les services numériques sécurisés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options existent pour l’image de l’enfant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Refusé ou Restreint /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champ permet de détailler les limites liées à l’image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Restrictions concernant l’image, le cas échéant.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canaux de communication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Téléphone, SMS, WhatsApp, Courriel et Portail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Pour quelles finalités les données peuvent-elles être traitées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 scolarité, sécurité, communication et obligations légales ou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famille doit-elle choisir au moins un canal pratique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consentement ne permet pas d’utiliser les données en dehors des finalités annoncées et doit respecter la politique de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10 encadre les services numériques, l’image, les communications et le traitement des données.</w:t>
            </w:r>
          </w:p>
        </w:tc>
      </w:tr>
    </w:tbl>
    <w:p>
      <w:pPr>
        <w:pStyle w:val="Normal"/>
        <w:spacing w:lineRule="auto" w:line="240" w:before="0" w:after="40"/>
        <w:rPr/>
      </w:pPr>
      <w:r>
        <w:rPr/>
      </w:r>
    </w:p>
    <w:p>
      <w:pPr>
        <w:pStyle w:val="Heading1"/>
        <w:keepNext w:val="true"/>
        <w:spacing w:lineRule="auto" w:line="240" w:before="100" w:after="20"/>
        <w:rPr/>
      </w:pPr>
      <w:r>
        <w:rPr/>
        <w:t>28. Étape 11 — Pièces justificatives et contrôle documentaire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permet de cocher les pièces disponibles : naissance, photo, bulletin, identités des responsables, document d’autorité parentale, vaccination, ordonnance ou plan médical, preuve de paiement et autre document ; elle prévoit aussi le signalement des pièces manquantes, expirées, illisibles ou à fournir.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distingue la déclaration de disponibilité des documents de leur vérification effective par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facilite le contrôle, la relance des pièces manquantes et la conformité du dossier sans exposer publiquement les documents sensibles.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Pièces à fournir ; contrôle des originaux ; canal sécurisé ; identité ; santé ; autorité parentale ; paiement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11 — Pièces justificatives et contrôle documentaire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permet de cocher les pièces disponibles : naissance, photo, bulletin, identités des responsables, document d’autorité parentale, vaccination, ordonnance ou plan médical, preuve de paiement et autre document ; elle prévoit aussi le signalement des pièces manquantes, expirées, illisibles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de naissance peut être coché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L’acte ou l’attestation de naissance.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documents scolaires peuvent être cochés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bulletin ou l’attestation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documents des responsables sont prévus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pièce d’identité du responsable 1 et celle du responsable 2.</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document peut justifier la garde ou l’autorité parentale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document d’autorité parentale / garde.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documents sanitaires sont prévus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carnet de vaccination et l’ordonnance ou le plan médical.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anomalies documentaires peuvent être signalées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Pièces manquantes, expirées, illisibles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vérifie les originaux ou indique le canal sécurisé de dépôt ; cocher une pièce ne remplace pas cette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11 inventorie les pièces disponibles et celles qui restent à corriger ou à fournir.</w:t>
            </w:r>
          </w:p>
        </w:tc>
      </w:tr>
    </w:tbl>
    <w:p>
      <w:pPr>
        <w:pStyle w:val="Normal"/>
        <w:spacing w:lineRule="auto" w:line="240" w:before="0" w:after="40"/>
        <w:rPr/>
      </w:pPr>
      <w:r>
        <w:rPr/>
      </w:r>
    </w:p>
    <w:p>
      <w:pPr>
        <w:pStyle w:val="Heading1"/>
        <w:keepNext w:val="true"/>
        <w:spacing w:lineRule="auto" w:line="240" w:before="100" w:after="20"/>
        <w:rPr/>
      </w:pPr>
      <w:r>
        <w:rPr/>
        <w:t>29. Étape 12 — Engagement financier et échéancier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rappelle 370 USD de scolarité annuelle, les tranches de 150, 120 et 100 USD, les frais d’inscription de 15 USD et de réinscription de 10 USD ; elle identifie la personne responsable des paiements, le canal envisagé et l’engagement à respecter l’échéancier et les canaux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formalise la compréhension et l’acceptation des obligations financières par le responsable.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renforce la transparence, facilite le suivi des échéances et prévient les paiements sur des canaux non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et modalités ; Finance ; reçu officiel ; tranche ; échéancier ; caisse ; banque ; Mobile Money ; responsable légal.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12 — Engagement financier et échéancier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rappelle 370 USD de scolarité annuelle, les tranches de 150, 120 et 100 USD, les frais d’inscription de 15 USD et de réinscription de 10 USD ; elle identifie la personne responsable des paiements, le canal envisagé et l’engagement à respecter l’échéancier et les canaux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montant de la scolarité annuelle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370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sont les montants des trois tranches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150 USD, 120 USD et 100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sont les frais d’inscription et de 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15 USD pour l’inscription et 10 USD pour la 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personne doit être identifiée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personne responsable des 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canaux indicatifs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Caisse de l’école, Banque, Mobile Money lorsque disponible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engagement le responsable prend-il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Respecter l’échéancier et les canaux de paiement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montants restent soumis à toute communication institutionnelle officielle ultérieure et tout paiement exige un reçu numéroté.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12 présente les frais, identifie le payeur et formalise l’engagement sur l’échéancier et les canaux autorisés.</w:t>
            </w:r>
          </w:p>
        </w:tc>
      </w:tr>
    </w:tbl>
    <w:p>
      <w:pPr>
        <w:pStyle w:val="Normal"/>
        <w:spacing w:lineRule="auto" w:line="240" w:before="0" w:after="40"/>
        <w:rPr/>
      </w:pPr>
      <w:r>
        <w:rPr/>
      </w:r>
    </w:p>
    <w:p>
      <w:pPr>
        <w:pStyle w:val="Heading1"/>
        <w:keepNext w:val="true"/>
        <w:spacing w:lineRule="auto" w:line="240" w:before="100" w:after="20"/>
        <w:rPr/>
      </w:pPr>
      <w:r>
        <w:rPr/>
        <w:t>30. Étape 13 — Contrat, déclarations et signature du responsable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responsable certifie l’exactitude des informations, s’engage à signaler les changements de santé, allergies, traitements, garde ou contacts d’urgence, accepte le règlement intérieur, la protection de l’enfant et les valeurs, puis indique son nom, le lieu, la date et signe électroniquement.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transforme les informations saisies en déclarations assumées et traçables par le responsable.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donne une valeur d’engagement au dossier et rappelle les obligations continues de mise à jour des informations.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Règlement intérieur ; protection de l’enfant ; valeurs ; signature ; responsabilité ; santé ; autorité parentale ; traçabilité.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13 — Contrat, déclarations et signature du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responsable certifie l’exactitude des informations, s’engage à signaler les changements de santé, allergies, traitements, garde ou contacts d’urgence, accepte le règlement intérieur, la protection de l’enfant et les valeurs, puis indique son nom, le lieu, la date et signe électroniquement.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certifie le responsable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Que les informations fournies sont exactes, complètes à sa connaissance et vérifiables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changements doit-il signaler rapidement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changements concernant la santé, les allergies, les traitements, la garde ou les contacts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textes et principes accepte-t-il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règlement intérieur, les procédures de protection de l’enfant et les valeurs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données de signature sont demandées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nom complet, le lieu, la date et le spécimen de signature.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Avec quels outils la signature peut-elle être réalisée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Avec la souris, le doigt ou un stylet.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Une commande permet-elle d’effacer la signature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signature n’empêche pas l’école de vérifier les déclarations et les justificatifs fournis.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13 formalise les déclarations, les engagements et la signature du responsable.</w:t>
            </w:r>
          </w:p>
        </w:tc>
      </w:tr>
    </w:tbl>
    <w:p>
      <w:pPr>
        <w:pStyle w:val="Normal"/>
        <w:spacing w:lineRule="auto" w:line="240" w:before="0" w:after="40"/>
        <w:rPr/>
      </w:pPr>
      <w:r>
        <w:rPr/>
      </w:r>
    </w:p>
    <w:p>
      <w:pPr>
        <w:pStyle w:val="Heading1"/>
        <w:keepNext w:val="true"/>
        <w:spacing w:lineRule="auto" w:line="240" w:before="100" w:after="20"/>
        <w:rPr/>
      </w:pPr>
      <w:r>
        <w:rPr/>
        <w:t>31. Étape 14 — Résumé, soumission et validation administrative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famille vérifie les informations essentielles, peut revenir à l’étape précédente pour corriger, confirme avoir relu le dossier et demande sa transmission au service Admissions. L’envoi ne constitue pas une décision d’admission.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clôt la saisie tout en distinguant la soumission du dossier de sa validation par l’administration.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réduit les erreurs, obtient une confirmation explicite et transmet le dossier dans le circuit de vérification.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Relecture ; correction ; soumission ; service Admissions ; validation ; décision ; liste d’attente ; confirmation financière.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14 — Résumé, soumission et validation administrative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vérifie les informations essentielles, peut revenir à l’étape précédente pour corriger, confirme avoir relu le dossier et demande sa transmission au service Admissions. L’envoi ne constitue pas une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doit faire la famille avant l’envoi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Vérifier les informations essentielles.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peut-elle corriger un élément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 utilisant « Étape précédente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confirme le responsable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Avoir relu le dossier et demander sa transmission au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qui le dossier est-il transmis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service Admissions pour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bouton final est prévu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Transmettre le dossier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L’envoi constitue-t-il une décision d’admission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validation administrative et la décision restent du ressort du personnel habilité après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14 permet la relecture, la correction et la transmission du dossier sans préjuger de la décision.</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IV. SOUS-MENU « PIÈCES À FOURNIR »</w:t>
      </w:r>
    </w:p>
    <w:p>
      <w:pPr>
        <w:pStyle w:val="Normal"/>
        <w:keepNext w:val="true"/>
        <w:spacing w:lineRule="auto" w:line="240" w:before="0" w:after="160"/>
        <w:rPr/>
      </w:pPr>
      <w:r>
        <w:rPr>
          <w:rFonts w:eastAsia="Aptos" w:ascii="Aptos" w:hAnsi="Aptos"/>
          <w:b w:val="false"/>
          <w:i/>
          <w:color w:val="5B6777"/>
          <w:sz w:val="19"/>
        </w:rPr>
        <w:t>Documents, informations, contrôle des originaux et protection des données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32. Pièces à fournir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Liste structurée des pièces et informations à préparer pour le dossier d’inscription. Le service Admissions vérifie les originaux et peut demander une pièce complémentaire selon la situation particulière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donne à la famille une checklist documentaire claire avant ou pendant la constitution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réduit les oublis, facilite la vérification et permet d’adapter la demande à la situation de chaque 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Dossier complet ; Étape 11 ; identité ; responsables ; parcours ; santé ; contrôle des originaux ; canal sécurisé.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Pièces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Liste structurée des pièces et informations à préparer pour le dossier d’inscription. Le service Admissions vérifie les originaux et peut demander une pièce complémentaire selon la situation particulière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permet la liste publiée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Préparer le dossier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vérifie les originaux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Une pièce complémentaire peut-elle être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De quoi dépend cette demande complémentaire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 la situation particulière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contient-elle seulement des documents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 mentionne aussi des informations à préparer.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quelle procédure cette page est-elle directement liée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constitution du dossier d’inscription.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liste est une base structurée ; Admissions conserve la possibilité de préciser ou compléter les exigences.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aide la famille à préparer les pièces, tandis qu’Admissions vérifie les originaux et les besoins complémentaires.</w:t>
            </w:r>
          </w:p>
        </w:tc>
      </w:tr>
    </w:tbl>
    <w:p>
      <w:pPr>
        <w:pStyle w:val="Normal"/>
        <w:spacing w:lineRule="auto" w:line="240" w:before="0" w:after="40"/>
        <w:rPr/>
      </w:pPr>
      <w:r>
        <w:rPr/>
      </w:r>
    </w:p>
    <w:p>
      <w:pPr>
        <w:pStyle w:val="Heading1"/>
        <w:keepNext w:val="true"/>
        <w:spacing w:lineRule="auto" w:line="240" w:before="100" w:after="20"/>
        <w:rPr/>
      </w:pPr>
      <w:r>
        <w:rPr/>
        <w:t>33. Identité de l’enfant — pièces à fournir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Acte ou attestation de naissance, photo d’identité récente, adresse et contacts utiles.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regroupe les éléments qui permettent d’identifier officiellement l’enfant et de le joindre à son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pièces assurent la cohérence entre l’identité déclarée et les informations enregistrées dans GSE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 2 ; acte de naissance ; photo ; adresse ; responsables légaux ; contrôle documentaire.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Identité de l’enfant — pièces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Acte ou attestation de naissance, photo d’identité récente, adresse et contacts 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de naissance est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acte ou une attestation de naissance.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type de photo faut-il préparer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photo d’identité récente.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information de résidence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L’adresse.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informations de communication sont demandées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contacts 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Combien de catégories d’éléments sont citées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Trois : naissance, photo, adresse et contacts.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quelle étape du formulaire ces données correspondent-elles principalement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l’identité complète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données saisies doivent être cohérentes avec le document de naissance présenté à la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L’identité de l’enfant repose sur le document de naissance, une photo récente, l’adresse et les contacts.</w:t>
            </w:r>
          </w:p>
        </w:tc>
      </w:tr>
    </w:tbl>
    <w:p>
      <w:pPr>
        <w:pStyle w:val="Normal"/>
        <w:spacing w:lineRule="auto" w:line="240" w:before="0" w:after="40"/>
        <w:rPr/>
      </w:pPr>
      <w:r>
        <w:rPr/>
      </w:r>
    </w:p>
    <w:p>
      <w:pPr>
        <w:pStyle w:val="Heading1"/>
        <w:keepNext w:val="true"/>
        <w:spacing w:lineRule="auto" w:line="240" w:before="100" w:after="20"/>
        <w:rPr/>
      </w:pPr>
      <w:r>
        <w:rPr/>
        <w:t>34. Responsables légaux — pièces à fournir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Pièce d’identité du parent ou tuteur, coordonnées complètes et document relatif à la garde ou à l’autorité parentale si nécessaire.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réunit les preuves qui établissent l’identité et la qualité des personnes responsables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section sécurise la prise de décision, les communications, la garde et la remise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 4 ; autorité parentale ; garde ; contacts d’urgence ; personnes autorisées ; pièces d’identité ; protection.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Responsables légaux — pièces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Pièce d’identité du parent ou tuteur, coordonnées complètes et document relatif à la garde ou à l’autorité parentale si nécessaire.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pièce du responsable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pièce d’identité du parent ou tuteur.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niveau de coordonnées est demandé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coordonnées complètes.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document peut être requis en cas de situation particulière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document relatif à la garde ou à l’autorité parentale.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 document est-il exigé dans tous les cas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Il est demandé si nécessaire.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Qui peut être identifié comme responsable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parent ou le tuteur.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étape du formulaire développe ces informations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 Responsables légaux et autorité parentale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restrictions de garde ou de contact doivent être appuyées par les justificatifs demandés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responsables fournissent leur identité, leurs coordonnées et, si nécessaire, la preuve de garde ou d’autorité.</w:t>
            </w:r>
          </w:p>
        </w:tc>
      </w:tr>
    </w:tbl>
    <w:p>
      <w:pPr>
        <w:pStyle w:val="Normal"/>
        <w:spacing w:lineRule="auto" w:line="240" w:before="0" w:after="40"/>
        <w:rPr/>
      </w:pPr>
      <w:r>
        <w:rPr/>
      </w:r>
    </w:p>
    <w:p>
      <w:pPr>
        <w:pStyle w:val="Heading1"/>
        <w:keepNext w:val="true"/>
        <w:spacing w:lineRule="auto" w:line="240" w:before="100" w:after="20"/>
        <w:rPr/>
      </w:pPr>
      <w:r>
        <w:rPr/>
        <w:t>35. Parcours scolaire — pièces à fournir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Dernier bulletin ou attestation scolaire lorsque cela s’applique, certificat de fréquentation ou de transfert si demandé, et informations sur la dernière classe fréquentée.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regroupe les éléments qui retracent la scolarité antérieure et facilitent le positionnement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documents permettent d’apprécier le niveau, de vérifier la continuité scolaire et de préparer l’intégration pédagogique.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 3 ; bulletin ; attestation ; école de provenance ; dernière classe ; transfert ; niveau demandé.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Parcours scolaire — pièces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Dernier bulletin ou attestation scolaire lorsque cela s’applique, certificat de fréquentation ou de transfert si demandé, et informations sur la dernière classe fréquentée.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scolaire récent peut être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dernier bulletin ou une attestation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cas ce document s’applique-t-il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Lorsque l’enfant a déjà été scolarisé.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certificat peut être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certificat de fréquentation ou de transfert.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information de niveau doit être donnée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dernière classe fréquentée.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Ces pièces concernent-elles une première entrée absolue à l’école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Pas nécessairement ; elles s’appliquent surtout lorsqu’un parcours antérieur existe.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étape du dossier reprend ces données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 Parcours scolaire ou première entrée à l’école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peut demander le document adapté à la situation réelle de l’enfant et au niveau sollicité.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parcours scolaire est établi par le bulletin ou l’attestation, le transfert éventuel et la dernière classe fréquentée.</w:t>
            </w:r>
          </w:p>
        </w:tc>
      </w:tr>
    </w:tbl>
    <w:p>
      <w:pPr>
        <w:pStyle w:val="Normal"/>
        <w:spacing w:lineRule="auto" w:line="240" w:before="0" w:after="40"/>
        <w:rPr/>
      </w:pPr>
      <w:r>
        <w:rPr/>
      </w:r>
    </w:p>
    <w:p>
      <w:pPr>
        <w:pStyle w:val="Heading1"/>
        <w:keepNext w:val="true"/>
        <w:spacing w:lineRule="auto" w:line="240" w:before="100" w:after="20"/>
        <w:rPr/>
      </w:pPr>
      <w:r>
        <w:rPr/>
        <w:t>36. Santé et sécurité — pièces et informations à fournir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Carnet ou preuve de vaccination disponible, ordonnance ou consignes en cas de traitement, informations sur les allergies, les besoins particuliers et les personnes autorisées à récupérer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associe les documents sanitaires aux mesures de sécurité nécessaires pendant la présence de l’enfant à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section permet de préparer la prévention, la prise en charge et la remise sécurisée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Étapes 5, 6 et 7 ; santé scolaire ; vaccination ; ordonnance ; allergies ; besoins particuliers ; sortie sécurisée ; EMA.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Santé et sécurité — pièces et informations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Carnet ou preuve de vaccination disponible, ordonnance ou consignes en cas de traitement, informations sur les allergies, les besoins particuliers et les personnes autorisées à récupérer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vaccinal peut être préparé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carnet ou une preuve de vaccination disponible.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document est utile en cas de traitement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ordonnance ou des consignes.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informations allergiques doivent être communiquées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sur les allergies.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besoins doivent être signalés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besoins particuliers.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personnes doivent être identifiées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personnes autorisées à récupérer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Cette section concerne-t-elle seulement la santé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couvre aussi la sécurité et la remise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sanitaires doivent rester exactes, actualisées et traitées par les personnes habilitées.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prépare les preuves vaccinales, les consignes de traitement, les allergies, les besoins et les autorisations de sortie.</w:t>
            </w:r>
          </w:p>
        </w:tc>
      </w:tr>
    </w:tbl>
    <w:p>
      <w:pPr>
        <w:pStyle w:val="Normal"/>
        <w:spacing w:lineRule="auto" w:line="240" w:before="0" w:after="40"/>
        <w:rPr/>
      </w:pPr>
      <w:r>
        <w:rPr/>
      </w:r>
    </w:p>
    <w:p>
      <w:pPr>
        <w:pStyle w:val="Heading1"/>
        <w:keepNext w:val="true"/>
        <w:spacing w:lineRule="auto" w:line="240" w:before="100" w:after="20"/>
        <w:rPr/>
      </w:pPr>
      <w:r>
        <w:rPr/>
        <w:t>37. Protection des données et dépôt sécurisé des pièces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https://test.gsleseminents.com/pieces-a-fournir/</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NOTE DE CONFIDENTIALITÉ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documents sensibles ne sont pas exposés dans une URL publique. Leur dépôt ou leur vérification s’effectue par le canal sécurisé indiqué par Admissions ou directement à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explique comment la collecte documentaire doit éviter l’exposition publique des données personnelles.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règle protège l’enfant et la famille, réduit les risques de fuite et clarifie la responsabilité du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 canal sécurisé ; dossier privé ; administrateurs habilités ; pièces sensibles ; dépôt physique ; Étape 11.</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Protection des données et dépôt sécurisé des pièces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documents sensibles ne sont pas exposés dans une URL publique. Leur dépôt ou leur vérification s’effectue par le canal sécurisé indiqué par Admissions ou directement à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Les documents sensibles sont-ils exposés dans une URL publique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peuvent-ils être déposés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 le canal sécurisé indiqué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autre modalité de vérification est prévue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Directement à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Qui indique le canal sécurisé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Cette règle concerne-t-elle seulement les pièces médicales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 concerne les documents sensibles en général.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principe général est affirmé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protection des données lors du dépôt et de la vérification des pièces.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Aucune pièce sensible ne doit être envoyée par un canal non confirmé ou publiée dans un espace accessible au public.</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pièces sensibles sont vérifiées par un canal sécurisé ou directement à l’école, jamais dans une URL publique.</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 SOUS-MENU « FRAIS ET MODALITÉS DE PAIEMENT »</w:t>
      </w:r>
    </w:p>
    <w:p>
      <w:pPr>
        <w:pStyle w:val="Normal"/>
        <w:keepNext w:val="true"/>
        <w:spacing w:lineRule="auto" w:line="240" w:before="0" w:after="160"/>
        <w:rPr/>
      </w:pPr>
      <w:r>
        <w:rPr>
          <w:rFonts w:eastAsia="Aptos" w:ascii="Aptos" w:hAnsi="Aptos"/>
          <w:b w:val="false"/>
          <w:i/>
          <w:color w:val="5B6777"/>
          <w:sz w:val="19"/>
        </w:rPr>
        <w:t>Références financières, canaux officiels, reçu et rôle d’ÉMINA</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38. Frais et modalités de paiement 2026-2027</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https://test.gsleseminents.com/frais-modalites-paiement/</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370 USD de scolarité annuelle ; trois tranches de 150, 120 et 100 USD ; référence mensuelle de 37 USD pendant dix mois ; inscription à 15 USD et réinscription à 10 USD, sous réserve de communication institutionnelle ultérieure.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réunit les montants et les règles pratiques dans une page financière identifiable et datée.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aide les familles à planifier les paiements et fournit une référence contre les informations non officielles.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 12 ; Admissions ; Finance ; échéancier ; tranches ; reçu ; communication officielle ;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Frais et modalités de paiement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370 USD de scolarité annuelle ; trois tranches de 150, 120 et 100 USD ; référence mensuelle de 37 USD pendant dix mois ; inscription à 15 USD et réinscription à 10 USD, sous réserve de communication institutionnelle ultérieure.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montant annuel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370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sont les montants des tranches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150 USD, 120 USD et 100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est la référence mensuelle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37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Pendant combien de mois cette référence s’applique-t-elle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Dix mois.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est le frais d’inscription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15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le frais de 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Tous les montants restent soumis à une communication institutionnelle officielle ultérieure.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scolarité annuelle est de 370 USD, répartie en trois tranches, avec des frais d’inscription et de réinscription distincts.</w:t>
            </w:r>
          </w:p>
        </w:tc>
      </w:tr>
    </w:tbl>
    <w:p>
      <w:pPr>
        <w:pStyle w:val="Normal"/>
        <w:spacing w:lineRule="auto" w:line="240" w:before="0" w:after="40"/>
        <w:rPr/>
      </w:pPr>
      <w:r>
        <w:rPr/>
      </w:r>
    </w:p>
    <w:p>
      <w:pPr>
        <w:pStyle w:val="Heading1"/>
        <w:keepNext w:val="true"/>
        <w:spacing w:lineRule="auto" w:line="240" w:before="100" w:after="20"/>
        <w:rPr/>
      </w:pPr>
      <w:r>
        <w:rPr/>
        <w:t>39. Principes officiels de paiement et rôle d’ÉMINA</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https://test.gsleseminents.com/frais-modalites-paiement/</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Tout paiement passe par un canal officiellement reconnu, est validé par le service habilité et donne lieu à un reçu officiel numéroté. Le parent conserve ses preuves. Aucun agent non habilité ne modifie un montant ni ne confirme un paiement. Seule une communication officielle peut modifier les références ; ÉMINA explique les modalités mais ne valide jamais seule un paiement.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met l’accent sur la sécurité, la traçabilité et la séparation des rôles dans le processus financier.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principes protègent la famille et l’école contre la fraude, les erreurs de montant et les confirmations non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Finance ; service habilité ; reçu ; preuve ; canal officiel ; ÉMINA ; journalisation ; contrôle interne ; Assurance qualité.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Principes officiels de paiement et rôle d’ÉMINA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Tout paiement passe par un canal officiellement reconnu, est validé par le service habilité et donne lieu à un reçu officiel numéroté. Le parent conserve ses preuves. Aucun agent non habilité ne modifie un montant ni ne confirme un paiement. Seule une communication officielle peut modifier les références ; ÉMINA explique les modalités mais ne valide jamais seule un paiement.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Par quel type de canal un paiement doit-il être effectué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 un canal officiellement reconnu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valide le paiement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document est remis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reçu officiel numéroté.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 doit conserver le parent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Ses preuves de paiement.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Un agent non habilité peut-il modifier un montant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le rôle d’ÉMINA dans le paiement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Expliquer les modalités, sans valider seule un paiement.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Seule une communication officielle du GROUPE SCOLAIRE LES ÉMINENTS peut modifier les références financières.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paiement doit être officiel, validé, reçu et traçable ; ÉMINA informe mais ne confirme pas seule.</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VI. PAGE CONNEXE « FAQ » ET COHÉRENCE DE NAVIGATION</w:t>
      </w:r>
    </w:p>
    <w:p>
      <w:pPr>
        <w:pStyle w:val="Normal"/>
        <w:keepNext w:val="true"/>
        <w:spacing w:lineRule="auto" w:line="240" w:before="0" w:after="160"/>
        <w:rPr/>
      </w:pPr>
      <w:r>
        <w:rPr>
          <w:rFonts w:eastAsia="Aptos" w:ascii="Aptos" w:hAnsi="Aptos"/>
          <w:b w:val="false"/>
          <w:i/>
          <w:color w:val="5B6777"/>
          <w:sz w:val="19"/>
        </w:rPr>
        <w:t>Questions fréquentes directement liées aux Admissions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40. FAQ Admissions — page connexe et cohérence de navigation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https://test.gsleseminents.com/faq/</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D4AF37"/>
              <w:start w:val="single" w:sz="4" w:space="0" w:color="D4AF37"/>
              <w:bottom w:val="single" w:sz="4" w:space="0" w:color="D4AF37"/>
              <w:end w:val="single" w:sz="4" w:space="0" w:color="D4AF37"/>
            </w:tcBorders>
            <w:shd w:fill="D4AF37" w:val="clear"/>
            <w:vAlign w:val="center"/>
          </w:tcPr>
          <w:p>
            <w:pPr>
              <w:pStyle w:val="Normal"/>
              <w:spacing w:lineRule="auto" w:line="240" w:before="0" w:after="0"/>
              <w:rPr/>
            </w:pPr>
            <w:r>
              <w:rPr>
                <w:rFonts w:eastAsia="Aptos" w:ascii="Aptos" w:hAnsi="Aptos"/>
                <w:b/>
                <w:i w:val="false"/>
                <w:color w:val="FFFFFF"/>
                <w:sz w:val="17"/>
              </w:rPr>
              <w:t>PAGE CONNEXE PUBLIÉE / OBSERVATION</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FAQ apporte des réponses sur les niveaux ouverts, l’agrément, la différence entre préinscription et inscription, les horaires, le bilinguisme, la protection des enfants, les paiements et l’accès d’ÉMINA aux dossiers.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regroupe les questions les plus fréquentes afin de compléter le parcours Admissions par des réponses rapides.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réduit les demandes répétitives, soutient ÉMINA et aide les familles à vérifier les informations essentielles avant de contacter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Préinscription ; Agrément ; Programmes ; Vie scolaire ; Frais ; ÉMINA ; Contact ; Documentation.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FAQ Admissions — page connexe et cohérence de navigation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FAQ apporte des réponses sur les niveaux ouverts, l’agrément, la différence entre préinscription et inscription, les horaires, le bilinguisme, la protection des enfants, les paiements et l’accès d’ÉMINA aux dossiers.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niveaux sont annoncés pour 2026-2027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trois niveaux de Maternelle et le Primaire de la 1re à la 4e.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référence d’agrément est donnée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L’Arrêté ministériel n° MINEDU-NC/CABMINETAT/0008/2026 du 15 janvier 2026.</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différence est rappelée entre préinscription et 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préinscription manifeste l’intérêt ; l’inscription intervient après étude, décision et formalités.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horaires de référence sont indiqués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Entrée à 7 h 30 et sortie à 15 h 30.</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Comment le bilinguisme est-il décrit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L’anglais est intégré progressivement, tandis que le français conserve une place centrale dans les fondations académiques.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garanties sont citées pour la protection et le paiement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Contrôle des accès, personnes autorisées, discipline positive, signalement, confidentialité, urgence, santé ; paiement par service habilité avec reçu.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FAQ est publique et directement liée aux Admissions, mais elle n’apparaît pas dans le sous-menu actuel observé sur les pages Admissions ; l’arborescence devrait être harmonisée.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FAQ répond aux principales questions sur les niveaux, l’agrément, la procédure, les horaires, la sécurité, les frais et ÉMINA.</w:t>
            </w:r>
          </w:p>
        </w:tc>
      </w:tr>
    </w:tbl>
    <w:p>
      <w:pPr>
        <w:pStyle w:val="Normal"/>
        <w:spacing w:lineRule="auto" w:line="240" w:before="0" w:after="40"/>
        <w:rPr/>
      </w:pPr>
      <w:r>
        <w:rPr/>
      </w:r>
    </w:p>
    <w:p>
      <w:pPr>
        <w:pStyle w:val="Normal"/>
        <w:keepNext w:val="true"/>
        <w:spacing w:lineRule="auto" w:line="240" w:before="200" w:after="40"/>
        <w:rPr/>
      </w:pPr>
      <w:r>
        <w:rPr>
          <w:rFonts w:eastAsia="Aptos" w:ascii="Aptos" w:hAnsi="Aptos"/>
          <w:b/>
          <w:i w:val="false"/>
          <w:color w:val="0B3D91"/>
          <w:sz w:val="28"/>
        </w:rPr>
        <w:t>VII. GLOSSAIRE DES MOTS CLÉS, SIGLES, ABRÉVIATIONS ET TERMES DIFFICILES</w:t>
      </w:r>
    </w:p>
    <w:p>
      <w:pPr>
        <w:pStyle w:val="Normal"/>
        <w:spacing w:lineRule="auto" w:line="240" w:before="0" w:after="140"/>
        <w:rPr/>
      </w:pPr>
      <w:r>
        <w:rPr>
          <w:rFonts w:eastAsia="Aptos" w:ascii="Aptos" w:hAnsi="Aptos"/>
          <w:b w:val="false"/>
          <w:i/>
          <w:color w:val="5B6777"/>
          <w:sz w:val="19"/>
        </w:rPr>
        <w:t>Définitions destinées aux familles, au personnel, à ÉMINA et aux supports de formation.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Heading1"/>
        <w:keepNext w:val="true"/>
        <w:spacing w:lineRule="auto" w:line="240" w:before="140" w:after="80"/>
        <w:rPr/>
      </w:pPr>
      <w:r>
        <w:rPr/>
        <w:t>Glossaire alphabétique</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3494"/>
        <w:gridCol w:w="3495"/>
        <w:gridCol w:w="3494"/>
      </w:tblGrid>
      <w:tr>
        <w:trPr>
          <w:tblHeader w:val="true"/>
        </w:trPr>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TERME / SIGLE</w:t>
            </w:r>
          </w:p>
        </w:tc>
        <w:tc>
          <w:tcPr>
            <w:tcW w:w="3495"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CATÉGORIE</w:t>
            </w:r>
          </w:p>
        </w:tc>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DÉFINITION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Accompagnement linguistique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Pédagogie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Soutien destiné à aider l’enfant à comprendre ou utiliser une langue d’apprentissage.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Acte de naissance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 d’état civil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officiel établissant notamment l’identité, la date et le lieu de naissance.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Activité parascolaire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Vie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Activité organisée autour du programme scolaire mais en dehors des leçons ordinaires.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Adaptation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Inclusion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Aménagement raisonnable destiné à faciliter la participation et l’apprentissage.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Administrateur habilité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autorisée, selon son rôle, à accéder à certaines fonctions ou informations.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Admis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Statut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Candidat ayant reçu une décision favorable.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Admission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administratif</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Décision par laquelle l’école accepte un candidat, sous réserve de la confirmation et des formalités prévues.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Admissions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Service / 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et ensemble des opérations qui organisent l’information, la préinscription, l’étude, la décision et l’inscription.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Affection importante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Problème de santé significatif que l’école doit connaître pour la sécurité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Agrément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Statut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Reconnaissance ou autorisation officielle de fonctionnement accordée selon les textes applicables.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Allergie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Réaction anormale de l’organisme à une substance ou à un élément déterminé.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Allergène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Substance ou élément susceptible de déclencher une allergie.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Antécédent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Événement ou problème de santé survenu auparavant et utile à connaître.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Arrêté ministériel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Texte officiel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Acte administratif pris par une autorité ministérielle et portant une décision officielle.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Astérisque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Symbole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Signe * utilisé dans le formulaire pour indiquer un champ obligatoire.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Attestation de naissance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 d’état civil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qui confirme une naissance lorsque le format ou la procédure applicable le prévoit.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Attestation 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émis par un établissement pour confirmer une inscription, une fréquentation ou une situation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Autorité parentale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Terme juridique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des droits et devoirs relatifs à la protection, à l’éducation et aux décisions concernant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Autorité parentale partagée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juridique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Situation dans laquelle plusieurs responsables exercent l’autorité selon les règles applicables.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Besoin fonctionnel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Inclusion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Besoin lié à la mobilité, à la communication ou à une fonction nécessaire à la participation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Besoin éducatif particulier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Inclusion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Besoin nécessitant une adaptation, une aide ou une attention spécifique dans les apprentissages.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Bibliothèque documentaire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Espace organisé qui regroupe les documents publics et leurs références.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Bien-être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Vie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État dans lequel l’enfant se sent en sécurité, respecté, soutenu et capable de s’épanouir.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Bilingue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Pédagogie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Qui utilise ou développe deux langues, ici le français et l’anglais.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Bulletin 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présentant les résultats et appréciations d’un élève pour une période donnée.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Caisse de l’école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physique de l’établissement habilité à recevoir certains paiements.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Canal de communication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Moyen utilisé pour échanger : téléphone, SMS, WhatsApp, courriel ou portail.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Canal de paiement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Moyen officiellement autorisé pour verser 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Canal sécurisé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Moyen de transmission protégé et officiellement indiqué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Carnet de vaccination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 de 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retraçant les vaccins reçus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Certificat de fréquentation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attestant qu’un enfant a effectivement fréquenté une 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Certificat de transfert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lié au passage administratif d’un élève d’un établissement à un autre.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Champ facultatif</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qui peut être renseigné lorsqu’il est utile, sans être toujours exigé.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Champ obligatoire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Champ qui doit être renseigné avant la transmission du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Communication officielle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diffusée par un canal reconnu et autorisé par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Conduite à tenir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 / 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Instructions précises à suivre face à une situation connue ou à un signe d’alerte.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Confidentialité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Principe selon lequel une information n’est accessible qu’aux personnes autorisées.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Confirmation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Action qui finalise une admission favorable selon les procédures administratives et financières.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Conformité âge-niveau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Condition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Correspondance entre l’âge, le parcours de l’enfant et le niveau demandé.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Consentement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Données / droit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Accord donné de manière claire pour une action ou un traitement défini.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Constitution du dossier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Rassemblement des informations et pièces nécessaires à l’étude de la demande.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Contact d’urgence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à joindre rapidement lorsqu’une situation urgente concerne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Courriel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Message électronique envoyé à une adresse e-mail.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Couverture médicale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 / 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Dispositif d’assurance ou de prise en charge des frais de santé.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Dernière classe fréquentée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Niveau scolaire le plus récent suivi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Disponibilité des places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Condition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Nombre de places encore ouvertes dans un niveau au moment de la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Documentation publique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des documents institutionnels publiés et consultables par les familles et le public.</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Donnée personnelle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permettant d’identifier directement ou indirectement 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sensible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nécessitant une protection renforcée, notamment en matière de santé ou de situation familiale.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Dose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Quantité de médicament à administrer selon une prescription.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Dossier d’inscription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 administratif</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structuré des informations, déclarations et pièces nécessaires à l’étude d’une candidature.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Dossier privé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Espace non public réservé au stockage des informations du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Droit à l’image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Données / droit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Droit de contrôler l’utilisation de l’image identifiable d’une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Déclaration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Terme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affirmée par le responsable sous sa responsabilité.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EMA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institutionnel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Sigle utilisé pour le module ou service médical distinct des Admissions ; son intitulé complet doit être confirmé dans la documentation institutionnelle officielle.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Engagement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Terme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Obligation que le signataire accepte de respecter.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FAQ</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Foire aux questions : page regroupant les questions fréquentes et leurs réponses.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Formalités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Terme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Démarches, documents, validations et engagements exigés pour finaliser une procédure.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FR/EN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Abréviation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Français / English : document ou contenu disponible dans les deux langues.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Frais de réinscription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Montant lié au renouvellement de l’inscription d’un élève.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Frais d’inscription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Montant lié à une nouvelle inscription, distinct de la scolarité.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Fratrie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Terme familial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des frères et sœurs d’une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Garde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juridique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Organisation de la résidence et de la prise en charge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Garderie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Service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Accueil encadré de l’enfant en dehors des heures ordinaires de cours, lorsqu’il existe.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Grande Section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Troisième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Gravité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Niveau de sérieux ou de danger d’une réaction ou d’une situation.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Groupe sanguin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Classification du sang d’une personne, lorsqu’elle est connue et vérifiée.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Sigle institutionnel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GROUPE SCOLAIRE LES ÉMINENTS.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 Admissions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Système institutionnel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Module ou parcours numérique consacré à la gestion des admissions et des dossiers scolaires.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GSE-PUB-ADM-001</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Code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Code de la documentation publique relative aux Admissions.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GSE-PUB-PRI-001</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Code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Code de la Politique de confidentialité publique.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Habilitation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Autorisation attribuée à une personne selon ses responsabilités.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Image institutionnelle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Photo ou vidéo utilisée par l’établissement dans ses supports officiels.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Inscription définitive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Étape du parcours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Finalisation du dossier après étude, décision favorable, formalités administratives et procédure financière.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Liste d’attente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Statut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Situation d’un candidat qui pourrait être admis si une place devient disponible ou après une vérification complémentaire.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Maladie chronique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Affection durable nécessitant parfois un suivi ou des adaptations.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Maternelle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Cycle préscolaire comprenant ici Petite, Moyenne et Grande Section.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Mobile Money</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 /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de paiement ou transfert d’argent au moyen d’un téléphone mobile, lorsqu’il est officiellement disponible.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Moyenne Section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Deuxième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Médicament d’urgence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Médicament prévu pour une situation urgente identifiée et administré selon les règles autorisées.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Non retenu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Statut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Candidat dont la demande n’est pas acceptée dans le cadre de la décision rendue.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Ordonnance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 médical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Prescription écrite d’un professionnel de santé habilité.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Original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authentique présenté pour contrôle, par opposition à une simple copie.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Personne autorisée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enregistrée et admise à récupérer l’enfant conformément aux procédures de vérification.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Petite Section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Premier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Photo d’identité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Photographie récente au format utilisé pour identifier une personne dans un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Pièce justificative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Document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servant à prouver une information déclarée dans le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Portail Parents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Espace sécurisé destiné aux responsables pour accéder aux services et informations autorisés.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Premiers soins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 / 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Gestes immédiats de base réalisés avant une prise en charge médicale plus complète.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Première entrée à l’école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Situation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Situation d’un enfant qui n’a encore jamais été scolarisé.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Preuve de paiement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ou enregistrement permettant de démontrer qu’un paiement a été effectué.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Primaire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Cycle d’enseignement fondamental dont les niveaux ouverts annoncés vont de la 1re à la 4e primaire.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Préinscription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Étape du parcours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Manifestation d’intérêt et demande de contact qui ne constitue pas encore une admission définitive.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RDC</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Sigle géographique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République démocratique du Congo.</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Relecture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Vérification des informations avant l’envoi définitif.</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Remise sécurisée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Procédure destinée à confier l’enfant uniquement à une personne autorisée et vérifiée.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Responsable légal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juridique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ayant l’autorité ou la responsabilité reconnue pour représenter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Restriction de contact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Mesure de protection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Limitation documentée concernant les échanges d’une personne avec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Restriction d’image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Limite imposée par la famille à l’utilisation de l’image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Reçu officiel numéroté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Preuve de paiement délivrée par le service habilité et portant un numéro de contrôle.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Réinscription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Étape du parcours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Renouvellement de l’inscription d’un élève déjà présent dans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Scolarité annuelle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Montant de référence demandé pour l’enseignement sur l’année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Service habilité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autorisé à accomplir une opération déterminée, comme valider 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Service numérique sécurisé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Outil en ligne protégé et réservé aux usages autorisés de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Signature électronique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Numérique / preuve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Signature réalisée sur un support numérique pour manifester l’accord du signataire.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Signe d’alerte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Manifestation qui indique qu’une attention ou une intervention rapide peut être nécessaire.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SMS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Short Message Service : message texte envoyé par téléphone mobile.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Sortie pédagogique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Vie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Déplacement encadré ayant un objectif éducatif.</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Soumission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Action de transmettre officiellement les informations saisies pour traitement.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Spécimen de signature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Document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Exemple de la signature apposée par le responsable dans le formulaire.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Stylet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Instrument permettant d’écrire ou de signer sur un écran tactile.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Traitement des données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Collecte, enregistrement, consultation, utilisation ou conservation d’informations personnelles.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Traitement en cours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Médicament, soin ou prise en charge actuellement suivi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Tranche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Partie d’un montant total payée à une étape déterminée.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Transfert urgent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 / 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Déplacement rapide de l’enfant vers une structure de santé lorsque la situation l’exige.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Transition scolaire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Pédagogie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Période d’adaptation lors d’une première entrée, d’un changement d’école ou de niveau.</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Transport 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organisé pour le déplacement des élèves entre leur domicile et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Traçabilité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Qualité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Capacité à retrouver l’historique d’une action, d’un document ou d’un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Tuteur / Tutrice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juridique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légalement chargée de représenter ou protéger un mineur lorsque cela s’applique.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Téléverser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Envoyer un fichier depuis son appareil vers un service en ligne.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URL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Uniform Resource Locator : adresse permettant d’accéder à une ressource sur Internet.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USD</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Sigle monétaire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United States Dollar, dollar des États-Unis, unité monétaire utilisée pour les références de frais affichées.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Vaccination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Administration de vaccins destinée à protéger contre certaines maladies.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Validation administrative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Contrôle du dossier par le personnel habilité avant la suite de la procédure.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WhatsApp</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Application de messagerie utilisée comme canal de contact lorsque la famille l’autorise.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Échéancier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Calendrier qui indique les montants et les dates ou périodes de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École de provenance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Terme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Établissement fréquenté avant la demande d’inscription actuelle.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ÉMINA</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Assistante institutionnelle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Assistante institutionnelle du GSE qui explique les informations publiques et guide les utilisateurs sans prendre seule de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Étude du dossier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Vérification et appréciation des informations et pièces avant la décision d’admission.</w:t>
            </w:r>
          </w:p>
        </w:tc>
      </w:tr>
    </w:tbl>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VIII. OBSERVATIONS DE COHÉRENCE ET RECOMMANDATIONS</w:t>
      </w:r>
    </w:p>
    <w:p>
      <w:pPr>
        <w:pStyle w:val="Normal"/>
        <w:spacing w:lineRule="auto" w:line="240" w:before="0" w:after="140"/>
        <w:rPr/>
      </w:pPr>
      <w:r>
        <w:rPr>
          <w:rFonts w:eastAsia="Aptos" w:ascii="Aptos" w:hAnsi="Aptos"/>
          <w:b w:val="false"/>
          <w:i/>
          <w:color w:val="5B6777"/>
          <w:sz w:val="19"/>
        </w:rPr>
        <w:t>Les points suivants sont des recommandations d’amélioration ; ils ne remplacent pas le contenu publié.</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1747"/>
        <w:gridCol w:w="1748"/>
        <w:gridCol w:w="3494"/>
      </w:tblGrid>
      <w:tr>
        <w:trPr/>
        <w:tc>
          <w:tcPr>
            <w:tcW w:w="3494" w:type="dxa"/>
            <w:tcBorders/>
            <w:shd w:fill="0B3D91" w:val="clear"/>
          </w:tcPr>
          <w:p>
            <w:pPr>
              <w:pStyle w:val="Normal"/>
              <w:spacing w:before="0" w:after="80"/>
              <w:rPr/>
            </w:pPr>
            <w:r>
              <w:rPr/>
            </w:r>
          </w:p>
        </w:tc>
        <w:tc>
          <w:tcPr>
            <w:tcW w:w="3495" w:type="dxa"/>
            <w:gridSpan w:val="2"/>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r>
        <w:trPr/>
        <w:tc>
          <w:tcPr>
            <w:tcW w:w="5241" w:type="dxa"/>
            <w:gridSpan w:val="2"/>
            <w:tcBorders>
              <w:top w:val="single" w:sz="4" w:space="0" w:color="D9DEE5"/>
              <w:start w:val="single" w:sz="4" w:space="0" w:color="D9DEE5"/>
              <w:bottom w:val="single" w:sz="4" w:space="0" w:color="D9DEE5"/>
              <w:end w:val="single" w:sz="4" w:space="0" w:color="D9DEE5"/>
            </w:tcBorders>
            <w:shd w:fill="0B3D91" w:val="clear"/>
            <w:tcMar>
              <w:top w:w="70" w:type="dxa"/>
              <w:start w:w="90" w:type="dxa"/>
              <w:bottom w:w="70" w:type="dxa"/>
              <w:end w:w="90" w:type="dxa"/>
            </w:tcMar>
            <w:vAlign w:val="center"/>
          </w:tcPr>
          <w:p>
            <w:pPr>
              <w:pStyle w:val="Normal"/>
              <w:spacing w:lineRule="auto" w:line="240" w:before="0" w:after="0"/>
              <w:jc w:val="center"/>
              <w:rPr/>
            </w:pPr>
            <w:r>
              <w:rPr>
                <w:rFonts w:eastAsia="Aptos" w:ascii="Aptos" w:hAnsi="Aptos"/>
                <w:b/>
                <w:i w:val="false"/>
                <w:color w:val="FFFFFF"/>
                <w:sz w:val="17"/>
              </w:rPr>
              <w:t>POINT À TRAITER</w:t>
            </w:r>
          </w:p>
        </w:tc>
        <w:tc>
          <w:tcPr>
            <w:tcW w:w="5242" w:type="dxa"/>
            <w:gridSpan w:val="2"/>
            <w:tcBorders>
              <w:top w:val="single" w:sz="4" w:space="0" w:color="D9DEE5"/>
              <w:start w:val="single" w:sz="4" w:space="0" w:color="D9DEE5"/>
              <w:bottom w:val="single" w:sz="4" w:space="0" w:color="D9DEE5"/>
              <w:end w:val="single" w:sz="4" w:space="0" w:color="D9DEE5"/>
            </w:tcBorders>
            <w:shd w:fill="0B3D91" w:val="clear"/>
            <w:tcMar>
              <w:top w:w="70" w:type="dxa"/>
              <w:start w:w="90" w:type="dxa"/>
              <w:bottom w:w="70" w:type="dxa"/>
              <w:end w:w="90" w:type="dxa"/>
            </w:tcMar>
            <w:vAlign w:val="center"/>
          </w:tcPr>
          <w:p>
            <w:pPr>
              <w:pStyle w:val="Normal"/>
              <w:spacing w:lineRule="auto" w:line="240" w:before="0" w:after="0"/>
              <w:jc w:val="center"/>
              <w:rPr/>
            </w:pPr>
            <w:r>
              <w:rPr>
                <w:rFonts w:eastAsia="Aptos" w:ascii="Aptos" w:hAnsi="Aptos"/>
                <w:b/>
                <w:i w:val="false"/>
                <w:color w:val="FFFFFF"/>
                <w:sz w:val="17"/>
              </w:rPr>
              <w:t>RECOMMANDATION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Harmoniser le sous-menu Admissions</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Afficher la même arborescence sur l’accueil, les pages internes et les versions linguistiques. La FAQ peut être maintenue comme sous-menu ou comme lien clairement identifié, mais son positionnement doit être constant.</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Clarifier l’intitulé « Inscription définitive »</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Le formulaire précise que la transmission ne constitue pas une décision. Un intitulé comme « Dossier complet d’inscription » ou « Compléter le dossier après préinscription » réduirait le risque d’interprétation erronée.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Versionner les références financières</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Conserver la date, l’année scolaire, la version et la source officielle de toute modification des montants. ÉMINA et les pages doivent utiliser la même référence synchronisée.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Renforcer l’information de confidentialité</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Placer un résumé de confidentialité au début des étapes santé, autorité parentale, image et documents, avec accès direct à la politique complète.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Masquer correctement le champ anti-robot</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Le texte « Ne pas remplir » semble correspondre à un champ anti-spam. Il devrait être techniquement invisible pour les utilisateurs ordinaires et correctement géré pour l’accessibilité.</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Prévoir les états du dossier</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Après transmission, afficher clairement : reçu, en vérification, pièces manquantes, entretien à planifier, liste d’attente, admis, non retenu ou inscription confirmée.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Relier chaque étape aux pages utiles</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Depuis le formulaire, proposer des liens contextuels vers les pièces, les frais, la confidentialité, la santé-sécurité et l’assistance humaine.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Limiter la collecte au nécessaire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Réviser régulièrement les champs afin de ne demander que les données nécessaires à l’admission, à la sécurité, à la scolarité et aux obligations institutionnelles.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Assurer la continuité multilingue</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Maintenir le sélecteur des six langues et veiller à la concordance des termes administratifs, des consentements et des avertissements dans chaque langue.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7"/>
              </w:rPr>
              <w:t>Synchroniser avec la base de connaissances ÉMINA</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7"/>
              </w:rPr>
              <w:t>Indexer les pages Admissions publiées et validées dans la base locale afin qu’ÉMINA réponde avec les montants, procédures et limites les plus récents.</w:t>
            </w:r>
          </w:p>
        </w:tc>
      </w:tr>
    </w:tbl>
    <w:p>
      <w:pPr>
        <w:pStyle w:val="Heading1"/>
        <w:keepNext w:val="true"/>
        <w:spacing w:lineRule="auto" w:line="240" w:before="160" w:after="80"/>
        <w:rPr/>
      </w:pPr>
      <w:r>
        <w:rPr/>
        <w:t>Conclusion</w:t>
      </w:r>
    </w:p>
    <w:p>
      <w:pPr>
        <w:pStyle w:val="Normal"/>
        <w:spacing w:lineRule="auto" w:line="259" w:before="0" w:after="100"/>
        <w:rPr/>
      </w:pPr>
      <w:r>
        <w:rPr>
          <w:rFonts w:eastAsia="Aptos" w:ascii="Aptos" w:hAnsi="Aptos"/>
          <w:b w:val="false"/>
          <w:i w:val="false"/>
          <w:color w:val="1F2D3D"/>
          <w:sz w:val="20"/>
        </w:rPr>
        <w:t>Le menu Admissions actuellement publié présente un parcours beaucoup plus complet que la seule préinscription : procédure générale, demande initiale, dossier en 14 étapes, pièces, références financières et règles de sécurité. La présente banque rassemble 400 questions-réponses fondées sur ces contenus, accompagnées de 129 définitions. Elle peut servir à la FAQ du site, à la formation du personnel, aux scripts d’accueil, au contrôle qualité et à la base de connaissances d’ÉMINA.</w:t>
      </w:r>
    </w:p>
    <w:p>
      <w:pPr>
        <w:pStyle w:val="Normal"/>
        <w:spacing w:lineRule="auto" w:line="240" w:before="320" w:after="0"/>
        <w:jc w:val="center"/>
        <w:rPr/>
      </w:pPr>
      <w:r>
        <w:rPr>
          <w:rFonts w:eastAsia="Aptos" w:ascii="Aptos" w:hAnsi="Aptos"/>
          <w:b/>
          <w:i w:val="false"/>
          <w:color w:val="D4AF37"/>
          <w:sz w:val="24"/>
        </w:rPr>
        <w:t>FIN DU DOCUMENT</w:t>
      </w:r>
    </w:p>
    <w:p>
      <w:pPr>
        <w:pStyle w:val="Normal"/>
        <w:rPr/>
      </w:pPr>
      <w:r>
        <w:rPr/>
      </w:r>
      <w:r>
        <w:br w:type="page"/>
      </w:r>
    </w:p>
    <w:p>
      <w:pPr>
        <w:pStyle w:val="Normal"/>
        <w:rPr/>
      </w:pPr>
      <w:r>
        <w:rPr/>
      </w:r>
    </w:p>
    <w:p>
      <w:pPr>
        <w:pStyle w:val="Normal"/>
        <w:spacing w:lineRule="auto" w:line="240" w:before="40" w:after="100"/>
        <w:jc w:val="center"/>
        <w:rPr/>
      </w:pPr>
      <w:r>
        <w:rPr/>
        <w:drawing>
          <wp:inline distT="0" distB="0" distL="0" distR="0">
            <wp:extent cx="1188085" cy="1235710"/>
            <wp:effectExtent l="0" t="0" r="0" b="0"/>
            <wp:docPr id="1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descr="" title=""/>
                    <pic:cNvPicPr>
                      <a:picLocks noChangeAspect="1" noChangeArrowheads="1"/>
                    </pic:cNvPicPr>
                  </pic:nvPicPr>
                  <pic:blipFill>
                    <a:blip r:embed="rId46"/>
                    <a:stretch>
                      <a:fillRect/>
                    </a:stretch>
                  </pic:blipFill>
                  <pic:spPr bwMode="auto">
                    <a:xfrm>
                      <a:off x="0" y="0"/>
                      <a:ext cx="1188085" cy="1235710"/>
                    </a:xfrm>
                    <a:prstGeom prst="rect">
                      <a:avLst/>
                    </a:prstGeom>
                    <a:noFill/>
                  </pic:spPr>
                </pic:pic>
              </a:graphicData>
            </a:graphic>
          </wp:inline>
        </w:drawing>
      </w:r>
    </w:p>
    <w:p>
      <w:pPr>
        <w:pStyle w:val="Normal"/>
        <w:spacing w:lineRule="auto" w:line="240" w:before="80" w:after="120"/>
        <w:jc w:val="center"/>
        <w:rPr/>
      </w:pPr>
      <w:r>
        <w:rPr>
          <w:rFonts w:eastAsia="Georgia" w:ascii="Georgia" w:hAnsi="Georgia"/>
          <w:b/>
          <w:i w:val="false"/>
          <w:color w:val="0B3D91"/>
          <w:sz w:val="52"/>
        </w:rPr>
        <w:t>GROUPE SCOLAIRE</w:t>
        <w:br/>
        <w:t>LES ÉMINENTS</w:t>
      </w:r>
    </w:p>
    <w:p>
      <w:pPr>
        <w:pStyle w:val="Normal"/>
        <w:pBdr>
          <w:bottom w:val="single" w:sz="14" w:space="5" w:color="D4AF37"/>
        </w:pBdr>
        <w:spacing w:lineRule="auto" w:line="240" w:before="100" w:after="60"/>
        <w:jc w:val="center"/>
        <w:rPr/>
      </w:pPr>
      <w:r>
        <w:rPr>
          <w:rFonts w:eastAsia="Georgia" w:ascii="Georgia" w:hAnsi="Georgia"/>
          <w:b/>
          <w:i w:val="false"/>
          <w:color w:val="0B3D91"/>
          <w:sz w:val="39"/>
        </w:rPr>
        <w:t>RELEVÉ COMPLET ET BANQUE EXHAUSTIVE</w:t>
        <w:br/>
        <w:t>« INSCRIPTION DÉFINITIVE — COMPLÉTER MON DOSSIER »</w:t>
      </w:r>
    </w:p>
    <w:p>
      <w:pPr>
        <w:pStyle w:val="Normal"/>
        <w:spacing w:lineRule="auto" w:line="240" w:before="100" w:after="100"/>
        <w:jc w:val="center"/>
        <w:rPr/>
      </w:pPr>
      <w:r>
        <w:rPr>
          <w:rFonts w:eastAsia="Aptos" w:ascii="Aptos" w:hAnsi="Aptos"/>
          <w:b/>
          <w:i w:val="false"/>
          <w:color w:val="D4AF37"/>
          <w:sz w:val="25"/>
        </w:rPr>
        <w:t>Formulaire GSE Admissions en 14 étapes • confidentialité • pièces • engagements • validation</w:t>
      </w:r>
    </w:p>
    <w:p>
      <w:pPr>
        <w:pStyle w:val="Normal"/>
        <w:spacing w:lineRule="auto" w:line="240" w:before="0" w:after="160"/>
        <w:jc w:val="center"/>
        <w:rPr/>
      </w:pPr>
      <w:r>
        <w:rPr>
          <w:rFonts w:eastAsia="Aptos" w:ascii="Aptos" w:hAnsi="Aptos"/>
          <w:b w:val="false"/>
          <w:i/>
          <w:color w:val="5B6777"/>
          <w:sz w:val="21"/>
        </w:rPr>
        <w:t>Questions-réponses de référence • raison et importance des titres • liens entre sections • glossaire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240" w:after="60"/>
        <w:jc w:val="center"/>
        <w:rPr/>
      </w:pPr>
      <w:r>
        <w:rPr>
          <w:rFonts w:eastAsia="Aptos" w:ascii="Aptos" w:hAnsi="Aptos"/>
          <w:b/>
          <w:i w:val="false"/>
          <w:color w:val="0B3D91"/>
          <w:sz w:val="24"/>
        </w:rPr>
        <w:t>Document institutionnel de travail — 2 juillet 2026</w:t>
      </w:r>
    </w:p>
    <w:p>
      <w:pPr>
        <w:pStyle w:val="Normal"/>
        <w:spacing w:lineRule="auto" w:line="240" w:before="0" w:after="200"/>
        <w:jc w:val="center"/>
        <w:rPr/>
      </w:pPr>
      <w:r>
        <w:rPr>
          <w:rFonts w:eastAsia="Aptos" w:ascii="Aptos" w:hAnsi="Aptos"/>
          <w:b w:val="false"/>
          <w:i w:val="false"/>
          <w:color w:val="5B6777"/>
          <w:sz w:val="20"/>
        </w:rPr>
        <w:t>Page de référence : https://test.gsleseminents.com/inscription-definitive/</w:t>
      </w:r>
    </w:p>
    <w:p>
      <w:pPr>
        <w:pStyle w:val="Normal"/>
        <w:spacing w:lineRule="auto" w:line="240" w:before="120" w:after="0"/>
        <w:jc w:val="center"/>
        <w:rPr/>
      </w:pPr>
      <w:r>
        <w:rPr>
          <w:rFonts w:eastAsia="Aptos" w:ascii="Aptos" w:hAnsi="Aptos"/>
          <w:b/>
          <w:i w:val="false"/>
          <w:color w:val="D4AF37"/>
          <w:sz w:val="25"/>
        </w:rPr>
        <w:t>FOI • EXCELLENCE • INTÉGRITÉ • LEADERSHIP</w:t>
      </w:r>
    </w:p>
    <w:p>
      <w:pPr>
        <w:pStyle w:val="Normal"/>
        <w:rPr/>
      </w:pPr>
      <w:r>
        <w:rPr/>
      </w:r>
      <w:r>
        <w:br w:type="page"/>
      </w:r>
    </w:p>
    <w:p>
      <w:pPr>
        <w:pStyle w:val="Heading1"/>
        <w:keepNext w:val="true"/>
        <w:spacing w:lineRule="auto" w:line="240" w:before="0" w:after="100"/>
        <w:rPr/>
      </w:pPr>
      <w:r>
        <w:rPr/>
        <w:t>1. Objet, périmètre et méthode</w:t>
      </w:r>
    </w:p>
    <w:p>
      <w:pPr>
        <w:pStyle w:val="Normal"/>
        <w:spacing w:lineRule="auto" w:line="259" w:before="0" w:after="100"/>
        <w:rPr/>
      </w:pPr>
      <w:r>
        <w:rPr>
          <w:rFonts w:eastAsia="Aptos" w:ascii="Aptos" w:hAnsi="Aptos"/>
          <w:b w:val="false"/>
          <w:i w:val="false"/>
          <w:color w:val="1F2D3D"/>
          <w:sz w:val="20"/>
        </w:rPr>
        <w:t>Ce document relève les points développés dans l’entrée « Inscription définitive — Compléter mon dossier », laquelle appartient au menu Admissions. Aucun sous-menu enfant distinct n’a été relevé sous cette entrée : le contenu opérationnel est organisé dans la page sous la forme d’une introduction, de règles de confidentialité et d’un formulaire en 14 étapes. Pour chaque titre ou section, dix questions sont fournies avec des réponses strictement rattachées au texte ou aux choix du formulaire.</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Source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Audit Admissions du site test daté du 2 juillet 2026 et export WordPress complet du 28 juin 2026 disponibles dans les fichiers institutionnels.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Position dans la navigation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&gt; Inscription définitive — Compléter mon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Organisation interne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Introduction, confidentialité, règles de saisie et quatorze étapes fonctionnelles.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Règle de fidélité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réponses reprennent ou paraphrasent le texte et les choix publiés ; aucune condition supplémentaire n’est inventée.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Données sensibles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informations de santé, de garde, d’identité, de finances et les pièces sont traitées avec une attention renforcée.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Limite essentielle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transmission du formulaire ne constitue pas une décision d’admission.</w:t>
            </w:r>
          </w:p>
        </w:tc>
      </w:tr>
    </w:tbl>
    <w:p>
      <w:pPr>
        <w:pStyle w:val="Heading1"/>
        <w:keepNext w:val="true"/>
        <w:spacing w:lineRule="auto" w:line="240" w:before="160" w:after="80"/>
        <w:rPr/>
      </w:pPr>
      <w:r>
        <w:rPr/>
        <w:t>2. Cartographie des fiches</w:t>
      </w:r>
    </w:p>
    <w:tbl>
      <w:tblPr>
        <w:tblW w:w="10480"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TITRE / SECTION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STATUT</w:t>
            </w:r>
          </w:p>
        </w:tc>
        <w:tc>
          <w:tcPr>
            <w:tcW w:w="2619"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QUESTIONS</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Entrée « Inscription définitive — Compléter mon dossier » dans le menu Admissions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STRUCTURE DE NAVIGATION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Inscription définitive — Compléter mon dossier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ET FORMULAIRE PUBLIÉS</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Fiche complète d’inscription 2026-2027 — les 14 domaines couverts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INTRODUCTIVE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Confidentialité — dossier privé et canal sécurisé pour les pièces sensibles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NOTE DE CONFIDENTIALITÉ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Champs obligatoires, progression et vérification avant transmission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RÈGLES DE SAISIE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 — Identification de la demande et niveau sollicité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2 — Identité complète de l’enfant</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3 — Parcours scolaire ou première entrée à l’école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4 — Responsables légaux et autorité parentale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5 — Contacts d’urgence et personnes autorisées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6 — Santé déclarée, allergies, vaccination et restrictions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7 — Antécédents, traitements et autorisations médicales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8 — Besoins particuliers, bien-être et talents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9 — Vie scolaire, activités, transport et garderie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10 — Numérique, données, image et communications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11 — Pièces justificatives et contrôle documentaire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12 — Engagement financier et échéancier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Étape 13 — Contrat, déclarations et signature du responsable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Étape 14 — Résumé, soumission et validation administrative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DU FORMULAIRE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Avertissement final — transmettre le dossier ne vaut pas décision d’admission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NOTE DE VALIDATION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bl>
    <w:p>
      <w:pPr>
        <w:pStyle w:val="Normal"/>
        <w:spacing w:lineRule="auto" w:line="240" w:before="80" w:after="0"/>
        <w:jc w:val="end"/>
        <w:rPr/>
      </w:pPr>
      <w:r>
        <w:rPr>
          <w:rFonts w:eastAsia="Aptos" w:ascii="Aptos" w:hAnsi="Aptos"/>
          <w:b/>
          <w:i w:val="false"/>
          <w:color w:val="D4AF37"/>
          <w:sz w:val="18"/>
        </w:rPr>
        <w:t>Total : 20 fiches • 200 questions-réponses • 141 définitions</w:t>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 PLACE DANS LE MENU ET PRÉSENTATION GÉNÉRALE</w:t>
      </w:r>
    </w:p>
    <w:p>
      <w:pPr>
        <w:pStyle w:val="Normal"/>
        <w:keepNext w:val="true"/>
        <w:spacing w:lineRule="auto" w:line="240" w:before="0" w:after="160"/>
        <w:rPr/>
      </w:pPr>
      <w:r>
        <w:rPr>
          <w:rFonts w:eastAsia="Aptos" w:ascii="Aptos" w:hAnsi="Aptos"/>
          <w:b w:val="false"/>
          <w:i/>
          <w:color w:val="5B6777"/>
          <w:sz w:val="19"/>
        </w:rPr>
        <w:t>Navigation, page, domaines couverts, confidentialité et règles de saisie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 Entrée « Inscription définitive — Compléter mon dossier » dans le menu Admissions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STRUCTURE DE NAVIGATION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Dans le menu « Admissions », l’entrée « Inscription définitive — Compléter mon dossier » conduit à la fiche complète du candidat. Elle se situe dans le parcours après la préinscription et avant les pages consacrées aux pièces et aux frais.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indique clairement à la famille qu’elle quitte la simple manifestation d’intérêt pour constituer un dossier administratif détaillé.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assure la continuité du parcours Admissions, réduit les erreurs d’orientation et donne un accès direct au formulaire complet.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Présentation de la procédure ; Préinscription ; Pièces à fournir ; Frais et modalités de paiement ; FAQ ;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Entrée « Inscription définitive — Compléter mon dossier » dans le menu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menu « Admissions », l’entrée « Inscription définitive — Compléter mon dossier » conduit à la fiche complète du candidat. Elle se situe dans le parcours après la préinscription et avant les pages consacrées aux pièces et aux frais.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menu parent de cette entrée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menu « Admissions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l’intitulé officiel de l’entrée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 Inscription définitive — Compléter mon dossier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page ouvre cette entrée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/inscription-definitive/.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démarche la précède dans le parcours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rubriques complètent ensuite le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pièces à fournir et les frais et modalités de paiement.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Cette entrée possède-t-elle un sous-menu enfant visible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 sous-menu enfant distinct n’est relevé ; la page est organisée en sections et en 14 étapes internes.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14 étapes sont des parties internes du formulaire et non des sous-menus autonomes de la navigation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Cette entrée relie la préinscription au formulaire complet, puis aux pièces et aux frais.</w:t>
            </w:r>
          </w:p>
        </w:tc>
      </w:tr>
    </w:tbl>
    <w:p>
      <w:pPr>
        <w:pStyle w:val="Normal"/>
        <w:spacing w:lineRule="auto" w:line="240" w:before="0" w:after="40"/>
        <w:rPr/>
      </w:pPr>
      <w:r>
        <w:rPr/>
      </w:r>
    </w:p>
    <w:p>
      <w:pPr>
        <w:pStyle w:val="Heading1"/>
        <w:keepNext w:val="true"/>
        <w:spacing w:lineRule="auto" w:line="240" w:before="100" w:after="20"/>
        <w:rPr/>
      </w:pPr>
      <w:r>
        <w:rPr/>
        <w:t>2. Inscription définitive — Compléter mon dossier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ET FORMULAIRE PUBLIÉS</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Fiche complète d’inscription en 14 étapes, conforme au parcours fonctionnel de GSE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identifie l’outil de constitution détaillée du dossier après la phase initiale de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page centralise les informations administratives, scolaires, sécuritaires, sanitaires, financières et les consentements nécessaires à l’étude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GSE Admissions ; Préinscription ; 14 étapes ; pièces ; santé ; protection ; consentements ; frais ; signature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Inscription définitive — Compléter mon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Fiche complète d’inscription en 14 étapes, conforme au parcours fonctionnel de 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Combien d’étapes comprend la fiche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Quatorze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quel parcours fonctionnel la fiche est-elle conforme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parcours fonctionnel de 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action le titre invite-t-il à réaliser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Compléter 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est-elle un simple formulaire de contact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C’est une fiche complète d’inscription en 14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système institutionnel structure ce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GSE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transmission finale vaut-elle automatiquement décision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Le formulaire précise que l’envoi ne constitue pas une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Malgré l’intitulé « inscription définitive », la soumission reste soumise à la vérification et à la décision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permet de compléter une fiche d’inscription structurée en 14 étapes dans GSE Admissions.</w:t>
            </w:r>
          </w:p>
        </w:tc>
      </w:tr>
    </w:tbl>
    <w:p>
      <w:pPr>
        <w:pStyle w:val="Normal"/>
        <w:spacing w:lineRule="auto" w:line="240" w:before="0" w:after="40"/>
        <w:rPr/>
      </w:pPr>
      <w:r>
        <w:rPr/>
      </w:r>
    </w:p>
    <w:p>
      <w:pPr>
        <w:pStyle w:val="Heading1"/>
        <w:keepNext w:val="true"/>
        <w:spacing w:lineRule="auto" w:line="240" w:before="100" w:after="20"/>
        <w:rPr/>
      </w:pPr>
      <w:r>
        <w:rPr/>
        <w:t>3. Fiche complète d’inscription 2026-2027 — les 14 domaines couverts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INTRODUCTIVE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fiche reprend le parcours structuré de GSE Admissions en 14 étapes : demande et niveau, identité de l’enfant, parcours scolaire, responsables légaux, urgences, santé déclarée, traitements, besoins particuliers, vie scolaire, numérique et consentements, pièces, engagement financier, signatures et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résume l’étendue du formulaire avant la saisie et montre que le dossier dépasse les seules données d’identité.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à la famille de préparer les informations nécessaires et à l’école d’étudier le dossier de manière cohérente, sécurisée et multidisciplinaire.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Étapes 1 à 14 ; GSE Admissions ; santé ; sécurité ; inclusion ; finances ; consentements ; pièces ; signature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Fiche complète d’inscription 2026-2027 — les 14 domaines couverts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fiche reprend le parcours structuré de GSE Admissions en 14 étapes : demande et niveau, identité de l’enfant, parcours scolaire, responsables légaux, urgences, santé déclarée, traitements, besoins particuliers, vie scolaire, numérique et consentements, pièces, engagement financier, signatures et validation.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Combien d’étapes composent le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Quatorze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premier domaine est couvert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demande et le niveau sollicité.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domaines décrivent l’enfant et son parcours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L’identité de l’enfant et le parcours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domaines concernent la protection et la santé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responsables légaux, les urgences, la santé déclarée et les traitements.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domaines concernent l’accompagnement et la vie quotidienne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besoins particuliers et la vie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domaines finalisent le dossier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numérique et les consentements, les pièces, l’engagement financier, les signatures et la validation.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liste des domaines décrit la structure du formulaire ; elle ne signifie pas qu’une simple saisie vaut 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dossier rassemble quatorze domaines administratifs, scolaires, sanitaires, sécuritaires, numériques et financiers.</w:t>
            </w:r>
          </w:p>
        </w:tc>
      </w:tr>
    </w:tbl>
    <w:p>
      <w:pPr>
        <w:pStyle w:val="Normal"/>
        <w:spacing w:lineRule="auto" w:line="240" w:before="0" w:after="40"/>
        <w:rPr/>
      </w:pPr>
      <w:r>
        <w:rPr/>
      </w:r>
    </w:p>
    <w:p>
      <w:pPr>
        <w:pStyle w:val="Heading1"/>
        <w:keepNext w:val="true"/>
        <w:spacing w:lineRule="auto" w:line="240" w:before="100" w:after="20"/>
        <w:rPr/>
      </w:pPr>
      <w:r>
        <w:rPr/>
        <w:t>4. Confidentialité — dossier privé et canal sécurisé pour les pièces sensibles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NOTE DE CONFIDENTIALITÉ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informations sont enregistrées dans un dossier privé accessible uniquement aux administrateurs habilités du site. Les pièces sensibles sont déclarées dans la fiche mais ne sont pas téléversées publiquement ; leur vérification se poursuit par le canal sécurisé communiqué par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avertit la famille du caractère sensible des données et explique les mesures de protection prévues.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confidentialité protège l’enfant et les responsables, limite les accès et sépare la déclaration en ligne du contrôle sécurisé des documents.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 administrateurs habilités ; canal sécurisé ; pièces sensibles ; contrôle documentaire ; santé ; autorité parentale ; données personnelles.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Confidentialité — dossier privé et canal sécurisé pour les pièces sensibles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sont enregistrées dans un dossier privé accessible uniquement aux administrateurs habilités du site. Les pièces sensibles sont déclarées dans la fiche mais ne sont pas téléversées publiquement ; leur vérification se poursuit par le canal sécurisé communiqué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Où les informations du formulaire sont-elles enregistrées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Dans un dossier privé.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peut accéder au dossier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Uniquement les administrateurs habilités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pièces sensibles sont-elles téléversées publiquement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 fait la famille dans le formulaire au sujet de ces pièces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Elle déclare leur disponibilité ou leur situation.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Comment la vérification des pièces sensibles se poursuit-elle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 le canal sécurisé communiqué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service communique le canal sécurisé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famille ne doit pas transmettre de mots de passe ni de données inutiles et doit utiliser uniquement le canal officiel indiqué.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données restent dans un dossier privé et les pièces sensibles sont vérifiées par un canal sécurisé.</w:t>
            </w:r>
          </w:p>
        </w:tc>
      </w:tr>
    </w:tbl>
    <w:p>
      <w:pPr>
        <w:pStyle w:val="Normal"/>
        <w:spacing w:lineRule="auto" w:line="240" w:before="0" w:after="40"/>
        <w:rPr/>
      </w:pPr>
      <w:r>
        <w:rPr/>
      </w:r>
    </w:p>
    <w:p>
      <w:pPr>
        <w:pStyle w:val="Heading1"/>
        <w:keepNext w:val="true"/>
        <w:spacing w:lineRule="auto" w:line="240" w:before="100" w:after="20"/>
        <w:rPr/>
      </w:pPr>
      <w:r>
        <w:rPr/>
        <w:t>5. Champs obligatoires, progression et vérification avant transmission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RÈGLES DE SAISIE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champs obligatoires sont signalés par un astérisque. Le formulaire progresse étape par étape, permet de revenir à l’étape précédente pour corriger et présente un résumé à relire avant la transmission au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explique comment remplir le formulaire sans omettre les données indispensables et sans transmettre un dossier non relu.</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règles améliorent la qualité des données, réduisent les erreurs et donnent à la famille la possibilité de corriger avant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Astérisque ; champ obligatoire ; Étape précédente ; résumé ; relecture ; correction ; transmission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Champs obligatoires, progression et vérification avant transmission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champs obligatoires sont signalés par un astérisque. Le formulaire progresse étape par étape, permet de revenir à l’étape précédente pour corriger et présente un résumé à relire avant la transmission au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Comment un champ obligatoire est-il signalé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le formulaire est-il organisé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Il progresse étape par étape.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Peut-on revenir en arrière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avec la commande « Étape précédente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Pourquoi revenir à une étape antérieure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Pour corriger ou compléter une information.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 voit la famille avant l’envoi final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résumé des informations essentielles.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 doit-elle faire avant de transmettre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Relire et confirmer 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passage d’une étape à l’autre et l’affichage du résumé ne remplacent pas la vérification ultérieure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champs requis sont signalés, la saisie est progressive et le dossier doit être relu avant transmission.</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 FORMULAIRE COMPLET EN 14 ÉTAPES</w:t>
      </w:r>
    </w:p>
    <w:p>
      <w:pPr>
        <w:pStyle w:val="Normal"/>
        <w:keepNext w:val="true"/>
        <w:spacing w:lineRule="auto" w:line="240" w:before="0" w:after="160"/>
        <w:rPr/>
      </w:pPr>
      <w:r>
        <w:rPr>
          <w:rFonts w:eastAsia="Aptos" w:ascii="Aptos" w:hAnsi="Aptos"/>
          <w:b w:val="false"/>
          <w:i/>
          <w:color w:val="5B6777"/>
          <w:sz w:val="19"/>
        </w:rPr>
        <w:t>Données administratives, scolaires, sécuritaires, sanitaires, numériques et financières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6. Étape 1 — Identification de la demande et niveau sollicité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le type de demande, l’année scolaire, le niveau sollicité, la langue de communication souhaitée et une précision initiale éventuelle.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identifie la nature administrative de la demande avant de recueillir les données personnelles détaillées.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de router le dossier vers le bon niveau, la bonne année et le bon mode de communication.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Nouvelle inscription ; réinscription ; Maternelle ; Primaire ; français ; English ; bilingue ;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 — Identification de la demande et niveau sollicité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le type de demande, l’année scolaire, le niveau sollicité, la langue de communication souhaitée et une précision initiale éventuelle.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types de demande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Nouvelle inscription ou 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période doit être indiquée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L’année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niveaux maternels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Petite Section, Moyenne Section et Grande Section.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niveaux primaires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1re, 2e, 3e et 4e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langues de communication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Français, English ou Français–English.</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champ libre est prévu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précision initiale ou demande particulière.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demande de ne fournir aucun mot de passe ni information confidentielle inutile.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 identifie le type de demande, l’année, le niveau et la langue de communication.</w:t>
            </w:r>
          </w:p>
        </w:tc>
      </w:tr>
    </w:tbl>
    <w:p>
      <w:pPr>
        <w:pStyle w:val="Normal"/>
        <w:spacing w:lineRule="auto" w:line="240" w:before="0" w:after="40"/>
        <w:rPr/>
      </w:pPr>
      <w:r>
        <w:rPr/>
      </w:r>
    </w:p>
    <w:p>
      <w:pPr>
        <w:pStyle w:val="Heading1"/>
        <w:keepNext w:val="true"/>
        <w:spacing w:lineRule="auto" w:line="240" w:before="100" w:after="20"/>
        <w:rPr/>
      </w:pPr>
      <w:r>
        <w:rPr/>
        <w:t>7. Étape 2 — Identité complète de l’enfant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 nom, les prénoms, le nom usuel, le sexe, la date et le lieu de naissance, la nationalité, la langue maternelle, les autres langues et l’adresse de résidence.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garantit l’identification fiable de l’enfant dans le dossier 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Des données identitaires exactes sont indispensables pour les documents officiels, le classement du dossier et la communication avec les services.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Acte de naissance ; pièce d’identité ; langue maternelle ; bilinguisme ; pièces justificatives.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2 — Identité complète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 nom, les prénoms, le nom usuel, le sexe, la date et le lieu de naissance, la nationalité, la langue maternelle, les autres langues et l’adresse de résidence.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noms sont demandés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de famille, les prénoms et, le cas échéant, le nom usuel.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donnée relative au sexe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Féminin ou Masculin.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informations de naissance sont requises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date et le lieu de naissance.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citoyenneté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nationalité.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informations linguistiques sont prévues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langue maternelle et les autres langues comprises ou parlées.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donnée de localisation est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L’adresse de résidence.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doivent correspondre aux pièces d’état civil qui seront vérifiées par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2 recueille toutes les données nécessaires à l’identité complète de l’enfant.</w:t>
            </w:r>
          </w:p>
        </w:tc>
      </w:tr>
    </w:tbl>
    <w:p>
      <w:pPr>
        <w:pStyle w:val="Normal"/>
        <w:spacing w:lineRule="auto" w:line="240" w:before="0" w:after="40"/>
        <w:rPr/>
      </w:pPr>
      <w:r>
        <w:rPr/>
      </w:r>
    </w:p>
    <w:p>
      <w:pPr>
        <w:pStyle w:val="Heading1"/>
        <w:keepNext w:val="true"/>
        <w:spacing w:lineRule="auto" w:line="240" w:before="100" w:after="20"/>
        <w:rPr/>
      </w:pPr>
      <w:r>
        <w:rPr/>
        <w:t>8. Étape 3 — Parcours scolaire ou première entrée à l’école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distingue la première entrée à l’école de la situation d’un enfant déjà scolarisé et recueille l’école de provenance, la dernière classe, le résultat, le motif du changement et les observations pédagogiques.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tient compte à la fois des nouveaux élèves sans antécédent scolaire et de ceux qui changent d’établissement.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information aide à orienter l’enfant, à comprendre ses acquis et à préparer un accompagnement adapté.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Maternelle ; Primaire ; école de provenance ; bulletin ; attestation ; niveau demandé ; besoins particuliers.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3 — Parcours scolaire ou première entrée à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distingue la première entrée à l’école de la situation d’un enfant déjà scolarisé et recueille l’école de provenance, la dernière classe, le résultat, le motif du changement et les observations pédagogiques.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scolaires antérieures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Jamais scolarisé(e) / Première entrée à l’école, ou Déjà scolarisé(e).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établissement antérieur peut être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 de provenance.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classe antérieure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dernière classe fréquentée.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résultats de fin d’année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Réussi, En cours, Redoublant, Inconnu ou Sans objet.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motif peut être expliqué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motif du changement d’école.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accompagnement antérieur peut être signalé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observations pédagogiques ou l’accompagnement déjà reçu.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Pour un enfant jamais scolarisé, les champs de provenance doivent être traités comme non applicables.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3 documente la première entrée ou le parcours scolaire antérieur de l’enfant.</w:t>
            </w:r>
          </w:p>
        </w:tc>
      </w:tr>
    </w:tbl>
    <w:p>
      <w:pPr>
        <w:pStyle w:val="Normal"/>
        <w:spacing w:lineRule="auto" w:line="240" w:before="0" w:after="40"/>
        <w:rPr/>
      </w:pPr>
      <w:r>
        <w:rPr/>
      </w:r>
    </w:p>
    <w:p>
      <w:pPr>
        <w:pStyle w:val="Heading1"/>
        <w:keepNext w:val="true"/>
        <w:spacing w:lineRule="auto" w:line="240" w:before="100" w:after="20"/>
        <w:rPr/>
      </w:pPr>
      <w:r>
        <w:rPr/>
        <w:t>9. Étape 4 — Responsables légaux et autorité parentale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informations du responsable principal, d’un deuxième responsable éventuel, le lien avec l’enfant, les coordonnées, l’autorité parentale et les restrictions de garde, de contact ou d’autorité.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établit clairement qui représente légalement l’enfant et qui peut prendre des décisions le concernant.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protège l’enfant, sécurise les communications et réduit les risques liés à la garde ou aux décisions non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Responsables légaux ; pièces d’identité ; garde ; autorité parentale ; contacts d’urgence ; sortie sécurisée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4 — Responsables légaux et autorité parentale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informations du responsable principal, d’un deuxième responsable éventuel, le lien avec l’enfant, les coordonnées, l’autorité parentale et les restrictions de garde, de contact ou d’autorité.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données sont obligatoires pour le responsable principal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complet, le lien avec l’enfant et 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liens avec l’enfant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Père, Mère, Tuteur/Tutrice ou Autre.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autres contacts peuvent être fournis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WhatsApp et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situations d’autorité parentale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Confirmée, Partagée, Sous conditions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Un deuxième responsable peut-il être enregistré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le cas échéant.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restrictions doivent être déclarées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restrictions de garde, d’autorité parentale ou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justificatifs peuvent être demandés et la mention « Aucune connue » doit être utilisée lorsqu’elle s’applique.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4 identifie les responsables et précise l’autorité parentale ainsi que les restrictions éventuelles.</w:t>
            </w:r>
          </w:p>
        </w:tc>
      </w:tr>
    </w:tbl>
    <w:p>
      <w:pPr>
        <w:pStyle w:val="Normal"/>
        <w:spacing w:lineRule="auto" w:line="240" w:before="0" w:after="40"/>
        <w:rPr/>
      </w:pPr>
      <w:r>
        <w:rPr/>
      </w:r>
    </w:p>
    <w:p>
      <w:pPr>
        <w:pStyle w:val="Heading1"/>
        <w:keepNext w:val="true"/>
        <w:spacing w:lineRule="auto" w:line="240" w:before="100" w:after="20"/>
        <w:rPr/>
      </w:pPr>
      <w:r>
        <w:rPr/>
        <w:t>10. Étape 5 — Contacts d’urgence et personnes autorisées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un premier contact d’urgence obligatoire, un deuxième contact éventuel, les personnes régulièrement autorisées à récupérer l’enfant et les restrictions ou consignes particulières de sortie.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relie la gestion des urgences à la remise sécurisée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une réaction rapide en cas d’urgence et évite la remise de l’enfant à une personne non autorisée.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 sécurité ; protection de l’enfant ; remise sécurisée ; Espace Parents ; responsables légaux.</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5 — Contacts d’urgence et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un premier contact d’urgence obligatoire, un deuxième contact éventuel, les personnes régulièrement autorisées à récupérer l’enfant et les restrictions ou consignes particulières de sortie.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contact d’urgence est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premier contact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données sont demandées pour ce contact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nom, le lien avec l’enfant et 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Un deuxième contact peut-il être indiqué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Combien de personnes autorisées peuvent être saisies dans la fiche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moins deux emplacements sont prévus.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données sont demandées pour la première personne autorisée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nom, son lien avec l’enfant et son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champ encadre les exceptions de sortie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Restrictions de sortie ou consignes particulières.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présence d’un nom dans le dossier doit rester soumise aux procédures effectives de vérification lors de la sortie.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5 organise les contacts d’urgence et les personnes autorisées à récupérer l’enfant.</w:t>
            </w:r>
          </w:p>
        </w:tc>
      </w:tr>
    </w:tbl>
    <w:p>
      <w:pPr>
        <w:pStyle w:val="Normal"/>
        <w:spacing w:lineRule="auto" w:line="240" w:before="0" w:after="40"/>
        <w:rPr/>
      </w:pPr>
      <w:r>
        <w:rPr/>
      </w:r>
    </w:p>
    <w:p>
      <w:pPr>
        <w:pStyle w:val="Heading1"/>
        <w:keepNext w:val="true"/>
        <w:spacing w:lineRule="auto" w:line="240" w:before="100" w:after="20"/>
        <w:rPr/>
      </w:pPr>
      <w:r>
        <w:rPr/>
        <w:t>11. Étape 6 — Santé déclarée, allergies, vaccination et restrictions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la situation allergique, les catégories d’allergies, l’allergène, la réaction et la gravité, la conduite à tenir, le groupe sanguin si connu, la situation vaccinale, les maladies chroniques et les signes d’alerte.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regroupe les informations de santé que la famille déclare afin de prévenir les risques à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données soutiennent la prévention, la préparation aux urgences et l’adaptation de l’accueil sans transformer le formulaire en dossier clinique.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et sécurité ; EMA ; allergies ; vaccination ; premiers secours ; contacts d’urgence ; besoins particuliers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6 — Santé déclarée, allergies, vaccination et restrictions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la situation allergique, les catégories d’allergies, l’allergène, la réaction et la gravité, la conduite à tenir, le groupe sanguin si connu, la situation vaccinale, les maladies chroniques et les signes d’alerte.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d’allergie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Aucune allergie connue, Allergie déclarée, Inconnu ou Évaluation en cours.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catégories d’allergies sont citées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Alimentaire, Médicamenteuse, Respiratoire/environnementale, Insectes, Cutanée/contact ou Autre.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détails sur l’allergie doivent être précisés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L’allergène, la réaction et la gravité.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préparation d’urgence est demandée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conduite à tenir et le médicament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situations vaccinales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jour selon le parent, Carnet vérifié, Partielle, Non à jour, Inconnue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 peut-on déclarer au sujet d’une affection importante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Aucune connue, Déclarée, Inconnue ou Évaluation en cours, avec précisions et signes d’alerte.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sont déclaratives ; les diagnostics et notes cliniques relèvent des professionnels et des modules médicaux habilités.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6 documente allergies, vaccination, maladies importantes, restrictions et conduite à tenir.</w:t>
            </w:r>
          </w:p>
        </w:tc>
      </w:tr>
    </w:tbl>
    <w:p>
      <w:pPr>
        <w:pStyle w:val="Normal"/>
        <w:spacing w:lineRule="auto" w:line="240" w:before="0" w:after="40"/>
        <w:rPr/>
      </w:pPr>
      <w:r>
        <w:rPr/>
      </w:r>
    </w:p>
    <w:p>
      <w:pPr>
        <w:pStyle w:val="Heading1"/>
        <w:keepNext w:val="true"/>
        <w:spacing w:lineRule="auto" w:line="240" w:before="100" w:after="20"/>
        <w:rPr/>
      </w:pPr>
      <w:r>
        <w:rPr/>
        <w:t>12. Étape 7 — Antécédents, traitements et autorisations médicales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traitements, le médecin ou la structure de soins, le contact médical, la couverture éventuelle, les médicaments et ordonnances, ainsi que les autorisations de premiers soins, de transfert urgent et d’administration de médicament.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complète la santé déclarée par les mesures concrètes de prise en charge autorisées par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sécurise les interventions de l’école, limite les ambiguïtés et prépare la coordination avec les services de santé.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EMA ; santé scolaire ; ordonnance ; premiers soins ; urgence ; consentement ; confidentialité ; responsables légaux.</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7 — Antécédents, traitements et autorisations médicales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traitements, le médecin ou la structure de soins, le contact médical, la couverture éventuelle, les médicaments et ordonnances, ainsi que les autorisations de premiers soins, de transfert urgent et d’administration de médicament.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de traitement en cours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Régulier, Temporaire, Suspendu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professionnel ou service peut être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médecin ou la structure de soins habituelle.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détails d’un médicament sont demandés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médicament, la dose, les horaires et la situation de l’ordonnance.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options existent pour les premiers soins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Refusé ou Autorisé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options existent pour un transfert urgent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Autorisé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Comment l’administration d’un médicament déclaré peut-elle être encadrée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sur ordonnance, Refusé, Sans objet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enregistre les déclarations ; les consultations, diagnostics et notes cliniques internes relèvent d’EMA et ne font pas partie de la fiche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7 précise traitements, contacts médicaux et autorisations de soins ou de transfert.</w:t>
            </w:r>
          </w:p>
        </w:tc>
      </w:tr>
    </w:tbl>
    <w:p>
      <w:pPr>
        <w:pStyle w:val="Normal"/>
        <w:spacing w:lineRule="auto" w:line="240" w:before="0" w:after="40"/>
        <w:rPr/>
      </w:pPr>
      <w:r>
        <w:rPr/>
      </w:r>
    </w:p>
    <w:p>
      <w:pPr>
        <w:pStyle w:val="Heading1"/>
        <w:keepNext w:val="true"/>
        <w:spacing w:lineRule="auto" w:line="240" w:before="100" w:after="20"/>
        <w:rPr/>
      </w:pPr>
      <w:r>
        <w:rPr/>
        <w:t>13. Étape 8 — Besoins particuliers, bien-être et talents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demande les besoins éducatifs ou fonctionnels, la mobilité, l’accompagnement linguistique, les adaptations utiles, les informations de bien-être ou de transition et les talents ou centres d’intérêt.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associe l’inclusion et le bien-être à la reconnaissance des forces et des talents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aide l’école à préparer un accompagnement adapté et à valoriser l’enfant au-delà de ses éventuelles difficultés.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Inclusion ; accompagnement personnalisé ; bilinguisme ; Vie scolaire ; Activités et talents ; santé ; transition 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8 — Besoins particuliers, bien-être et talents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demande les besoins éducatifs ou fonctionnels, la mobilité, l’accompagnement linguistique, les adaptations utiles, les informations de bien-être ou de transition et les talents ou centres d’intérêt.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situations de besoin particulier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connu, Déclaré, Inconnu, Non évalué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situations de mobilité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Autonome, Aide ponctuelle, Adaptation nécessaire ou Non évaluée.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options d’accompagnement linguistique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Français, English, Français–English ou À évaluer.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champ permet de proposer des adaptations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Adaptations ou accompagnements 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aspects personnels peuvent être décrits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bien-être, le comportement ou la transition.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forces de l’enfant peuvent être signalées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Ses talents, centres d’intérêt et activités appréciées.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doivent être utilisées pour préparer l’accompagnement et non pour discriminer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8 identifie les besoins, les adaptations, le bien-être et les talents de l’enfant.</w:t>
            </w:r>
          </w:p>
        </w:tc>
      </w:tr>
    </w:tbl>
    <w:p>
      <w:pPr>
        <w:pStyle w:val="Normal"/>
        <w:spacing w:lineRule="auto" w:line="240" w:before="0" w:after="40"/>
        <w:rPr/>
      </w:pPr>
      <w:r>
        <w:rPr/>
      </w:r>
    </w:p>
    <w:p>
      <w:pPr>
        <w:pStyle w:val="Heading1"/>
        <w:keepNext w:val="true"/>
        <w:spacing w:lineRule="auto" w:line="240" w:before="100" w:after="20"/>
        <w:rPr/>
      </w:pPr>
      <w:r>
        <w:rPr/>
        <w:t>14. Étape 9 — Vie scolaire, activités, transport et garderie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autorisations pour les activités et sorties, l’intérêt pour un éventuel transport scolaire, les besoins de garderie ou d’activités après les cours et la présence de frères ou sœurs inscrits ou candidats.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rassemble les services et activités qui organisent la vie de l’enfant autour des cours.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permet de préparer les autorisations, d’évaluer les besoins des familles et de planifier les services sans créer de promesse prématurée.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Vie scolaire ; Activités et talents ; sorties ; garderie ; transport ; Espace Parents ; fratrie.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9 — Vie scolaire, activités, transport et garderie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autorisations pour les activités et sorties, l’intérêt pour un éventuel transport scolaire, les besoins de garderie ou d’activités après les cours et la présence de frères ou sœurs inscrits ou candidats.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options existent pour les activités scolaires et parascolaires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les sorties pédagogiques peuvent-elles être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avec information préalable,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peut indiquer la famille concernant le transport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besoin ou le souhait d’être informée si le service devient disponible.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options existent pour la garderie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 besoin, Information souhaitée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information familiale supplémentaire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présence de frères ou sœurs inscrits ou candidats.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Un bus scolaire est-il annoncé pour la première année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question sur le transport recueille seulement l’intérêt et ne constitue aucun engagement de transport.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9 recueille les autorisations et besoins liés aux activités, sorties, transport, garderie et fratrie.</w:t>
            </w:r>
          </w:p>
        </w:tc>
      </w:tr>
    </w:tbl>
    <w:p>
      <w:pPr>
        <w:pStyle w:val="Normal"/>
        <w:spacing w:lineRule="auto" w:line="240" w:before="0" w:after="40"/>
        <w:rPr/>
      </w:pPr>
      <w:r>
        <w:rPr/>
      </w:r>
    </w:p>
    <w:p>
      <w:pPr>
        <w:pStyle w:val="Heading1"/>
        <w:keepNext w:val="true"/>
        <w:spacing w:lineRule="auto" w:line="240" w:before="100" w:after="20"/>
        <w:rPr/>
      </w:pPr>
      <w:r>
        <w:rPr/>
        <w:t>15. Étape 10 — Numérique, données, image et communications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recueille les choix sur les services numériques sécurisés, l’utilisation de l’image de l’enfant, les restrictions d’image, les canaux de communication et l’autorisation de traiter les données pour l’admission, la scolarité, la sécurité, la communication et les obligations institutionnelles.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réunit les consentements numériques et communicationnels qui doivent être explicites et traçables.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protège les droits de la famille, encadre la communication et donne une base légitime au traitement des 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Confidentialité ; Portail Parents ; ÉMINA ; droit à l’image ; consentement ; communication ; services numériques ; obligations légales.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10 — Numérique, données, image et communications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recueille les choix sur les services numériques sécurisés, l’utilisation de l’image de l’enfant, les restrictions d’image, les canaux de communication et l’autorisation de traiter les données pour l’admission, la scolarité, la sécurité, la communication et les obligations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options existent pour les services numériques sécurisés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Autorisé, Refusé ou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options existent pour l’image de l’enfant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 Refusé ou Restreint / Sous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champ permet de détailler les limites liées à l’image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Restrictions concernant l’image, le cas échéant.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canaux de communication sont proposés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Téléphone, SMS, WhatsApp, Courriel et Portail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Pour quelles finalités les données peuvent-elles être traitées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 scolarité, sécurité, communication et obligations légales ou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famille doit-elle choisir au moins un canal pratique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consentement ne permet pas d’utiliser les données en dehors des finalités annoncées et doit respecter la politique de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10 encadre les services numériques, l’image, les communications et le traitement des données.</w:t>
            </w:r>
          </w:p>
        </w:tc>
      </w:tr>
    </w:tbl>
    <w:p>
      <w:pPr>
        <w:pStyle w:val="Normal"/>
        <w:spacing w:lineRule="auto" w:line="240" w:before="0" w:after="40"/>
        <w:rPr/>
      </w:pPr>
      <w:r>
        <w:rPr/>
      </w:r>
    </w:p>
    <w:p>
      <w:pPr>
        <w:pStyle w:val="Heading1"/>
        <w:keepNext w:val="true"/>
        <w:spacing w:lineRule="auto" w:line="240" w:before="100" w:after="20"/>
        <w:rPr/>
      </w:pPr>
      <w:r>
        <w:rPr/>
        <w:t>16. Étape 11 — Pièces justificatives et contrôle documentaire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permet de cocher les pièces disponibles : naissance, photo, bulletin, identités des responsables, document d’autorité parentale, vaccination, ordonnance ou plan médical, preuve de paiement et autre document ; elle prévoit aussi le signalement des pièces manquantes, expirées, illisibles ou à fournir.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distingue la déclaration de disponibilité des documents de leur vérification effective par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facilite le contrôle, la relance des pièces manquantes et la conformité du dossier sans exposer publiquement les documents sensibles.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Pièces à fournir ; contrôle des originaux ; canal sécurisé ; identité ; santé ; autorité parentale ; paiement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11 — Pièces justificatives et contrôle documentaire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permet de cocher les pièces disponibles : naissance, photo, bulletin, identités des responsables, document d’autorité parentale, vaccination, ordonnance ou plan médical, preuve de paiement et autre document ; elle prévoit aussi le signalement des pièces manquantes, expirées, illisibles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de naissance peut être coché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L’acte ou l’attestation de naissance.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documents scolaires peuvent être cochés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bulletin ou l’attestation scolaire.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documents des responsables sont prévus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pièce d’identité du responsable 1 et celle du responsable 2.</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document peut justifier la garde ou l’autorité parentale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document d’autorité parentale / garde.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documents sanitaires sont prévus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carnet de vaccination et l’ordonnance ou le plan médical.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anomalies documentaires peuvent être signalées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Pièces manquantes, expirées, illisibles ou à fournir.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 vérifie les originaux ou indique le canal sécurisé de dépôt ; cocher une pièce ne remplace pas cette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11 inventorie les pièces disponibles et celles qui restent à corriger ou à fournir.</w:t>
            </w:r>
          </w:p>
        </w:tc>
      </w:tr>
    </w:tbl>
    <w:p>
      <w:pPr>
        <w:pStyle w:val="Normal"/>
        <w:spacing w:lineRule="auto" w:line="240" w:before="0" w:after="40"/>
        <w:rPr/>
      </w:pPr>
      <w:r>
        <w:rPr/>
      </w:r>
    </w:p>
    <w:p>
      <w:pPr>
        <w:pStyle w:val="Heading1"/>
        <w:keepNext w:val="true"/>
        <w:spacing w:lineRule="auto" w:line="240" w:before="100" w:after="20"/>
        <w:rPr/>
      </w:pPr>
      <w:r>
        <w:rPr/>
        <w:t>17. Étape 12 — Engagement financier et échéancier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L’étape rappelle 370 USD de scolarité annuelle, les tranches de 150, 120 et 100 USD, les frais d’inscription de 15 USD et de réinscription de 10 USD ; elle identifie la personne responsable des paiements, le canal envisagé et l’engagement à respecter l’échéancier et les canaux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formalise la compréhension et l’acceptation des obligations financières par le responsable.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renforce la transparence, facilite le suivi des échéances et prévient les paiements sur des canaux non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et modalités ; Finance ; reçu officiel ; tranche ; échéancier ; caisse ; banque ; Mobile Money ; responsable légal.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12 — Engagement financier et échéancier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rappelle 370 USD de scolarité annuelle, les tranches de 150, 120 et 100 USD, les frais d’inscription de 15 USD et de réinscription de 10 USD ; elle identifie la personne responsable des paiements, le canal envisagé et l’engagement à respecter l’échéancier et les canaux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montant de la scolarité annuelle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370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sont les montants des trois tranches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150 USD, 120 USD et 100 USD.</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sont les frais d’inscription et de 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15 USD pour l’inscription et 10 USD pour la 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personne doit être identifiée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personne responsable des 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canaux indicatifs sont proposés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Caisse de l’école, Banque, Mobile Money lorsque disponible ou À confirmer.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engagement le responsable prend-il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Respecter l’échéancier et les canaux de paiement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montants restent soumis à toute communication institutionnelle officielle ultérieure et tout paiement exige un reçu numéroté.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12 présente les frais, identifie le payeur et formalise l’engagement sur l’échéancier et les canaux autorisés.</w:t>
            </w:r>
          </w:p>
        </w:tc>
      </w:tr>
    </w:tbl>
    <w:p>
      <w:pPr>
        <w:pStyle w:val="Normal"/>
        <w:spacing w:lineRule="auto" w:line="240" w:before="0" w:after="40"/>
        <w:rPr/>
      </w:pPr>
      <w:r>
        <w:rPr/>
      </w:r>
    </w:p>
    <w:p>
      <w:pPr>
        <w:pStyle w:val="Heading1"/>
        <w:keepNext w:val="true"/>
        <w:spacing w:lineRule="auto" w:line="240" w:before="100" w:after="20"/>
        <w:rPr/>
      </w:pPr>
      <w:r>
        <w:rPr/>
        <w:t>18. Étape 13 — Contrat, déclarations et signature du responsable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responsable certifie l’exactitude des informations, s’engage à signaler les changements de santé, allergies, traitements, garde ou contacts d’urgence, accepte le règlement intérieur, la protection de l’enfant et les valeurs, puis indique son nom, le lieu, la date et signe électroniquement.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transforme les informations saisies en déclarations assumées et traçables par le responsable.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donne une valeur d’engagement au dossier et rappelle les obligations continues de mise à jour des informations.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Règlement intérieur ; protection de l’enfant ; valeurs ; signature ; responsabilité ; santé ; autorité parentale ; traçabilité.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13 — Contrat, déclarations et signature du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responsable certifie l’exactitude des informations, s’engage à signaler les changements de santé, allergies, traitements, garde ou contacts d’urgence, accepte le règlement intérieur, la protection de l’enfant et les valeurs, puis indique son nom, le lieu, la date et signe électroniquement.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certifie le responsable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Que les informations fournies sont exactes, complètes à sa connaissance et vérifiables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changements doit-il signaler rapidement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changements concernant la santé, les allergies, les traitements, la garde ou les contacts d’urgence.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textes et principes accepte-t-il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règlement intérieur, les procédures de protection de l’enfant et les valeurs institutionnelles.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données de signature sont demandées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nom complet, le lieu, la date et le spécimen de signature.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Avec quels outils la signature peut-elle être réalisée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Avec la souris, le doigt ou un stylet.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Une commande permet-elle d’effacer la signature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signature n’empêche pas l’école de vérifier les déclarations et les justificatifs fournis.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13 formalise les déclarations, les engagements et la signature du responsable.</w:t>
            </w:r>
          </w:p>
        </w:tc>
      </w:tr>
    </w:tbl>
    <w:p>
      <w:pPr>
        <w:pStyle w:val="Normal"/>
        <w:spacing w:lineRule="auto" w:line="240" w:before="0" w:after="40"/>
        <w:rPr/>
      </w:pPr>
      <w:r>
        <w:rPr/>
      </w:r>
    </w:p>
    <w:p>
      <w:pPr>
        <w:pStyle w:val="Heading1"/>
        <w:keepNext w:val="true"/>
        <w:spacing w:lineRule="auto" w:line="240" w:before="100" w:after="20"/>
        <w:rPr/>
      </w:pPr>
      <w:r>
        <w:rPr/>
        <w:t>19. Étape 14 — Résumé, soumission et validation administrative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DU FORMULAIRE PUBLIÉ</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famille vérifie les informations essentielles, peut revenir à l’étape précédente pour corriger, confirme avoir relu le dossier et demande sa transmission au service Admissions. L’envoi ne constitue pas une décision d’admission.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clôt la saisie tout en distinguant la soumission du dossier de sa validation par l’administration.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réduit les erreurs, obtient une confirmation explicite et transmet le dossier dans le circuit de vérification.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Relecture ; correction ; soumission ; service Admissions ; validation ; décision ; liste d’attente ; confirmation financière.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14 — Résumé, soumission et validation administrative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vérifie les informations essentielles, peut revenir à l’étape précédente pour corriger, confirme avoir relu le dossier et demande sa transmission au service Admissions. L’envoi ne constitue pas une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doit faire la famille avant l’envoi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Vérifier les informations essentielles.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peut-elle corriger un élément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 utilisant « Étape précédente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confirme le responsable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Avoir relu le dossier et demander sa transmission au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qui le dossier est-il transmis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service Admissions pour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bouton final est prévu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Transmettre le dossier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L’envoi constitue-t-il une décision d’admission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validation administrative et la décision restent du ressort du personnel habilité après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L’étape 14 permet la relecture, la correction et la transmission du dossier sans préjuger de la décision.</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III. TRANSMISSION, VÉRIFICATION ET DÉCISION</w:t>
      </w:r>
    </w:p>
    <w:p>
      <w:pPr>
        <w:pStyle w:val="Normal"/>
        <w:keepNext w:val="true"/>
        <w:spacing w:lineRule="auto" w:line="240" w:before="0" w:after="160"/>
        <w:rPr/>
      </w:pPr>
      <w:r>
        <w:rPr>
          <w:rFonts w:eastAsia="Aptos" w:ascii="Aptos" w:hAnsi="Aptos"/>
          <w:b w:val="false"/>
          <w:i/>
          <w:color w:val="5B6777"/>
          <w:sz w:val="19"/>
        </w:rPr>
        <w:t>Limite entre l’envoi technique du dossier et la décision officielle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20. Avertissement final — transmettre le dossier ne vaut pas décision d’admission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70" w:type="dxa"/>
          <w:start w:w="90" w:type="dxa"/>
          <w:bottom w:w="70"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NOTE DE VALIDATION PUBLIÉE</w:t>
            </w:r>
          </w:p>
        </w:tc>
      </w:tr>
    </w:tbl>
    <w:p>
      <w:pPr>
        <w:pStyle w:val="Normal"/>
        <w:spacing w:lineRule="auto" w:line="240" w:before="0" w:after="0"/>
        <w:rPr/>
      </w:pPr>
      <w:r>
        <w:rPr/>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transmission du dossier complet demande sa vérification par le service Admissions et ne constitue pas une décision d’admission. La décision appartient exclusivement aux personnes habilitées et peut conduire notamment à un dossier incomplet, un entretien requis, une admission sous réserve, une admission, une liste d’attente ou une non-admission.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évite que la famille confonde l’envoi technique du formulaire avec l’acceptation officielle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distinction protège la fiabilité du processus, encadre les responsabilités et garantit qu’une décision sensible reste humaine et habilitée.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Étape 14 ; Admissions ; vérification ; décision ; entretien ; sous réserve ; liste d’attente ; non admis ; confirmation officielle.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consulté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Avertissement final — transmettre le dossier ne vaut pas décision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transmission du dossier complet demande sa vérification par le service Admissions et ne constitue pas une décision d’admission. La décision appartient exclusivement aux personnes habilitées et peut conduire notamment à un dossier incomplet, un entretien requis, une admission sous réserve, une admission, une liste d’attente ou une non-admission.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qui le dossier est-il transmis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 service Admissions pour vérification.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La transmission vaut-elle admission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Qui prend la décision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personnes habilitées.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statut peut signaler qu’il manque des éléments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Dossier incomplet.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suite peut être demandée avant décision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entretien.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autres résultats sont possibles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Admis sous réserve, admis, liste d’attente ou non admis.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ÉMINA et le formulaire peuvent informer et orienter, mais ne doivent pas promettre une place ni confirmer seuls une décision.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dossier transmis doit être vérifié et seule une décision officielle des personnes habilitées confirme l’admission.</w:t>
            </w:r>
          </w:p>
        </w:tc>
      </w:tr>
    </w:tbl>
    <w:p>
      <w:pPr>
        <w:pStyle w:val="Normal"/>
        <w:spacing w:lineRule="auto" w:line="240" w:before="0" w:after="40"/>
        <w:rPr/>
      </w:pPr>
      <w:r>
        <w:rPr/>
      </w:r>
    </w:p>
    <w:p>
      <w:pPr>
        <w:pStyle w:val="Normal"/>
        <w:keepNext w:val="true"/>
        <w:spacing w:lineRule="auto" w:line="240" w:before="200" w:after="40"/>
        <w:rPr/>
      </w:pPr>
      <w:r>
        <w:rPr>
          <w:rFonts w:eastAsia="Aptos" w:ascii="Aptos" w:hAnsi="Aptos"/>
          <w:b/>
          <w:i w:val="false"/>
          <w:color w:val="0B3D91"/>
          <w:sz w:val="28"/>
        </w:rPr>
        <w:t>IV. GLOSSAIRE DES MOTS CLÉS, SIGLES, ABRÉVIATIONS ET TERMES DIFFICILES</w:t>
      </w:r>
    </w:p>
    <w:p>
      <w:pPr>
        <w:pStyle w:val="Normal"/>
        <w:spacing w:lineRule="auto" w:line="240" w:before="0" w:after="140"/>
        <w:rPr/>
      </w:pPr>
      <w:r>
        <w:rPr>
          <w:rFonts w:eastAsia="Aptos" w:ascii="Aptos" w:hAnsi="Aptos"/>
          <w:b w:val="false"/>
          <w:i/>
          <w:color w:val="5B6777"/>
          <w:sz w:val="19"/>
        </w:rPr>
        <w:t>Définitions adaptées au formulaire, aux familles, au personnel, à ÉMINA et aux supports de formation.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Heading1"/>
        <w:keepNext w:val="true"/>
        <w:spacing w:lineRule="auto" w:line="240" w:before="140" w:after="80"/>
        <w:rPr/>
      </w:pPr>
      <w:r>
        <w:rPr/>
        <w:t>Glossaire alphabétique</w:t>
      </w:r>
    </w:p>
    <w:tbl>
      <w:tblPr>
        <w:tblW w:w="10483" w:type="dxa"/>
        <w:jc w:val="center"/>
        <w:tblInd w:w="0" w:type="dxa"/>
        <w:tblLayout w:type="fixed"/>
        <w:tblCellMar>
          <w:top w:w="70" w:type="dxa"/>
          <w:start w:w="90" w:type="dxa"/>
          <w:bottom w:w="70" w:type="dxa"/>
          <w:end w:w="90" w:type="dxa"/>
        </w:tblCellMar>
        <w:tblLook w:val="04a0" w:noHBand="0" w:noVBand="1" w:firstColumn="1" w:lastRow="0" w:lastColumn="0" w:firstRow="1"/>
      </w:tblPr>
      <w:tblGrid>
        <w:gridCol w:w="3494"/>
        <w:gridCol w:w="3495"/>
        <w:gridCol w:w="3494"/>
      </w:tblGrid>
      <w:tr>
        <w:trPr>
          <w:tblHeader w:val="true"/>
        </w:trPr>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TERME / SIGLE</w:t>
            </w:r>
          </w:p>
        </w:tc>
        <w:tc>
          <w:tcPr>
            <w:tcW w:w="3495"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CATÉGORIE</w:t>
            </w:r>
          </w:p>
        </w:tc>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DÉFINITION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Accompagnement linguistique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Pédagogie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Soutien destiné à aider l’enfant à comprendre ou utiliser une langue d’apprentissage.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Acte de naissance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d’état civil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officiel établissant notamment l’identité, la date et le lieu de naissance.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Activité parascolaire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Vie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Activité organisée autour du programme scolaire mais en dehors des leçons ordinaires.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Adaptation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Inclusion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Aménagement raisonnable destiné à faciliter la participation et l’apprentissage.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de 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Abréviation utilisée pour le Bureau d’admission.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Administrateur habilité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Sécurité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autorisée, selon son rôle, à accéder à certaines fonctions ou informations.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Admis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Statut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Candidat ayant reçu une décision favorable.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Admission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Décision par laquelle l’école accepte un candidat, sous réserve de la confirmation et des formalités prévues.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Admissions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Service / 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et ensemble des opérations qui organisent l’information, la préinscription, l’étude, la décision et l’inscription.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Affection importante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Problème de santé significatif que l’école doit connaître pour la sécurité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Agrément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Statut administratif</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Reconnaissance ou autorisation officielle de fonctionnement accordée selon les textes applicables.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Allergie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Réaction anormale de l’organisme à une substance ou à un élément déterminé.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Allergène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Substance ou élément susceptible de déclencher une allergie.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Antécédent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Événement ou problème de santé survenu auparavant et utile à connaître.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Arrêté ministériel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Texte officiel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Acte administratif pris par une autorité ministérielle et portant une décision officielle.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Astérisque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Symbole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Signe * utilisé dans le formulaire pour indiquer un champ obligatoire.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Attestation de naissance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 d’état civil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qui confirme une naissance lorsque le format ou la procédure applicable le prévoit.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Attestation scolaire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émis par un établissement pour confirmer une inscription, une fréquentation ou une situation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Autorité parentale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Terme juridique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des droits et devoirs relatifs à la protection, à l’éducation et aux décisions concernant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Autorité parentale partagée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juridique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Situation dans laquelle plusieurs responsables exercent l’autorité selon les règles applicables.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Besoin fonctionnel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Inclusion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Besoin lié à la mobilité, à la communication ou à une fonction nécessaire à la participation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Besoin éducatif particulier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Inclusion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Besoin nécessitant une adaptation, une aide ou une attention spécifique dans les apprentissages.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Bibliothèque documentaire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Gouvernance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organisé qui regroupe les documents publics et leurs références.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Bien-être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Vie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État dans lequel l’enfant se sent en sécurité, respecté, soutenu et capable de s’épanouir.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Bilingue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Pédagogie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Qui utilise ou développe deux langues, ici le français et l’anglais.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Bulletin scolaire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présentant les résultats et appréciations d’un élève pour une période donnée.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Caisse de l’école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physique de l’établissement habilité à recevoir certains paiements.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Canal de communication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Moyen utilisé pour échanger : téléphone, SMS, WhatsApp, courriel ou portail.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Canal de paiement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Moyen officiellement autorisé pour verser 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Canal sécurisé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Sécurité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Moyen de transmission protégé et officiellement indiqué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Carnet de vaccination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 de 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retraçant les vaccins reçus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Certificat de fréquentation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attestant qu’un enfant a effectivement fréquenté une 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Certificat de transfert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lié au passage administratif d’un élève d’un établissement à un autre.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Champ conditionnel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Zone affichée ou exigée uniquement lorsqu’une réponse précédente la rend pertinente.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Champ facultatif</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qui peut être renseigné lorsqu’il est utile, sans être toujours exigé.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Champ obligatoire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Champ qui doit être renseigné avant la transmission du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Communication officielle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diffusée par un canal reconnu et autorisé par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Conduite à tenir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 / 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Instructions précises à suivre face à une situation connue ou à un signe d’alerte.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Confidentialité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Principe selon lequel une information n’est accessible qu’aux personnes autorisées.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Confirmation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Action qui finalise une admission favorable selon les procédures administratives et financières.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Conformité âge-niveau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Condition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Correspondance entre l’âge, le parcours de l’enfant et le niveau demandé.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Consentement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Données / droit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Accord donné de manière claire pour une action ou un traitement défini.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Constitution du dossier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Rassemblement des informations et pièces nécessaires à l’étude de la demande.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Contact d’urgence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à joindre rapidement lorsqu’une situation urgente concerne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Courriel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Message électronique envoyé à une adresse e-mail.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Couverture médicale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 / 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Dispositif d’assurance ou de prise en charge des frais de santé.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DATA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de 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Abréviation utilisée pour la responsabilité liée aux données et à la confidentialité.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Dernière classe fréquentée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Niveau scolaire le plus récent suivi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Disponibilité des places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Condition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Nombre de places encore ouvertes dans un niveau au moment de la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Documentation publique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Gouvernance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des documents institutionnels publiés et consultables par les familles et le public.</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personnelle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permettant d’identifier directement ou indirectement 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Donnée sensible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nécessitant une protection renforcée, notamment en matière de santé ou de situation familiale.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Dose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Quantité de médicament à administrer selon une prescription.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Dossier d’inscription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structuré des informations, déclarations et pièces nécessaires à l’étude d’une candidature.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Dossier privé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non public réservé au stockage des informations du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Droit à l’image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Données / droit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Droit de contrôler l’utilisation de l’image identifiable d’une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Déclaration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Terme administratif</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affirmée par le responsable sous sa responsabilité.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EMA</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Sigle institutionnel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Sigle utilisé pour le module ou service médical distinct des Admissions ; son intitulé complet doit être confirmé dans la documentation institutionnelle officielle.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Engagement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Terme administratif</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Obligation que le signataire accepte de respecter.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FAQ</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Sigle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Foire aux questions : page regroupant les questions fréquentes et leurs réponses.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FIN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de 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Abréviation utilisée pour le service financier ou la caisse.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Formalités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administratif</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Démarches, documents, validations et engagements exigés pour finaliser une procédure.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Formulaire multiétape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Interface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Formulaire divisé en plusieurs parties successives afin d’organiser une saisie complexe.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FR/EN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Abréviation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Français / English : document ou contenu disponible dans les deux langues.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Frais de réinscription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Montant lié au renouvellement de l’inscription d’un élève.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Frais d’inscription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Montant lié à une nouvelle inscription, distinct de la scolarité.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Fratrie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Terme familial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des frères et sœurs d’une personne.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Garde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juridique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Organisation de la résidence et de la prise en charge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Garderie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Accueil encadré de l’enfant en dehors des heures ordinaires de cours, lorsqu’il existe.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Grande Section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Niveau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Troisième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Gravité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Niveau de sérieux ou de danger d’une réaction ou d’une situation.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Groupe sanguin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Classification du sang d’une personne, lorsqu’elle est connue et vérifiée.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Sigle institutionnel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GROUPE SCOLAIRE LES ÉMINENTS.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 Admissions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Système institutionnel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Module ou parcours numérique consacré à la gestion des admissions et des dossiers scolaires.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GSE-PUB-ADM-001</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Code de la documentation publique relative aux Admissions.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GSE-PUB-PRI-001</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Code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Code de la Politique de confidentialité publique.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Habilitation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Autorisation attribuée à une personne selon ses responsabilités.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Image institutionnelle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Photo ou vidéo utilisée par l’établissement dans ses supports officiels.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Inscription définitive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Étape du parcours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Finalisation du dossier après étude, décision favorable, formalités administratives et procédure financière.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Liste d’attente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Statut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Situation d’un candidat qui pourrait être admis si une place devient disponible ou après une vérification complémentaire.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Maladie chronique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Affection durable nécessitant parfois un suivi ou des adaptations.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Maternelle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Niveau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Cycle préscolaire comprenant ici Petite, Moyenne et Grande Section.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MED</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de 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Abréviation utilisée pour la cellule médicale ou EMA School.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Mobile Money</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Finance /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de paiement ou transfert d’argent au moyen d’un téléphone mobile, lorsqu’il est officiellement disponible.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Moyenne Section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Deuxième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Médicament d’urgence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Médicament prévu pour une situation urgente identifiée et administré selon les règles autorisées.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Non retenu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Statut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Candidat dont la demande n’est pas acceptée dans le cadre de la décision rendue.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Ordonnance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 médical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Prescription écrite d’un professionnel de santé habilité.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Original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authentique présenté pour contrôle, par opposition à une simple copie.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Personne autorisée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enregistrée et admise à récupérer l’enfant conformément aux procédures de vérification.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Petite Section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Premier niveau de la Maternelle présenté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Photo d’identité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Document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Photographie récente au format utilisé pour identifier une personne dans un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Pièce justificative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servant à prouver une information déclarée dans le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Pièce sensible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contenant des données personnelles, médicales, juridiques ou financières nécessitant une protection renforcée.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Portail Parents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sécurisé destiné aux responsables pour accéder aux services et informations autorisés.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Premiers soins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 / 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Gestes immédiats de base réalisés avant une prise en charge médicale plus complète.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Première entrée à l’école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Situation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Situation d’un enfant qui n’a encore jamais été scolarisé.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Preuve de paiement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 ou enregistrement permettant de démontrer qu’un paiement a été effectué.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Primaire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Cycle d’enseignement fondamental dont les niveaux ouverts annoncés vont de la 1re à la 4e primaire.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Préinscription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Étape du parcours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Manifestation d’intérêt et demande de contact qui ne constitue pas encore une admission définitive.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RDC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Sigle géographique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République démocratique du Congo.</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Relecture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Vérification des informations avant l’envoi définitif.</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Remise sécurisée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Procédure destinée à confier l’enfant uniquement à une personne autorisée et vérifiée.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Responsable légal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juridique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ayant l’autorité ou la responsabilité reconnue pour représenter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Restriction de contact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Mesure de protection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Limitation documentée concernant les échanges d’une personne avec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Restriction d’image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Limite imposée par la famille à l’utilisation de l’image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Reçu officiel numéroté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Preuve de paiement délivrée par le service habilité et portant un numéro de contrôle.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Réinscription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Étape du parcours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Renouvellement de l’inscription d’un élève déjà présent dans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Résumé du dossier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Contrôle de saisie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Présentation synthétique des informations saisies avant la transmission finale.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Scolarité annuelle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Montant de référence demandé pour l’enseignement sur l’année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SEC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Code de 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Abréviation utilisée pour le responsable de la sécurité et des sorties.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Service habilité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autorisé à accomplir une opération déterminée, comme valider 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Service numérique sécurisé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Outil en ligne protégé et réservé aux usages autorisés de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Signature électronique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Numérique / preuve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Signature réalisée sur un support numérique pour manifester l’accord du signataire.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Signe d’alerte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Manifestation qui indique qu’une attention ou une intervention rapide peut être nécessaire.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SMS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Sigle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Short Message Service : message texte envoyé par téléphone mobile.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Sortie pédagogique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Vie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Déplacement encadré ayant un objectif éducatif.</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Soumission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Action de transmettre officiellement les informations saisies pour traitement.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Spécimen de signature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Document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Exemple de la signature apposée par le responsable dans le formulaire.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Stylet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Instrument permettant d’écrire ou de signer sur un écran tactile.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Traitement des données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Collecte, enregistrement, consultation, utilisation ou conservation d’informations personnelles.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Traitement en cours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Médicament, soin ou prise en charge actuellement suivi par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Tranche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Partie d’un montant total payée à une étape déterminée.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Transfert urgent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Santé / 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Déplacement rapide de l’enfant vers une structure de santé lorsque la situation l’exige.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Transition scolaire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Pédagogie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Période d’adaptation lors d’une première entrée, d’un changement d’école ou de niveau.</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Transport scolaire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Service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organisé pour le déplacement des élèves entre leur domicile et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Traçabilité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Qualité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Capacité à retrouver l’historique d’une action, d’un document ou d’un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Tuteur / Tutrice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juridique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légalement chargée de représenter ou protéger un mineur lorsque cela s’applique.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Téléversement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Action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Envoi d’un fichier depuis l’appareil de l’utilisateur vers un service en ligne.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Téléverser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Envoyer un fichier depuis son appareil vers un service en ligne.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URL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Sigle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Uniform Resource Locator : adresse permettant d’accéder à une ressource sur Internet.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USD</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Sigle monétaire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United States Dollar, dollar des États-Unis, unité monétaire utilisée pour les références de frais affichées.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Vaccination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Santé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Administration de vaccins destinée à protéger contre certaines maladies.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Validation administrative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Contrôle du dossier par le personnel habilité avant la suite de la procédure.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Vérification documentaire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Contrôle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Examen des pièces déclarées ou fournies afin de confirmer leur présence, leur lisibilité, leur validité et leur cohérence.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WhatsApp</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Application de messagerie utilisée comme canal de contact lorsque la famille l’autorise.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Échéancier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Finance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Calendrier qui indique les montants et les dates ou périodes de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École de provenance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Terme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Établissement fréquenté avant la demande d’inscription actuelle.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ÉMINA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Assistante institutionnelle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Assistante institutionnelle du GSE qui explique les informations publiques et guide les utilisateurs sans prendre seule de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Étape précédente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5"/>
              </w:rPr>
              <w:t>Navigation du 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Commande permettant de revenir à la partie antérieure pour relire ou corriger une information.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Étude du dossier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5"/>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Vérification et appréciation des informations et pièces avant la décision d’admission.</w:t>
            </w:r>
          </w:p>
        </w:tc>
      </w:tr>
    </w:tbl>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 OBSERVATIONS DE COHÉRENCE ET RECOMMANDATIONS</w:t>
      </w:r>
    </w:p>
    <w:p>
      <w:pPr>
        <w:pStyle w:val="Normal"/>
        <w:spacing w:lineRule="auto" w:line="240" w:before="0" w:after="140"/>
        <w:rPr/>
      </w:pPr>
      <w:r>
        <w:rPr>
          <w:rFonts w:eastAsia="Aptos" w:ascii="Aptos" w:hAnsi="Aptos"/>
          <w:b w:val="false"/>
          <w:i/>
          <w:color w:val="5B6777"/>
          <w:sz w:val="19"/>
        </w:rPr>
        <w:t>Ces propositions améliorent l’utilisation du formulaire ; elles sont distinguées du contenu-source relevé.</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1747"/>
        <w:gridCol w:w="1748"/>
        <w:gridCol w:w="3494"/>
      </w:tblGrid>
      <w:tr>
        <w:trPr/>
        <w:tc>
          <w:tcPr>
            <w:tcW w:w="3494" w:type="dxa"/>
            <w:tcBorders/>
            <w:shd w:fill="0B3D91" w:val="clear"/>
          </w:tcPr>
          <w:p>
            <w:pPr>
              <w:pStyle w:val="Normal"/>
              <w:spacing w:before="0" w:after="80"/>
              <w:rPr/>
            </w:pPr>
            <w:r>
              <w:rPr/>
            </w:r>
          </w:p>
        </w:tc>
        <w:tc>
          <w:tcPr>
            <w:tcW w:w="3495" w:type="dxa"/>
            <w:gridSpan w:val="2"/>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r>
        <w:trPr/>
        <w:tc>
          <w:tcPr>
            <w:tcW w:w="5241" w:type="dxa"/>
            <w:gridSpan w:val="2"/>
            <w:tcBorders>
              <w:top w:val="single" w:sz="4" w:space="0" w:color="D9DEE5"/>
              <w:start w:val="single" w:sz="4" w:space="0" w:color="D9DEE5"/>
              <w:bottom w:val="single" w:sz="4" w:space="0" w:color="D9DEE5"/>
              <w:end w:val="single" w:sz="4" w:space="0" w:color="D9DEE5"/>
            </w:tcBorders>
            <w:shd w:fill="0B3D91" w:val="clear"/>
            <w:tcMar>
              <w:top w:w="70" w:type="dxa"/>
              <w:start w:w="90" w:type="dxa"/>
              <w:bottom w:w="70" w:type="dxa"/>
              <w:end w:w="90" w:type="dxa"/>
            </w:tcMar>
            <w:vAlign w:val="center"/>
          </w:tcPr>
          <w:p>
            <w:pPr>
              <w:pStyle w:val="Normal"/>
              <w:spacing w:lineRule="auto" w:line="240" w:before="0" w:after="0"/>
              <w:jc w:val="center"/>
              <w:rPr/>
            </w:pPr>
            <w:r>
              <w:rPr>
                <w:rFonts w:eastAsia="Aptos" w:ascii="Aptos" w:hAnsi="Aptos"/>
                <w:b/>
                <w:i w:val="false"/>
                <w:color w:val="FFFFFF"/>
                <w:sz w:val="17"/>
              </w:rPr>
              <w:t>POINT À TRAITER</w:t>
            </w:r>
          </w:p>
        </w:tc>
        <w:tc>
          <w:tcPr>
            <w:tcW w:w="5242" w:type="dxa"/>
            <w:gridSpan w:val="2"/>
            <w:tcBorders>
              <w:top w:val="single" w:sz="4" w:space="0" w:color="D9DEE5"/>
              <w:start w:val="single" w:sz="4" w:space="0" w:color="D9DEE5"/>
              <w:bottom w:val="single" w:sz="4" w:space="0" w:color="D9DEE5"/>
              <w:end w:val="single" w:sz="4" w:space="0" w:color="D9DEE5"/>
            </w:tcBorders>
            <w:shd w:fill="0B3D91" w:val="clear"/>
            <w:tcMar>
              <w:top w:w="70" w:type="dxa"/>
              <w:start w:w="90" w:type="dxa"/>
              <w:bottom w:w="70" w:type="dxa"/>
              <w:end w:w="90" w:type="dxa"/>
            </w:tcMar>
            <w:vAlign w:val="center"/>
          </w:tcPr>
          <w:p>
            <w:pPr>
              <w:pStyle w:val="Normal"/>
              <w:spacing w:lineRule="auto" w:line="240" w:before="0" w:after="0"/>
              <w:jc w:val="center"/>
              <w:rPr/>
            </w:pPr>
            <w:r>
              <w:rPr>
                <w:rFonts w:eastAsia="Aptos" w:ascii="Aptos" w:hAnsi="Aptos"/>
                <w:b/>
                <w:i w:val="false"/>
                <w:color w:val="FFFFFF"/>
                <w:sz w:val="17"/>
              </w:rPr>
              <w:t>RECOMMANDATION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Clarifier l’intitulé</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Afficher près du titre que le formulaire constitue un dossier à vérifier et que l’admission n’est définitive qu’après confirmation officielle.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Afficher une barre de progression</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Indiquer clairement « Étape X sur 14 » et les domaines déjà complétés, particulièrement sur téléphone.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Permettre l’enregistrement sécurisé</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Prévoir une sauvegarde et une reprise du dossier avec authentification, expiration et journalisation.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Renforcer la logique conditionnelle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Masquer les champs sans objet lorsque la famille sélectionne première entrée, aucune allergie, aucun traitement ou absence de deuxième responsable.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Valider les données avant passage</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Contrôler formats de téléphone, dates, courriel, champs obligatoires et contradictions avant l’étape suivante.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Rappeler la confidentialité aux étapes sensibles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Ajouter une note courte aux étapes autorité parentale, urgences, santé, image et pièces.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Versionner les consentements</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Enregistrer la version, la date, la langue et le texte accepté pour chaque autorisation ou engagement.</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Sécuriser les rôles et accès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Appliquer le moindre privilège : Admissions, Santé, Finance et Sécurité ne doivent voir que les données nécessaires à leur fonction.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Fournir un accusé de réception</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Après transmission, remettre un numéro de dossier, la date, le statut initial et les canaux officiels de suivi.</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Afficher les statuts du dossier</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Prévoir reçu, en vérification, pièces manquantes, entretien requis, liste d’attente, admis sous réserve, admis ou non admis.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Assurer la continuité multilingue</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Maintenir les six langues prévues et harmoniser les consentements, messages d’erreur et avertissements dans chacune.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Synchroniser ÉMINA</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Mettre à jour la base locale d’ÉMINA à partir de la page publiée et validée, sans lui permettre de décider ou de révéler un dossier sensible.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Améliorer l’accessibilité</w:t>
            </w:r>
          </w:p>
        </w:tc>
        <w:tc>
          <w:tcPr>
            <w:tcW w:w="5242" w:type="dxa"/>
            <w:gridSpan w:val="2"/>
            <w:tcBorders>
              <w:top w:val="single" w:sz="4" w:space="0" w:color="D9DEE5"/>
              <w:start w:val="single" w:sz="4" w:space="0" w:color="D9DEE5"/>
              <w:bottom w:val="single" w:sz="4" w:space="0" w:color="D9DEE5"/>
              <w:end w:val="single" w:sz="4" w:space="0" w:color="D9DEE5"/>
            </w:tcBorders>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Prévoir libellés explicites, navigation clavier, contraste, messages d’erreur compréhensibles et compatibilité lecteur d’écran.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i w:val="false"/>
                <w:color w:val="0B3D91"/>
                <w:sz w:val="16"/>
              </w:rPr>
              <w:t>Journaliser les actions sensibles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70" w:type="dxa"/>
              <w:start w:w="90" w:type="dxa"/>
              <w:bottom w:w="70" w:type="dxa"/>
              <w:end w:w="90" w:type="dxa"/>
            </w:tcMar>
            <w:vAlign w:val="center"/>
          </w:tcPr>
          <w:p>
            <w:pPr>
              <w:pStyle w:val="Normal"/>
              <w:spacing w:lineRule="auto" w:line="240" w:before="0" w:after="0"/>
              <w:rPr/>
            </w:pPr>
            <w:r>
              <w:rPr>
                <w:rFonts w:eastAsia="Aptos" w:ascii="Aptos" w:hAnsi="Aptos"/>
                <w:b w:val="false"/>
                <w:i w:val="false"/>
                <w:color w:val="1F2D3D"/>
                <w:sz w:val="16"/>
              </w:rPr>
              <w:t>Conserver les accès, modifications, validations, transmissions et décisions avec l’identité du rôle habilité.</w:t>
            </w:r>
          </w:p>
        </w:tc>
      </w:tr>
    </w:tbl>
    <w:p>
      <w:pPr>
        <w:pStyle w:val="Heading1"/>
        <w:keepNext w:val="true"/>
        <w:spacing w:lineRule="auto" w:line="240" w:before="160" w:after="80"/>
        <w:rPr/>
      </w:pPr>
      <w:r>
        <w:rPr/>
        <w:t>Conclusion</w:t>
      </w:r>
    </w:p>
    <w:p>
      <w:pPr>
        <w:pStyle w:val="Normal"/>
        <w:spacing w:lineRule="auto" w:line="259" w:before="0" w:after="100"/>
        <w:rPr/>
      </w:pPr>
      <w:r>
        <w:rPr>
          <w:rFonts w:eastAsia="Aptos" w:ascii="Aptos" w:hAnsi="Aptos"/>
          <w:b w:val="false"/>
          <w:i w:val="false"/>
          <w:color w:val="1F2D3D"/>
          <w:sz w:val="20"/>
        </w:rPr>
        <w:t>L’entrée « Inscription définitive — Compléter mon dossier » constitue le cœur opérationnel du parcours GSE Admissions. Elle rassemble une fiche en 14 étapes couvrant l’identité, le parcours, les responsables, la sécurité, la santé, l’inclusion, la vie scolaire, les consentements numériques, les pièces, les finances, la signature et la validation. La présente banque comprend 200 questions-réponses et 141 définitions, utilisables pour la FAQ, la formation des agents, l’assistance aux familles, le contrôle qualité et la base de connaissances d’ÉMINA.</w:t>
      </w:r>
    </w:p>
    <w:p>
      <w:pPr>
        <w:pStyle w:val="Normal"/>
        <w:spacing w:lineRule="auto" w:line="240" w:before="320" w:after="0"/>
        <w:jc w:val="center"/>
        <w:rPr/>
      </w:pPr>
      <w:r>
        <w:rPr>
          <w:rFonts w:eastAsia="Aptos" w:ascii="Aptos" w:hAnsi="Aptos"/>
          <w:b/>
          <w:i w:val="false"/>
          <w:color w:val="D4AF37"/>
          <w:sz w:val="24"/>
        </w:rPr>
        <w:t>FIN DU DOCUMENT</w:t>
      </w:r>
    </w:p>
    <w:p>
      <w:pPr>
        <w:pStyle w:val="Normal"/>
        <w:rPr/>
      </w:pPr>
      <w:r>
        <w:rPr/>
      </w:r>
      <w:r>
        <w:br w:type="page"/>
      </w:r>
    </w:p>
    <w:p>
      <w:pPr>
        <w:pStyle w:val="Normal"/>
        <w:rPr/>
      </w:pPr>
      <w:r>
        <w:rPr/>
      </w:r>
    </w:p>
    <w:p>
      <w:pPr>
        <w:pStyle w:val="Normal"/>
        <w:spacing w:lineRule="auto" w:line="240" w:before="40" w:after="100"/>
        <w:jc w:val="center"/>
        <w:rPr/>
      </w:pPr>
      <w:r>
        <w:rPr/>
        <w:drawing>
          <wp:inline distT="0" distB="0" distL="0" distR="0">
            <wp:extent cx="1188085" cy="1235710"/>
            <wp:effectExtent l="0" t="0" r="0" b="0"/>
            <wp:docPr id="1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 descr="" title=""/>
                    <pic:cNvPicPr>
                      <a:picLocks noChangeAspect="1" noChangeArrowheads="1"/>
                    </pic:cNvPicPr>
                  </pic:nvPicPr>
                  <pic:blipFill>
                    <a:blip r:embed="rId47"/>
                    <a:stretch>
                      <a:fillRect/>
                    </a:stretch>
                  </pic:blipFill>
                  <pic:spPr bwMode="auto">
                    <a:xfrm>
                      <a:off x="0" y="0"/>
                      <a:ext cx="1188085" cy="1235710"/>
                    </a:xfrm>
                    <a:prstGeom prst="rect">
                      <a:avLst/>
                    </a:prstGeom>
                    <a:noFill/>
                  </pic:spPr>
                </pic:pic>
              </a:graphicData>
            </a:graphic>
          </wp:inline>
        </w:drawing>
      </w:r>
    </w:p>
    <w:p>
      <w:pPr>
        <w:pStyle w:val="Normal"/>
        <w:spacing w:lineRule="auto" w:line="240" w:before="80" w:after="120"/>
        <w:jc w:val="center"/>
        <w:rPr/>
      </w:pPr>
      <w:r>
        <w:rPr>
          <w:rFonts w:eastAsia="Georgia" w:ascii="Georgia" w:hAnsi="Georgia"/>
          <w:b/>
          <w:i w:val="false"/>
          <w:color w:val="0B3D91"/>
          <w:sz w:val="52"/>
        </w:rPr>
        <w:t>GROUPE SCOLAIRE</w:t>
        <w:br/>
        <w:t>LES ÉMINENTS</w:t>
      </w:r>
    </w:p>
    <w:p>
      <w:pPr>
        <w:pStyle w:val="Normal"/>
        <w:pBdr>
          <w:bottom w:val="single" w:sz="14" w:space="5" w:color="D4AF37"/>
        </w:pBdr>
        <w:spacing w:lineRule="auto" w:line="240" w:before="100" w:after="60"/>
        <w:jc w:val="center"/>
        <w:rPr/>
      </w:pPr>
      <w:r>
        <w:rPr>
          <w:rFonts w:eastAsia="Georgia" w:ascii="Georgia" w:hAnsi="Georgia"/>
          <w:b/>
          <w:i w:val="false"/>
          <w:color w:val="0B3D91"/>
          <w:sz w:val="44"/>
        </w:rPr>
        <w:t>RELEVÉ COMPLET ET BANQUE EXHAUSTIVE</w:t>
        <w:br/>
        <w:t>« PRÉINSCRIRE MON ENFANT »</w:t>
      </w:r>
    </w:p>
    <w:p>
      <w:pPr>
        <w:pStyle w:val="Normal"/>
        <w:spacing w:lineRule="auto" w:line="240" w:before="100" w:after="100"/>
        <w:jc w:val="center"/>
        <w:rPr/>
      </w:pPr>
      <w:r>
        <w:rPr>
          <w:rFonts w:eastAsia="Aptos" w:ascii="Aptos" w:hAnsi="Aptos"/>
          <w:b/>
          <w:i w:val="false"/>
          <w:color w:val="D4AF37"/>
          <w:sz w:val="27"/>
        </w:rPr>
        <w:t>Accès direct • Page Préinscription • Formulaire • Suivi • Documentation • Confidentialité</w:t>
      </w:r>
    </w:p>
    <w:p>
      <w:pPr>
        <w:pStyle w:val="Normal"/>
        <w:spacing w:lineRule="auto" w:line="240" w:before="0" w:after="160"/>
        <w:jc w:val="center"/>
        <w:rPr/>
      </w:pPr>
      <w:r>
        <w:rPr>
          <w:rFonts w:eastAsia="Aptos" w:ascii="Aptos" w:hAnsi="Aptos"/>
          <w:b w:val="false"/>
          <w:i/>
          <w:color w:val="5B6777"/>
          <w:sz w:val="22"/>
        </w:rPr>
        <w:t>Questions-réponses de référence • raison et importance des titres • liens entre sections • glossaire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240" w:after="60"/>
        <w:jc w:val="center"/>
        <w:rPr/>
      </w:pPr>
      <w:r>
        <w:rPr>
          <w:rFonts w:eastAsia="Aptos" w:ascii="Aptos" w:hAnsi="Aptos"/>
          <w:b/>
          <w:i w:val="false"/>
          <w:color w:val="0B3D91"/>
          <w:sz w:val="24"/>
        </w:rPr>
        <w:t>Document institutionnel de travail — 2 juillet 2026</w:t>
      </w:r>
    </w:p>
    <w:p>
      <w:pPr>
        <w:pStyle w:val="Normal"/>
        <w:spacing w:lineRule="auto" w:line="240" w:before="0" w:after="200"/>
        <w:jc w:val="center"/>
        <w:rPr/>
      </w:pPr>
      <w:r>
        <w:rPr>
          <w:rFonts w:eastAsia="Aptos" w:ascii="Aptos" w:hAnsi="Aptos"/>
          <w:b w:val="false"/>
          <w:i w:val="false"/>
          <w:color w:val="5B6777"/>
          <w:sz w:val="21"/>
        </w:rPr>
        <w:t>Page auditée : https://test.gsleseminents.com/preinscription/</w:t>
      </w:r>
    </w:p>
    <w:p>
      <w:pPr>
        <w:pStyle w:val="Normal"/>
        <w:spacing w:lineRule="auto" w:line="240" w:before="120" w:after="0"/>
        <w:jc w:val="center"/>
        <w:rPr/>
      </w:pPr>
      <w:r>
        <w:rPr>
          <w:rFonts w:eastAsia="Aptos" w:ascii="Aptos" w:hAnsi="Aptos"/>
          <w:b/>
          <w:i w:val="false"/>
          <w:color w:val="D4AF37"/>
          <w:sz w:val="25"/>
        </w:rPr>
        <w:t>FOI • EXCELLENCE • INTÉGRITÉ • LEADERSHIP</w:t>
      </w:r>
    </w:p>
    <w:p>
      <w:pPr>
        <w:pStyle w:val="Normal"/>
        <w:rPr/>
      </w:pPr>
      <w:r>
        <w:rPr/>
      </w:r>
      <w:r>
        <w:br w:type="page"/>
      </w:r>
    </w:p>
    <w:p>
      <w:pPr>
        <w:pStyle w:val="Heading1"/>
        <w:keepNext w:val="true"/>
        <w:spacing w:lineRule="auto" w:line="240" w:before="0" w:after="100"/>
        <w:rPr/>
      </w:pPr>
      <w:r>
        <w:rPr/>
        <w:t>1. Objet, périmètre et méthode</w:t>
      </w:r>
    </w:p>
    <w:p>
      <w:pPr>
        <w:pStyle w:val="Normal"/>
        <w:spacing w:lineRule="auto" w:line="259" w:before="0" w:after="100"/>
        <w:rPr/>
      </w:pPr>
      <w:r>
        <w:rPr>
          <w:rFonts w:eastAsia="Aptos" w:ascii="Aptos" w:hAnsi="Aptos"/>
          <w:b w:val="false"/>
          <w:i w:val="false"/>
          <w:color w:val="1F2D3D"/>
          <w:sz w:val="20"/>
        </w:rPr>
        <w:t>Ce document relève tous les points publiés sous l’accès direct « Préinscrire mon enfant » et sur la page « Préinscription » du site test du GROUPE SCOLAIRE LES ÉMINENTS. Le contrôle couvre le contexte d’ouverture des inscriptions, les textes introductifs, chaque champ du formulaire, le consentement, les quatre étapes après l’envoi, les documents associés, les principes de confidentialité et les liens fonctionnels avec Admissions, l’inscription définitive et ÉMINA. Pour chaque titre ou section, dix questions-réponses restent fidèles au contenu publié. Les analyses de raison, d’importance et de liens sont clairement séparées du texte-source.</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Source principale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publique /preinscription/ contrôlée le 2 juillet 2026, avec vérification des pages /admissions/, /documentation/ et /politique-de-confidentialite/ pour les références associées.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Nature de l’entrée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 Préinscrire mon enfant » est un accès direct visible dans l’en-tête ; aucun sous-menu enfant n’est actuellement visible sous cet accès.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Règle de fidélité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réponses reprennent ou paraphrasent strictement les textes, libellés et conditions publiés. Aucune place, aucun délai et aucun critère supplémentaire ne sont inventés.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Éléments inclus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Bannière d’inscription, fil d’Ariane, titre, introduction, illustration, formulaire, champs obligatoires et facultatifs, consentement, envoi, suivi, documentation, confidentialité, ÉMINA et coordonnées.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Éléments connexes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pages Admissions, Documentation publique et Politique de confidentialité sont utilisées uniquement pour expliquer les liens explicitement présents sur la page.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Observation centrale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préinscription est une demande de contact. Elle ne constitue pas une admission définitive, qui reste soumise à l’étude du dossier et à la disponibilité des places.</w:t>
            </w:r>
          </w:p>
        </w:tc>
      </w:tr>
    </w:tbl>
    <w:p>
      <w:pPr>
        <w:pStyle w:val="Heading1"/>
        <w:keepNext w:val="true"/>
        <w:spacing w:lineRule="auto" w:line="240" w:before="160" w:after="80"/>
        <w:rPr/>
      </w:pPr>
      <w:r>
        <w:rPr/>
        <w:t>2. Légende des statuts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STRUCTURE DE NAVIGATION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Intitulé ou accès visible dans l’interface du site.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PAGE / SECTION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Titre et texte présents dans le corps de la page.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FORMULAIRE / CHAMP PUBLIÉ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Libellé, choix, consentement ou bouton disponible dans le formulaire.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ÉTAPE APRÈS ENVOI</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Action annoncée après la transmission de la demande.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DOCUMENTATION ASSOCIÉE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Référence ou page publique liée à la préinscription.</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PRINCIPE CONNEXE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Règle publiée sur une page liée, utile pour comprendre la préinscription.</w:t>
            </w:r>
          </w:p>
        </w:tc>
      </w:tr>
    </w:tbl>
    <w:p>
      <w:pPr>
        <w:pStyle w:val="Heading1"/>
        <w:keepNext w:val="true"/>
        <w:spacing w:lineRule="auto" w:line="240" w:before="160" w:after="80"/>
        <w:rPr/>
      </w:pPr>
      <w:r>
        <w:rPr/>
        <w:t>3. Cartographie des fiches et de la banque</w:t>
      </w:r>
    </w:p>
    <w:tbl>
      <w:tblPr>
        <w:tblW w:w="10480"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TITRE / SECTION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STATUT</w:t>
            </w:r>
          </w:p>
        </w:tc>
        <w:tc>
          <w:tcPr>
            <w:tcW w:w="2619"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QUESTIONS</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Accès direct « Préinscrire mon enfant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STRUCTURE DE NAVIGATION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Campagne d’inscriptions 2026-2027</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BANNIÈRE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Niveaux scolaires concernés par la préinscription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PÉRIMÈTRE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Sélecteur de langue du site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OUTIL DE NAVIGATION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Fil d’Ariane « Accueil › Préinscription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REPÈRE DE NAVIGATION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Préinscription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Message introductif de la page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TEXTE INTRODUCTIF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Commencer la démarche en toute simplicité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ILLUSTRÉE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Rôle de la préinscription dans les prochaines étapes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TEXTE EXPLICATIF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Illustration institutionnelle de la préinscription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ÉLÉMENT VISUEL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Demande de préinscription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FORMULAIRE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Nature du formulaire : demande de contact</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AVERTISSEMENT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Intervention d’un agent du service Admissions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ACCOMPAGNEMENT HUMAIN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Champs obligatoires signalés par un astérisque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RÈGLE DE FORMULAIRE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Champ technique « Ne pas remplir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CHAMP TECHNIQUE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Nom du parent ou responsable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CHAMP OBLIGATOIRE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Téléphone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CHAMP OBLIGATOIRE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Courriel</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CHAMP FACULTATIF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Niveau demandé</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CHAMP OBLIGATOIRE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Option « Maternelle »</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OPTION DE FORMULAIRE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Option « Primaire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OPTION DE FORMULAIRE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Âge approximatif de l’enfant</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CHAMP OBLIGATOIRE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Disponibilité pour une visite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CHAMP FACULTATIF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Question ou précision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CHAMP FACULTATIF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Autorisation de contact</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CONSENTEMENT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Rappel : ceci n’est pas encore une admission définitive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MENTION DE PRUDENCE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Bouton « Envoyer la préinscription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APPEL À L’ACTION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Après l’envoi</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1. Enregistrement sécurisé de la demande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APRÈS ENVOI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2. Vérification du niveau et des coordonnées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APRÈS ENVOI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3. Informations sur la visite, le dossier et les prochaines étapes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ÉTAPE APRÈS ENVOI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4. Admission définitive soumise à des conditions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APRÈS ENVOI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Étude du dossier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CONDITION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Disponibilité des places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CONDITION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Distinction entre préinscription et inscription définitive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PRINCIPE CENTRAL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Documentation associée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DOCUMENTAIRE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Référence Admissions — GSE-PUB-ADM-001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DOCUMENTATION ASSOCIÉE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Référence Confidentialité — GSE-PUB-PRI-001</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DOCUMENTATION ASSOCIÉE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Bibliothèque de documentation publique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LIEN DOCUMENTAIRE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Collecte limitée aux informations nécessaires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PRINCIPE CONNEXE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Protection et accès autorisé aux données personnelles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PRINCIPE CONNEXE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ÉMINA comme point d’orientation publique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ASSISTANCE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Limites de l’assistance numérique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AVERTISSEMENT PUBLIC ÉMINA</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Coordonnées institutionnelles de suivi</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COORDONNÉES PUBLIÉES</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Lien avec le parcours Admissions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LIEN FONCTIONNEL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Lien avec l’inscription définitive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ÉTAPE SUIVANTE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Résumé opérationnel du parcours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SYNTHÈSE FONCTIONNELLE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bl>
    <w:p>
      <w:pPr>
        <w:pStyle w:val="Normal"/>
        <w:spacing w:lineRule="auto" w:line="240" w:before="80" w:after="0"/>
        <w:jc w:val="end"/>
        <w:rPr/>
      </w:pPr>
      <w:r>
        <w:rPr>
          <w:rFonts w:eastAsia="Aptos" w:ascii="Aptos" w:hAnsi="Aptos"/>
          <w:b/>
          <w:i w:val="false"/>
          <w:color w:val="D4AF37"/>
          <w:sz w:val="18"/>
        </w:rPr>
        <w:t>Total : 47 fiches • 470 questions-réponses • 88 définitions</w:t>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 ACCÈS, PÉRIMÈTRE ET NAVIGATION</w:t>
      </w:r>
    </w:p>
    <w:p>
      <w:pPr>
        <w:pStyle w:val="Normal"/>
        <w:keepNext w:val="true"/>
        <w:spacing w:lineRule="auto" w:line="240" w:before="0" w:after="160"/>
        <w:rPr/>
      </w:pPr>
      <w:r>
        <w:rPr>
          <w:rFonts w:eastAsia="Aptos" w:ascii="Aptos" w:hAnsi="Aptos"/>
          <w:b w:val="false"/>
          <w:i/>
          <w:color w:val="5B6777"/>
          <w:sz w:val="19"/>
        </w:rPr>
        <w:t>Accès direct, campagne, niveaux, langues et repères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 Accès direct « Préinscrire mon enfant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STRUCTURE DE NAVIGATION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lien « Préinscrire mon enfant » est affiché comme accès direct dans l’en-tête du site et renvoie vers la page « Préinscription ». Aucun sous-menu enfant n’est visible sous cet accès direct.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intitulé transforme l’intention de la famille en action immédiate et réduit le nombre d’étapes avant le formulaire.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constitue l’un des principaux appels à l’action du site et soutient directement la campagne d’inscriptions 2026-2027.</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Accueil ; Admissions ; Préinscription ; Contact ; Espace Parents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Accès direct « Préinscrire mon enfant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lien « Préinscrire mon enfant » est affiché comme accès direct dans l’en-tête du site et renvoie vers la page « Préinscription ». Aucun sous-menu enfant n’est visible sous cet accès direct.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libellé de l’accès direct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Préinscrire mon 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Vers quelle page cet accès renvoie-t-il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Vers la page «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Où cet accès est-il visible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Dans l’en-tête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Cet accès possède-t-il un sous-menu visible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aucun sous-menu enfant n’est visible sous cet accès direct.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type d’action est proposé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Commencer une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quel parcours institutionnel cet accès est-il relié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parcours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Il s’agit d’un bouton ou lien d’action autonome, et non d’un menu hiérarchique comportant des sous-menus visibles.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 Préinscrire mon enfant » est un accès direct vers le formulaire de préinscription.</w:t>
            </w:r>
          </w:p>
        </w:tc>
      </w:tr>
    </w:tbl>
    <w:p>
      <w:pPr>
        <w:pStyle w:val="Normal"/>
        <w:spacing w:lineRule="auto" w:line="240" w:before="0" w:after="40"/>
        <w:rPr/>
      </w:pPr>
      <w:r>
        <w:rPr/>
      </w:r>
    </w:p>
    <w:p>
      <w:pPr>
        <w:pStyle w:val="Heading1"/>
        <w:keepNext w:val="true"/>
        <w:spacing w:lineRule="auto" w:line="240" w:before="100" w:after="20"/>
        <w:rPr/>
      </w:pPr>
      <w:r>
        <w:rPr/>
        <w:t>2. Campagne d’inscriptions 2026-2027</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BANNIÈRE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Inscriptions 2026-2027 ouvertes — Maternelle (3 niveaux) &amp; Primaire (1re à 4e).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bannière informe immédiatement les familles que la campagne d’inscriptions est ouverte et précise l’offre scolaire disponible.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crée un repère temporel et oriente les demandes vers les niveaux effectivement ouverts.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 ; Programmes ; Maternelle ; Primaire ; Admissions ; Actualités.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Campagne d’inscriptions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Inscriptions 2026-2027 ouvertes — Maternelle (3 niveaux) &amp; Primaire (1re à 4e).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Pour quelle année scolaire les inscriptions sont-elles annoncées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Pour l’année scolaire 2026-2027.</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le statut des inscriptions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Elles sont ouvertes.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cycle préscolaire est annoncé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Maternelle.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Combien de niveaux de Maternelle sont annoncés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Trois niveaux.</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niveaux du Primaire sont annoncés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 la 1re à la 4e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bannière annonce-t-elle le Secondaire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annonce la Maternelle et le Primaire de la 1re à la 4e.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bannière décrit l’offre ouverte au moment du contrôle ; toute évolution doit être confirmée par une communication institutionnelle plus récente.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inscriptions 2026-2027 sont ouvertes pour la Maternelle et la 1re à la 4e primaire.</w:t>
            </w:r>
          </w:p>
        </w:tc>
      </w:tr>
    </w:tbl>
    <w:p>
      <w:pPr>
        <w:pStyle w:val="Normal"/>
        <w:spacing w:lineRule="auto" w:line="240" w:before="0" w:after="40"/>
        <w:rPr/>
      </w:pPr>
      <w:r>
        <w:rPr/>
      </w:r>
    </w:p>
    <w:p>
      <w:pPr>
        <w:pStyle w:val="Heading1"/>
        <w:keepNext w:val="true"/>
        <w:spacing w:lineRule="auto" w:line="240" w:before="100" w:after="20"/>
        <w:rPr/>
      </w:pPr>
      <w:r>
        <w:rPr/>
        <w:t>3. Niveaux scolaires concernés par la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PÉRIMÈTRE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invite les familles à manifester leur intérêt pour une place en Maternelle ou au Primaire.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délimite les niveaux auxquels la demande publique de préinscription s’applique.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empêche les familles de sélectionner un cycle non ouvert et facilite le tri initial des demandes.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Maternelle ; Primaire ; Niveau demandé ; Programmes ;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Niveaux scolaires concernés par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invite les familles à manifester leur intérêt pour une place en Maternelle ou au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cycles sont visés par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Maternelle et le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La demande concerne-t-elle une place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elle manifeste l’intérêt pour 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niveau préscolaire est accepté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Maternelle.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cycle fondamental est accepté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Secondaire figure-t-il dans le texte introductif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champ du formulaire reprend ce périmètre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champ « Niveau demandé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préinscription doit rester cohérente avec les niveaux réellement ouverts et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demande publique concerne une place en Maternelle ou au Primaire.</w:t>
            </w:r>
          </w:p>
        </w:tc>
      </w:tr>
    </w:tbl>
    <w:p>
      <w:pPr>
        <w:pStyle w:val="Normal"/>
        <w:spacing w:lineRule="auto" w:line="240" w:before="0" w:after="40"/>
        <w:rPr/>
      </w:pPr>
      <w:r>
        <w:rPr/>
      </w:r>
    </w:p>
    <w:p>
      <w:pPr>
        <w:pStyle w:val="Heading1"/>
        <w:keepNext w:val="true"/>
        <w:spacing w:lineRule="auto" w:line="240" w:before="100" w:after="20"/>
        <w:rPr/>
      </w:pPr>
      <w:r>
        <w:rPr/>
        <w:t>4. Sélecteur de langue du site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OUTIL DE NAVIGATION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site affiche un sélecteur proposant : Français, English, Kiswahili, Lingala, Kikongo ya Leta et Tshiluba.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sélecteur permet aux familles d’accéder aux contenus institutionnels dans la langue la plus compréhensible pour 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soutient l’accessibilité, l’inclusion et la bonne compréhension des consentements et étapes administratives.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 ; Confidentialité ; ÉMINA ; Admissions ; Communication avec les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Sélecteur de langue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site affiche un sélecteur proposant : Français, English, Kiswahili, Lingala, Kikongo ya Leta et Tshiluba.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Combien de langues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Six langues.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langue française est proposée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Français.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langue anglaise est proposée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English.</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langues nationales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Kiswahili, Lingala, Kikongo ya Leta et Tshiluba.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choix de langue est-il visible sur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un sélecteur de langue est affiché.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quoi ce choix s’applique-t-il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langue du site et de l’interface accessible.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disponibilité réelle de chaque traduction doit être vérifiée page par page afin que les libellés et consentements restent équivalents.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site propose six langues : français, anglais et quatre langues nationales de la RDC.</w:t>
            </w:r>
          </w:p>
        </w:tc>
      </w:tr>
    </w:tbl>
    <w:p>
      <w:pPr>
        <w:pStyle w:val="Normal"/>
        <w:spacing w:lineRule="auto" w:line="240" w:before="0" w:after="40"/>
        <w:rPr/>
      </w:pPr>
      <w:r>
        <w:rPr/>
      </w:r>
    </w:p>
    <w:p>
      <w:pPr>
        <w:pStyle w:val="Heading1"/>
        <w:keepNext w:val="true"/>
        <w:spacing w:lineRule="auto" w:line="240" w:before="100" w:after="20"/>
        <w:rPr/>
      </w:pPr>
      <w:r>
        <w:rPr/>
        <w:t>5. Fil d’Ariane « Accueil › Préinscription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REPÈRE DE NAVIGATION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fil d’Ariane affiche « Accueil › Préinscription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repère indique la position de l’utilisateur dans l’arborescence du 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le retour à l’accueil et confirme que la famille se trouve sur la page officielle de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Accueil ; Préinscription ; Navigation ; Accessibilité.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Fil d’Ariane « Accueil ›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fil d’Ariane affiche « Accueil ›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premier niveau du fil d’Ariane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Accueil.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le second niveau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symbole sépare les deux niveaux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symbole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fil d’Ariane identifie-t-il la page active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identifie «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Vers quelle page permet-il de revenir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 l’Accueil.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parcours comporte-t-il un niveau intermédiaire affiché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le fil affiche directement Accueil puis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fil d’Ariane est un repère de navigation ; il ne décrit pas les conditions d’admission.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fil d’Ariane situe la page Préinscription sous l’Accueil.</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 PRÉSENTATION DE LA DÉMARCHE</w:t>
      </w:r>
    </w:p>
    <w:p>
      <w:pPr>
        <w:pStyle w:val="Normal"/>
        <w:keepNext w:val="true"/>
        <w:spacing w:lineRule="auto" w:line="240" w:before="0" w:after="160"/>
        <w:rPr/>
      </w:pPr>
      <w:r>
        <w:rPr>
          <w:rFonts w:eastAsia="Aptos" w:ascii="Aptos" w:hAnsi="Aptos"/>
          <w:b w:val="false"/>
          <w:i/>
          <w:color w:val="5B6777"/>
          <w:sz w:val="19"/>
        </w:rPr>
        <w:t>Titre, message introductif, simplicité et rôle de la préinscription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6.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nomme la première démarche formelle par laquelle une famille manifeste son intérêt.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distingue clairement la demande initiale de l’inscription définitive et de la décision d’admission.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Demande de préinscription ; Inscription définitive ; Dossier ;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principal de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titre désigne-t-il l’admission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il désigne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titre correspond-il à une première démarche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quel service ce titre se rattache-t-il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autre processus doit être distingué de ce titre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L’inscription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résultat la page permet-elle de préparer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prise de contact et les étapes suivantes du parcours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préinscription ne doit jamais être présentée comme une décision d’admission déjà acquise.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est consacrée à la préinscription.</w:t>
            </w:r>
          </w:p>
        </w:tc>
      </w:tr>
    </w:tbl>
    <w:p>
      <w:pPr>
        <w:pStyle w:val="Normal"/>
        <w:spacing w:lineRule="auto" w:line="240" w:before="0" w:after="40"/>
        <w:rPr/>
      </w:pPr>
      <w:r>
        <w:rPr/>
      </w:r>
    </w:p>
    <w:p>
      <w:pPr>
        <w:pStyle w:val="Heading1"/>
        <w:keepNext w:val="true"/>
        <w:spacing w:lineRule="auto" w:line="240" w:before="100" w:after="20"/>
        <w:rPr/>
      </w:pPr>
      <w:r>
        <w:rPr/>
        <w:t>7. Message introductif de la page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TEXTE INTRODUCTIF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Manifestez votre intérêt pour une place en Maternelle ou au Primaire et demandez l’accompagnement de notre équipe.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texte explique en une phrase l’objectif de la page et l’aide proposée par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rassure la famille, précise les niveaux concernés et annonce un accompagnement humain.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Niveaux ouverts ; Formulaire ; Service Admissions ; Visite ; Inscription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Message introductif de la page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Manifestez votre intérêt pour une place en Maternelle ou au Primaire et demandez l’accompagnement de notre équipe.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la famille est-elle invitée à manifester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intérêt pour 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Pour quels cycles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Pour la Maternelle ou le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soutien peut être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L’accompagnement de l’équipe.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phrase promet-elle une admission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invite à manifester un intérêt.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Qui accompagne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L’équipe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le but immédiat du message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Inviter à commencer la démarche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L’accompagnement annoncé n’équivaut pas à une validation automatique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manifeste son intérêt pour une place et demande l’accompagnement de l’équipe.</w:t>
            </w:r>
          </w:p>
        </w:tc>
      </w:tr>
    </w:tbl>
    <w:p>
      <w:pPr>
        <w:pStyle w:val="Normal"/>
        <w:spacing w:lineRule="auto" w:line="240" w:before="0" w:after="40"/>
        <w:rPr/>
      </w:pPr>
      <w:r>
        <w:rPr/>
      </w:r>
    </w:p>
    <w:p>
      <w:pPr>
        <w:pStyle w:val="Heading1"/>
        <w:keepNext w:val="true"/>
        <w:spacing w:lineRule="auto" w:line="240" w:before="100" w:after="20"/>
        <w:rPr/>
      </w:pPr>
      <w:r>
        <w:rPr/>
        <w:t>8. Commencer la démarche en toute simplicité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ILLUSTRÉE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Commencer la démarche en toute simplicité.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présente la préinscription comme une première action accessible et compréhensible.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réduit l’appréhension administrative et encourage les familles à initier le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 Demande de contact ; Accompagnement humain ; Étapes suivantes.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Commencer la démarche en toute simplicité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Commencer la démarche en toute simplicité.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action le titre propose-t-il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Commencer la démarche.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cette démarche est-elle qualifiée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 toute simplicité.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titre annonce-t-il une procédure complexe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il insiste sur la simplicité.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quelle démarche renvoie-t-il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élément suit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de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public est encouragé à agir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familles intéressées par 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simplicité concerne le démarrage de la démarche ; l’admission finale reste soumise aux vérifications prévues.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titre invite à commencer simplement la démarche de préinscription.</w:t>
            </w:r>
          </w:p>
        </w:tc>
      </w:tr>
    </w:tbl>
    <w:p>
      <w:pPr>
        <w:pStyle w:val="Normal"/>
        <w:spacing w:lineRule="auto" w:line="240" w:before="0" w:after="40"/>
        <w:rPr/>
      </w:pPr>
      <w:r>
        <w:rPr/>
      </w:r>
    </w:p>
    <w:p>
      <w:pPr>
        <w:pStyle w:val="Heading1"/>
        <w:keepNext w:val="true"/>
        <w:spacing w:lineRule="auto" w:line="240" w:before="100" w:after="20"/>
        <w:rPr/>
      </w:pPr>
      <w:r>
        <w:rPr/>
        <w:t>9. Rôle de la préinscription dans les prochaines étapes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TEXTE EXPLICATIF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préinscription permet d’exprimer l’intérêt de la famille et de préparer les prochaines étapes.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texte définit précisément la fonction de la préinscription dans le parcours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évite la confusion avec l’inscription définitive et montre que la demande initiale prépare un traitement ultérieur.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Intérêt de la famille ; Service Admissions ; Visite ; Dossier ; Admission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Rôle de la préinscription dans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permet d’exprimer l’intérêt de la famille et de préparer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permet d’exprimer la préinscription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permet-elle de préparer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Est-elle décrite comme la dernière étape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 prépare les étapes suivantes.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Qui exprime son intérêt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préinscription produit-elle immédiatement une décision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parcours est préparé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parcours Admissions qui suit la demande initiale.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texte ne garantit ni l’admission ni la disponibilité d’une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exprime l’intérêt de la famille et prépare la suite.</w:t>
            </w:r>
          </w:p>
        </w:tc>
      </w:tr>
    </w:tbl>
    <w:p>
      <w:pPr>
        <w:pStyle w:val="Normal"/>
        <w:spacing w:lineRule="auto" w:line="240" w:before="0" w:after="40"/>
        <w:rPr/>
      </w:pPr>
      <w:r>
        <w:rPr/>
      </w:r>
    </w:p>
    <w:p>
      <w:pPr>
        <w:pStyle w:val="Heading1"/>
        <w:keepNext w:val="true"/>
        <w:spacing w:lineRule="auto" w:line="240" w:before="100" w:after="20"/>
        <w:rPr/>
      </w:pPr>
      <w:r>
        <w:rPr/>
        <w:t>10. Illustration institutionnelle de la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ÉLÉMENT VISUEL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associe au message « Commencer la démarche en toute simplicité » une illustration institutionnelle du GROUPE SCOLAIRE LES ÉMINENTS.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L’illustration donne un repère visuel à la démarche et renforce l’identité de l’établissement.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rend la page plus accueillante et soutient la compréhension du parcours sans remplacer le texte accessible.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Identité visuelle ; Accessibilité ; Admissions ; Communication institutionnelle.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Illustration institutionnelle de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associe au message « Commencer la démarche en toute simplicité » une illustration institutionnelle du GROUPE SCOLAIRE LES ÉMINENTS.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quel message l’illustration est-elle associée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 Commencer la démarche en toute simplicité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De quel établissement est-elle une illustration institutionnelle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Du GROUPE SCOLAIRE LES ÉMINENTS.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L’illustration remplace-t-elle le formulaire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type de contenu accompagne-t-elle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message introductif sur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identité renforce-t-elle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L’identité institutionnelle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alternatif indique-t-il la nature de l’image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la décrit comme une illustration institutionnelle.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images doivent rester accompagnées de textes accessibles et ne pas laisser une information essentielle uniquement dans le visuel.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illustration institutionnelle accompagne l’introduction à la préinscription.</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III. FORMULAIRE DE DEMANDE DE PRÉINSCRIPTION</w:t>
      </w:r>
    </w:p>
    <w:p>
      <w:pPr>
        <w:pStyle w:val="Normal"/>
        <w:keepNext w:val="true"/>
        <w:spacing w:lineRule="auto" w:line="240" w:before="0" w:after="160"/>
        <w:rPr/>
      </w:pPr>
      <w:r>
        <w:rPr>
          <w:rFonts w:eastAsia="Aptos" w:ascii="Aptos" w:hAnsi="Aptos"/>
          <w:b w:val="false"/>
          <w:i/>
          <w:color w:val="5B6777"/>
          <w:sz w:val="19"/>
        </w:rPr>
        <w:t>Nature, champs, consentement et envoi</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11. Demande de préinscription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FORMULAIRE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Demande de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introduit le formulaire par lequel la famille transmet les informations minimales nécessaires au premier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structure la collecte initiale et facilite le traitement par le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Coordonnées ; Niveau demandé ; Âge ; Visite ; Consentement ; Après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du formulaire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type de demande s’agit-il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formulaire est-il présenté comme une admission définitive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quelle page appartient-il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page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Qui utilise les informations reçues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le résultat immédiat attendu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L’envoi d’une demande de contact pour préparer 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titre du formulaire ne doit pas être interprété comme une confirmation de place.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sert à envoyer une demande de préinscription.</w:t>
            </w:r>
          </w:p>
        </w:tc>
      </w:tr>
    </w:tbl>
    <w:p>
      <w:pPr>
        <w:pStyle w:val="Normal"/>
        <w:spacing w:lineRule="auto" w:line="240" w:before="0" w:after="40"/>
        <w:rPr/>
      </w:pPr>
      <w:r>
        <w:rPr/>
      </w:r>
    </w:p>
    <w:p>
      <w:pPr>
        <w:pStyle w:val="Heading1"/>
        <w:keepNext w:val="true"/>
        <w:spacing w:lineRule="auto" w:line="240" w:before="100" w:after="20"/>
        <w:rPr/>
      </w:pPr>
      <w:r>
        <w:rPr/>
        <w:t>12. Nature du formulaire : demande de contact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AVERTISSEMENT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formulaire est une demande de contact et ne constitue pas encore l’admission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L’avertissement précise la portée juridique et administrative limitée de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la famille contre une interprétation erronée et protège l’école contre une confirmation implicite non autorisée.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 ; Admission définitive ; Décision ; Service Admissions ;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Nature du formulaire : demande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Ce formulaire est une demande de contact et ne constitue pas encore l’admission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est la nature du formulaire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demande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Constitue-t-il déjà l’admission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mot temporel souligne que le processus continue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Encore.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formulaire produit-il une décision automatique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 déclenche-t-il principalement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prise de contact par 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distinction centrale est formulée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distinction entre demande de contact et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L’envoi du formulaire ne doit donner lieu à aucune promesse de place avant l’étude du dossier et la confirmation habilitée.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est une demande de contact, pas une admission définitive.</w:t>
            </w:r>
          </w:p>
        </w:tc>
      </w:tr>
    </w:tbl>
    <w:p>
      <w:pPr>
        <w:pStyle w:val="Normal"/>
        <w:spacing w:lineRule="auto" w:line="240" w:before="0" w:after="40"/>
        <w:rPr/>
      </w:pPr>
      <w:r>
        <w:rPr/>
      </w:r>
    </w:p>
    <w:p>
      <w:pPr>
        <w:pStyle w:val="Heading1"/>
        <w:keepNext w:val="true"/>
        <w:spacing w:lineRule="auto" w:line="240" w:before="100" w:after="20"/>
        <w:rPr/>
      </w:pPr>
      <w:r>
        <w:rPr/>
        <w:t>13. Intervention d’un agent du service Admissions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ACCOMPAGNEMENT HUMAIN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agent du service Admissions vous contactera pour confirmer les informations, présenter les pièces et planifier la suite.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précise qu’un professionnel habilité reprend la demande après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L’intervention humaine sécurise la compréhension, la vérification des données et l’orientation vers les étapes adaptées.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Service Admissions ; Coordonnées ; Pièces ; Visite ; Dossier complet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Intervention d’un agent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du service Admissions vous contactera pour confirmer les informations, présenter les pièces et planifier 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Qui contactera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agent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première action réalisera l’agent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Confirmer les informations.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présentera-t-il à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pièces.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 planifiera-t-il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suivi est-il uniquement automatisé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un agent intervient.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service porte ce suivi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L’agent confirme et oriente ; la décision finale reste soumise aux règles et habilitations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Admissions confirme les informations, présente les pièces et planifie la suite.</w:t>
            </w:r>
          </w:p>
        </w:tc>
      </w:tr>
    </w:tbl>
    <w:p>
      <w:pPr>
        <w:pStyle w:val="Normal"/>
        <w:spacing w:lineRule="auto" w:line="240" w:before="0" w:after="40"/>
        <w:rPr/>
      </w:pPr>
      <w:r>
        <w:rPr/>
      </w:r>
    </w:p>
    <w:p>
      <w:pPr>
        <w:pStyle w:val="Heading1"/>
        <w:keepNext w:val="true"/>
        <w:spacing w:lineRule="auto" w:line="240" w:before="100" w:after="20"/>
        <w:rPr/>
      </w:pPr>
      <w:r>
        <w:rPr/>
        <w:t>14. Champs obligatoires signalés par un astérisque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 DE FORMULAIRE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champs « Nom du parent ou responsable », « Téléphone », « Niveau demandé » et « Âge approximatif de l’enfant » portent un astérisque.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L’astérisque permet d’identifier les informations indispensables à l’envoi et au traitement initial de la demande.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améliore la complétude du formulaire et réduit les demandes impossibles à traiter faute de données essentielles.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Nom ; Téléphone ; Niveau ; Âge ; Validation du formulaire.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Champs obligatoires signalés par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champs « Nom du parent ou responsable », « Téléphone », « Niveau demandé » et « Âge approximatif de l’enfant » portent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symbole signale un champ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nom du responsable est-il signalé comme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téléphone est-il signalé comme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niveau demandé est-il signalé comme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L’âge approximatif est-il signalé comme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courriel porte-t-il un astérisque dans le relevé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L’absence d’astérisque ne signifie pas que l’information est inutile ; elle indique seulement qu’elle n’est pas affichée comme obligatoire dans le formulaire contrôlé.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Quatre champs essentiels portent un astérisque : nom, téléphone, niveau et âge.</w:t>
            </w:r>
          </w:p>
        </w:tc>
      </w:tr>
    </w:tbl>
    <w:p>
      <w:pPr>
        <w:pStyle w:val="Normal"/>
        <w:spacing w:lineRule="auto" w:line="240" w:before="0" w:after="40"/>
        <w:rPr/>
      </w:pPr>
      <w:r>
        <w:rPr/>
      </w:r>
    </w:p>
    <w:p>
      <w:pPr>
        <w:pStyle w:val="Heading1"/>
        <w:keepNext w:val="true"/>
        <w:spacing w:lineRule="auto" w:line="240" w:before="100" w:after="20"/>
        <w:rPr/>
      </w:pPr>
      <w:r>
        <w:rPr/>
        <w:t>15. Champ technique « Ne pas remplir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TECHNIQUE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Ne pas remplir.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libellé indique qu’un champ doit rester vide ; il correspond vraisemblablement à un mécanisme anti-envoi automatisé.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tel mécanisme aide à limiter les messages indésirables sans demander un effort supplémentaire aux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 Sécurité ; Anti-spam ; Accessibilité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technique « Ne pas remplir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Ne pas remplir.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texte exact apparaît pour ce champ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Ne pas remplir.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L’utilisateur doit-il le compléter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instruction est donnée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Laisser le champ vide.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 champ concerne-t-il l’identité de l’enfant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 champ concerne-t-il le niveau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Dans quelle partie apparaît-il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formulaire de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fonction anti-spam est une interprétation technique probable ; le seul ordre explicite publié est de ne pas remplir le champ.</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champ portant « Ne pas remplir » doit rester vide.</w:t>
            </w:r>
          </w:p>
        </w:tc>
      </w:tr>
    </w:tbl>
    <w:p>
      <w:pPr>
        <w:pStyle w:val="Normal"/>
        <w:spacing w:lineRule="auto" w:line="240" w:before="0" w:after="40"/>
        <w:rPr/>
      </w:pPr>
      <w:r>
        <w:rPr/>
      </w:r>
    </w:p>
    <w:p>
      <w:pPr>
        <w:pStyle w:val="Heading1"/>
        <w:keepNext w:val="true"/>
        <w:spacing w:lineRule="auto" w:line="240" w:before="100" w:after="20"/>
        <w:rPr/>
      </w:pPr>
      <w:r>
        <w:rPr/>
        <w:t>16. Nom du parent ou responsable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OBLIGATOIRE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Nom du parent ou responsable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identifie la personne adulte qui initie la demande et servira d’interlocuteur principal.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au service Admissions de personnaliser le suivi et de rattacher la demande à un responsable identifiable.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Téléphone ; Courriel ; Consentement ; Responsable légal ; Dossier définitif.</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Nom du parent ou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Nom du parent ou responsable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information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du parent ou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peut être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parent ou le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champ est-il obligatoire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il porte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champ demande-t-il le nom de l’enfant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il demande le nom du parent ou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À quoi ce nom est-il relié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la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autre champ permet de recontacter cette personne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nom saisi doit correspondre à la personne autorisée à échanger avec l’école au sujet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exige le nom du parent ou responsable.</w:t>
            </w:r>
          </w:p>
        </w:tc>
      </w:tr>
    </w:tbl>
    <w:p>
      <w:pPr>
        <w:pStyle w:val="Normal"/>
        <w:spacing w:lineRule="auto" w:line="240" w:before="0" w:after="40"/>
        <w:rPr/>
      </w:pPr>
      <w:r>
        <w:rPr/>
      </w:r>
    </w:p>
    <w:p>
      <w:pPr>
        <w:pStyle w:val="Heading1"/>
        <w:keepNext w:val="true"/>
        <w:spacing w:lineRule="auto" w:line="240" w:before="100" w:after="20"/>
        <w:rPr/>
      </w:pPr>
      <w:r>
        <w:rPr/>
        <w:t>17. Téléphone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OBLIGATOIRE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Téléphone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numéro de téléphone constitue le canal principal de rappel par le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est indispensable pour confirmer les informations et organiser la visite ou les étapes suivantes.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Agent Admissions ; WhatsApp ; Courriel ; Visite ;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Téléphone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coordonnée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est-il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porte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Qui utilisera cette coordonnée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quelle action sert-elle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contacter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téléphone remplace-t-il le niveau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autre moyen de contact est proposé dans le formulaire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famille doit fournir un numéro joignable et exact ; le formulaire ne précise pas un format international obligatoire.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téléphone est obligatoire pour permettre le suivi de la demande.</w:t>
            </w:r>
          </w:p>
        </w:tc>
      </w:tr>
    </w:tbl>
    <w:p>
      <w:pPr>
        <w:pStyle w:val="Normal"/>
        <w:spacing w:lineRule="auto" w:line="240" w:before="0" w:after="40"/>
        <w:rPr/>
      </w:pPr>
      <w:r>
        <w:rPr/>
      </w:r>
    </w:p>
    <w:p>
      <w:pPr>
        <w:pStyle w:val="Heading1"/>
        <w:keepNext w:val="true"/>
        <w:spacing w:lineRule="auto" w:line="240" w:before="100" w:after="20"/>
        <w:rPr/>
      </w:pPr>
      <w:r>
        <w:rPr/>
        <w:t>18. Courriel</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FACULTATIF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Courriel.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offre un canal écrit complémentaire au téléphone.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d’envoyer des informations détaillées, des liens ou des indications sur le dossier et la visite.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Téléphone ; Documentation ; Pièces ; Confirmation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moyen de communication est demandé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porte-t-il un astérisque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Est-il distinct du téléphone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À quel type de communication peut-il servir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une communication écrite avec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formulaire exige-t-il explicitement une adresse électronique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le champ n’est pas marqué obligatoire.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service peut utiliser ce courriel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Même facultatif, le courriel doit être exact s’il est fourni ; il ne doit pas contenir de données sensibles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permet d’ajouter un courriel comme canal écrit complémentaire.</w:t>
            </w:r>
          </w:p>
        </w:tc>
      </w:tr>
    </w:tbl>
    <w:p>
      <w:pPr>
        <w:pStyle w:val="Normal"/>
        <w:spacing w:lineRule="auto" w:line="240" w:before="0" w:after="40"/>
        <w:rPr/>
      </w:pPr>
      <w:r>
        <w:rPr/>
      </w:r>
    </w:p>
    <w:p>
      <w:pPr>
        <w:pStyle w:val="Heading1"/>
        <w:keepNext w:val="true"/>
        <w:spacing w:lineRule="auto" w:line="240" w:before="100" w:after="20"/>
        <w:rPr/>
      </w:pPr>
      <w:r>
        <w:rPr/>
        <w:t>19. Niveau demandé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OBLIGATOIRE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Niveau demandé * — Sélectionner : Maternelle ou Primaire.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permet d’orienter la demande vers le cycle scolaire approprié.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la vérification des niveaux ouverts, de l’âge approximatif et de la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Maternelle ; Primaire ; Âge ; Programmes ; Places disponibles.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Niveau demandé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Niveau demandé * — Sélectionner : Maternelle ou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information scolaire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niveau demandé.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est-il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porte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instruction précède les options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Sélectionner.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options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Maternelle et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Secondaire est-il proposé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autre champ aide à vérifier la cohérence du niveau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L’âge approximatif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sélection du cycle ne garantit pas la disponibilité d’une place ni l’adéquation définitive du niveau.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doit choisir entre Maternelle et Primaire.</w:t>
            </w:r>
          </w:p>
        </w:tc>
      </w:tr>
    </w:tbl>
    <w:p>
      <w:pPr>
        <w:pStyle w:val="Normal"/>
        <w:spacing w:lineRule="auto" w:line="240" w:before="0" w:after="40"/>
        <w:rPr/>
      </w:pPr>
      <w:r>
        <w:rPr/>
      </w:r>
    </w:p>
    <w:p>
      <w:pPr>
        <w:pStyle w:val="Heading1"/>
        <w:keepNext w:val="true"/>
        <w:spacing w:lineRule="auto" w:line="240" w:before="100" w:after="20"/>
        <w:rPr/>
      </w:pPr>
      <w:r>
        <w:rPr/>
        <w:t>20. Option « Maternelle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OPTION DE FORMULAIRE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Maternelle.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option permet aux familles d’indiquer qu’elles demandent une place dans le cycle préscolaire.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dirige la demande vers l’offre de trois niveaux de Maternelle annoncée pour 2026-2027.</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Petite Section ; Moyenne Section ; Grande Section ; Âge ; Programmes.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Option « Maternelle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Maternelle.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option préscolaire est proposée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Maternelle.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champ apparaît-elle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champ « Niveau demandé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Combien de niveaux de Maternelle sont annoncés dans la bannière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Trois niveaux.</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Cette option concerne-t-elle le Primaire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Cette option est-elle ouverte pour 2026-2027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la bannière annonce la Maternelle.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renseignement accompagne cette sélection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L’âge approximatif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de préinscription ne demande pas de choisir directement Petite, Moyenne ou Grande Section dans le champ observé.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L’option Maternelle permet de demander une place dans le cycle préscolaire.</w:t>
            </w:r>
          </w:p>
        </w:tc>
      </w:tr>
    </w:tbl>
    <w:p>
      <w:pPr>
        <w:pStyle w:val="Normal"/>
        <w:spacing w:lineRule="auto" w:line="240" w:before="0" w:after="40"/>
        <w:rPr/>
      </w:pPr>
      <w:r>
        <w:rPr/>
      </w:r>
    </w:p>
    <w:p>
      <w:pPr>
        <w:pStyle w:val="Heading1"/>
        <w:keepNext w:val="true"/>
        <w:spacing w:lineRule="auto" w:line="240" w:before="100" w:after="20"/>
        <w:rPr/>
      </w:pPr>
      <w:r>
        <w:rPr/>
        <w:t>21. Option « Primaire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OPTION DE FORMULAIRE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Primaire.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option permet aux familles d’indiquer qu’elles demandent une place dans le cycle primaire.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oriente la demande vers les niveaux de la 1re à la 4e primaire annoncés comme ouverts.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1re primaire ; 2e primaire ; 3e primaire ; 4e primaire ; Âge ; Programmes.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Option « Primaire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option du cycle fondamental est proposée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champ apparaît-elle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champ « Niveau demandé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Quels niveaux sont annoncés comme ouverts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 la 1re à la 4e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Cette option concerne-t-elle la Maternelle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Secondaire est-il inclus dans cette option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autre renseignement aide l’école à orienter la demande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L’âge approximatif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observé ne demande pas directement de sélectionner la classe précise de 1re, 2e, 3e ou 4e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L’option Primaire concerne les niveaux ouverts de la 1re à la 4e.</w:t>
            </w:r>
          </w:p>
        </w:tc>
      </w:tr>
    </w:tbl>
    <w:p>
      <w:pPr>
        <w:pStyle w:val="Normal"/>
        <w:spacing w:lineRule="auto" w:line="240" w:before="0" w:after="40"/>
        <w:rPr/>
      </w:pPr>
      <w:r>
        <w:rPr/>
      </w:r>
    </w:p>
    <w:p>
      <w:pPr>
        <w:pStyle w:val="Heading1"/>
        <w:keepNext w:val="true"/>
        <w:spacing w:lineRule="auto" w:line="240" w:before="100" w:after="20"/>
        <w:rPr/>
      </w:pPr>
      <w:r>
        <w:rPr/>
        <w:t>22. Âge approximatif de l’enfant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OBLIGATOIRE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Âge approximatif de l’enfant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fournit une première indication pour vérifier la cohérence entre l’âge et le cycle demandé.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aide le service Admissions à préparer l’orientation et les questions de suivi avant l’étude complète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Niveau demandé ; Maternelle ; Primaire ; Dossier ; Conformité âge-niveau.</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Âge approximatif de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Âge approximatif de l’enfant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donnée sur l’enfant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âge approximatif.</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est-il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porte un astérisque.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L’âge demandé est-il qualifié de définitif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il est qualifié d’approximatif.</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autre champ doit être comparé à l’âge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niveau demandé.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 champ demande-t-il la date de naissance complète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qui l’âge se rapporte-t-il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L’âge approximatif ne remplace pas la date de naissance ni les pièces d’état civil qui peuvent être demandées ultérieurement.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exige une estimation de l’âge de l’enfant.</w:t>
            </w:r>
          </w:p>
        </w:tc>
      </w:tr>
    </w:tbl>
    <w:p>
      <w:pPr>
        <w:pStyle w:val="Normal"/>
        <w:spacing w:lineRule="auto" w:line="240" w:before="0" w:after="40"/>
        <w:rPr/>
      </w:pPr>
      <w:r>
        <w:rPr/>
      </w:r>
    </w:p>
    <w:p>
      <w:pPr>
        <w:pStyle w:val="Heading1"/>
        <w:keepNext w:val="true"/>
        <w:spacing w:lineRule="auto" w:line="240" w:before="100" w:after="20"/>
        <w:rPr/>
      </w:pPr>
      <w:r>
        <w:rPr/>
        <w:t>23. Disponibilité pour une visite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FACULTATIF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Disponibilité pour une visite.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permet à la famille d’indiquer quand elle pourrait visiter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l’organisation du contact humain, la découverte du campus et la présentation du parcours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Contact ; Planification ; Campus ; Infrastructures ; Agent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Disponibilité pour une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Disponibilité pour une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disponibilité peut être indiquée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disponibilité pour une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porte-t-il un astérisque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 visite concerne-t-elle l’école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Qui peut organiser la suite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visite est-elle présentée comme une décision d’admission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autre élément est communiqué après l’envoi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sur la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formulaire extrait ne publie pas de créneaux fixes ; la planification doit être confirmée avec l’équipe.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peut indiquer sa disponibilité pour visiter l’école.</w:t>
            </w:r>
          </w:p>
        </w:tc>
      </w:tr>
    </w:tbl>
    <w:p>
      <w:pPr>
        <w:pStyle w:val="Normal"/>
        <w:spacing w:lineRule="auto" w:line="240" w:before="0" w:after="40"/>
        <w:rPr/>
      </w:pPr>
      <w:r>
        <w:rPr/>
      </w:r>
    </w:p>
    <w:p>
      <w:pPr>
        <w:pStyle w:val="Heading1"/>
        <w:keepNext w:val="true"/>
        <w:spacing w:lineRule="auto" w:line="240" w:before="100" w:after="20"/>
        <w:rPr/>
      </w:pPr>
      <w:r>
        <w:rPr/>
        <w:t>24. Question ou précision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CHAMP FACULTATIF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Question ou précision.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champ permet à la famille d’ajouter un besoin, une interrogation ou une information utile à la prise de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rend le suivi plus pertinent et permet à l’agent de préparer une réponse adaptée.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Service Admissions ; Contact ; Visite ; Niveau ; Accompagnement humain.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Question ou précision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Question ou précision.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type de texte peut être ajouté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question ou une précision.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champ est-il marqué obligatoire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Qui peut exploiter cette précision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 champ remplace-t-il le téléphone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Peut-il servir à demander une information complémentaire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quelle demande est-il rattaché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Ce champ ne doit pas contenir de données médicales, financières, mots de passe ou informations sensibles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peut ajouter une question ou une précision à sa demande.</w:t>
            </w:r>
          </w:p>
        </w:tc>
      </w:tr>
    </w:tbl>
    <w:p>
      <w:pPr>
        <w:pStyle w:val="Normal"/>
        <w:spacing w:lineRule="auto" w:line="240" w:before="0" w:after="40"/>
        <w:rPr/>
      </w:pPr>
      <w:r>
        <w:rPr/>
      </w:r>
    </w:p>
    <w:p>
      <w:pPr>
        <w:pStyle w:val="Heading1"/>
        <w:keepNext w:val="true"/>
        <w:spacing w:lineRule="auto" w:line="240" w:before="100" w:after="20"/>
        <w:rPr/>
      </w:pPr>
      <w:r>
        <w:rPr/>
        <w:t>25. Autorisation de contact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CONSENTEMENT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J’autorise l’école à me contacter au sujet de cette demande.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phrase recueille l’accord de la famille pour que l’école utilise les coordonnées fournies dans le cadre précis de la demande.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établit une base claire pour le rappel et limite la finalité du contact au traitement de la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Téléphone ; Courriel ; Confidentialité ; Service Admissions ; Finalité.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Autorisation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J’autorise l’école à me contacter au sujet de cette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Qui est autorisé à contacter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quel sujet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sujet de cette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acte exprime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autorisation.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L’autorisation concerne-t-elle toute communication sans limite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concerne cette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coordonnées peuvent servir au contact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téléphone et, s’il est fourni, le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service effectue le suivi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consentement doit rester spécifique au traitement de la demande et ne pas être étendu à d’autres usages sans information appropriée.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autorise l’école à la contacter au sujet de la préinscription.</w:t>
            </w:r>
          </w:p>
        </w:tc>
      </w:tr>
    </w:tbl>
    <w:p>
      <w:pPr>
        <w:pStyle w:val="Normal"/>
        <w:spacing w:lineRule="auto" w:line="240" w:before="0" w:after="40"/>
        <w:rPr/>
      </w:pPr>
      <w:r>
        <w:rPr/>
      </w:r>
    </w:p>
    <w:p>
      <w:pPr>
        <w:pStyle w:val="Heading1"/>
        <w:keepNext w:val="true"/>
        <w:spacing w:lineRule="auto" w:line="240" w:before="100" w:after="20"/>
        <w:rPr/>
      </w:pPr>
      <w:r>
        <w:rPr/>
        <w:t>26. Rappel : ceci n’est pas encore une admission définitive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MENTION DE PRUDENCE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Ceci n’est pas encore une admission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mention est répétée près du consentement et du bouton afin d’être visible au moment de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sécurise la compréhension de la famille et évite que le clic soit interprété comme une confirmation de place.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Demande de contact ; Étude du dossier ; Disponibilité des places ; Décision ; Inscription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Rappel : ceci n’est pas encore une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Ceci n’est pas encore une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la mention exclut-elle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admission définitive déjà acquise.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mot montre que le processus se poursuit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Encore.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 demande garantit-elle une place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Quand cette mention est-elle présentée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moment de l’envoi du formulaire.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processus doit encore intervenir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L’étude du dossier et la vérification des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Qui prendra contact après l’envoi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Toute confirmation d’admission doit provenir d’une personne habilitée et suivre la procédure officielle.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L’envoi de la préinscription ne constitue pas une admission définitive.</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IV. TRAITEMENT APRÈS L’ENVOI</w:t>
      </w:r>
    </w:p>
    <w:p>
      <w:pPr>
        <w:pStyle w:val="Normal"/>
        <w:keepNext w:val="true"/>
        <w:spacing w:lineRule="auto" w:line="240" w:before="0" w:after="160"/>
        <w:rPr/>
      </w:pPr>
      <w:r>
        <w:rPr>
          <w:rFonts w:eastAsia="Aptos" w:ascii="Aptos" w:hAnsi="Aptos"/>
          <w:b w:val="false"/>
          <w:i/>
          <w:color w:val="5B6777"/>
          <w:sz w:val="19"/>
        </w:rPr>
        <w:t>Enregistrement, vérification, informations et conditions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27. Bouton « Envoyer la préinscription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APPEL À L’ACTION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Envoyer la préinscription.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bouton constitue l’action finale du formulaire et transmet la demande à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matérialise le consentement et déclenche le processus de suivi décrit dans la section « Après l’envoi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 Autorisation ; Enregistrement sécurisé ; Service Admissions ; Accusé de réception.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Bouton « Envoyer la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Envoyer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libellé du bouton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Envoyer la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transmet ce bouton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demande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quelle section appartient-il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 formulaire « Demande de préinscription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section explique la suite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 Après l’envoi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bouton confirme-t-il l’admission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action précède logiquement le clic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remplissage des champs et l’autorisation de contact.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clic doit être suivi d’une confirmation claire de réception ; la décision d’admission n’est pas automatique.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bouton transmet la demande de préinscription.</w:t>
            </w:r>
          </w:p>
        </w:tc>
      </w:tr>
    </w:tbl>
    <w:p>
      <w:pPr>
        <w:pStyle w:val="Normal"/>
        <w:spacing w:lineRule="auto" w:line="240" w:before="0" w:after="40"/>
        <w:rPr/>
      </w:pPr>
      <w:r>
        <w:rPr/>
      </w:r>
    </w:p>
    <w:p>
      <w:pPr>
        <w:pStyle w:val="Heading1"/>
        <w:keepNext w:val="true"/>
        <w:spacing w:lineRule="auto" w:line="240" w:before="100" w:after="20"/>
        <w:rPr/>
      </w:pPr>
      <w:r>
        <w:rPr/>
        <w:t>28. Après l’envoi</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Après l’envoi.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annonce la séquence qui suit immédiatement la transmission du formulaire.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réduit l’incertitude de la famille en détaillant quatre étapes de traitement.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Enregistrement ; Vérification ; Informations ; Admission définitive.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Après l’envoi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Après l’envoi.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moment la section décrit-elle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moment après l’envoi.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Combien d’étapes numérotées sont présentées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Quatre.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est la première étape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L’enregistrement sécurisé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est la deuxième étape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vérification par un agent.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est la troisième étape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réception d’informations sur 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est la quatrième étape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rappel des conditions de l’admission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section décrit un processus de suivi, pas un délai garanti ni une décision favorable automatique.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section explique les quatre étapes qui suivent l’envoi.</w:t>
            </w:r>
          </w:p>
        </w:tc>
      </w:tr>
    </w:tbl>
    <w:p>
      <w:pPr>
        <w:pStyle w:val="Normal"/>
        <w:spacing w:lineRule="auto" w:line="240" w:before="0" w:after="40"/>
        <w:rPr/>
      </w:pPr>
      <w:r>
        <w:rPr/>
      </w:r>
    </w:p>
    <w:p>
      <w:pPr>
        <w:pStyle w:val="Heading1"/>
        <w:keepNext w:val="true"/>
        <w:spacing w:lineRule="auto" w:line="240" w:before="100" w:after="20"/>
        <w:rPr/>
      </w:pPr>
      <w:r>
        <w:rPr/>
        <w:t>29. 1. Enregistrement sécurisé de la demande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APRÈS ENVOI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Votre demande est enregistrée de manière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première étape confirme que la demande entre dans un circuit protégé de traitement.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renforce la confiance de la famille et établit le point de départ de la traçabilité administrative.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Confidentialité ; Données personnelles ; Service Admissions ; Dossier privé.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1. Enregistrement sécurisé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Votre demande est enregistrée de manière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Qu’est-ce qui est enregistré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est-elle enregistrée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 manière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quel moment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Après l’envoi.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Cette étape est-elle la première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parle-t-il d’une admission enregistrée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il parle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principe institutionnel cette étape soutient-elle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protection et la sécurité des informations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texte ne précise ni le système technique ni la durée de conservation ; ces éléments relèvent de la politique de confidentialité et de la gouvernance interne.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Après l’envoi, la demande est enregistrée de manière sécurisée.</w:t>
            </w:r>
          </w:p>
        </w:tc>
      </w:tr>
    </w:tbl>
    <w:p>
      <w:pPr>
        <w:pStyle w:val="Normal"/>
        <w:spacing w:lineRule="auto" w:line="240" w:before="0" w:after="40"/>
        <w:rPr/>
      </w:pPr>
      <w:r>
        <w:rPr/>
      </w:r>
    </w:p>
    <w:p>
      <w:pPr>
        <w:pStyle w:val="Heading1"/>
        <w:keepNext w:val="true"/>
        <w:spacing w:lineRule="auto" w:line="240" w:before="100" w:after="20"/>
        <w:rPr/>
      </w:pPr>
      <w:r>
        <w:rPr/>
        <w:t>30. 2. Vérification du niveau et des coordonnées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APRÈS ENVOI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agent vérifie le niveau demandé et les coordonnées.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contrôle les informations essentielles avant de reprendre contact avec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réduit les erreurs d’orientation et permet au service Admissions de joindre la bonne personne.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Niveau demandé ; Téléphone ; Courriel ; Agent Admissions ; Âge approximatif.</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2. Vérification du niveau et des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vérifie le niveau demandé et les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Qui effectue la vérification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agent.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élément scolaire est vérifié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niveau demandé.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autre ensemble d’informations est vérifié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Cette vérification intervient-elle après l’envoi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indique-t-il une décision à cette étape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champs alimentent principalement cette vérification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niveau demandé, le téléphone et, s’il est fourni, le courriel.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vérification du niveau et des coordonnées ne remplace pas l’étude complète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vérifie le niveau demandé et les coordonnées.</w:t>
            </w:r>
          </w:p>
        </w:tc>
      </w:tr>
    </w:tbl>
    <w:p>
      <w:pPr>
        <w:pStyle w:val="Normal"/>
        <w:spacing w:lineRule="auto" w:line="240" w:before="0" w:after="40"/>
        <w:rPr/>
      </w:pPr>
      <w:r>
        <w:rPr/>
      </w:r>
    </w:p>
    <w:p>
      <w:pPr>
        <w:pStyle w:val="Heading1"/>
        <w:keepNext w:val="true"/>
        <w:spacing w:lineRule="auto" w:line="240" w:before="100" w:after="20"/>
        <w:rPr/>
      </w:pPr>
      <w:r>
        <w:rPr/>
        <w:t>31. 3. Informations sur la visite, le dossier et les prochaines étapes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APRÈS ENVOI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Vous recevez les informations sur la visite, le dossier et les prochaines étapes.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annonce les renseignements que la famille recevra après la vérification initiale.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assure la continuité entre la demande de contact et la constitution du dossier complet.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Visite ; Pièces ; Dossier ; Inscription définitive ; Contact humain.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3. Informations sur la visite, le dossier et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Vous recevez les informations sur la visite, le dossier et 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reçoit la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informations.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Sur quel premier sujet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Sur quel deuxième sujet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Sur quel troisième sujet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À quel moment ces informations arrivent-elles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Après l’envoi et la vérification initiale.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Cette étape constitue-t-elle une décision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ne fixe pas un délai précis de réponse ni un calendrier automatique de visite.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reçoit des informations sur la visite, le dossier et la suite.</w:t>
            </w:r>
          </w:p>
        </w:tc>
      </w:tr>
    </w:tbl>
    <w:p>
      <w:pPr>
        <w:pStyle w:val="Normal"/>
        <w:spacing w:lineRule="auto" w:line="240" w:before="0" w:after="40"/>
        <w:rPr/>
      </w:pPr>
      <w:r>
        <w:rPr/>
      </w:r>
    </w:p>
    <w:p>
      <w:pPr>
        <w:pStyle w:val="Heading1"/>
        <w:keepNext w:val="true"/>
        <w:spacing w:lineRule="auto" w:line="240" w:before="100" w:after="20"/>
        <w:rPr/>
      </w:pPr>
      <w:r>
        <w:rPr/>
        <w:t>32. 4. Admission définitive soumise à des conditions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APRÈS ENVOI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L’admission définitive reste soumise à l’étude du dossier et à la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étape énonce les deux conditions principales qui empêchent d’assimiler la préinscription à une place acquise.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protège l’équité du processus et permet à l’école de vérifier le dossier avant toute confirmation.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Étude du dossier ; Places ; Décision ; Inscription définitive ; Agent habilité.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4. Admission définitive soumise à des conditions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L’admission définitive reste soumise à l’étude du dossier et à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quoi l’admission définitive est-elle soumise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l’étude du dossier et à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condition documentaire est citée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L’étude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condition de capacité est citée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préinscription suffit-elle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garantit-il une place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étape reste à confirmer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décision favorable doit être communiquée selon les procédures institutionnelles par les personnes habilitées.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L’admission dépend de l’étude du dossier et des places disponibles.</w:t>
            </w:r>
          </w:p>
        </w:tc>
      </w:tr>
    </w:tbl>
    <w:p>
      <w:pPr>
        <w:pStyle w:val="Normal"/>
        <w:spacing w:lineRule="auto" w:line="240" w:before="0" w:after="40"/>
        <w:rPr/>
      </w:pPr>
      <w:r>
        <w:rPr/>
      </w:r>
    </w:p>
    <w:p>
      <w:pPr>
        <w:pStyle w:val="Heading1"/>
        <w:keepNext w:val="true"/>
        <w:spacing w:lineRule="auto" w:line="240" w:before="100" w:after="20"/>
        <w:rPr/>
      </w:pPr>
      <w:r>
        <w:rPr/>
        <w:t>33. Étude du dossier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CONDITION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L’admission définitive reste soumise à l’étude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rappelle que l’école doit examiner les informations et pièces avant de statuer.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garantit un traitement administratif cohérent et évite les confirmations fondées sur le seul formulaire initial.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Dossier complet ; Pièces ; Inscription définitive ; Service Admissions ; Décision.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Étude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L’admission définitive reste soumise à l’étude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élément doit être étudié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quelle décision cette étude est-elle liée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L’étude intervient-elle avant la confirmation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formulaire initial remplace-t-il le dossier complet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service accompagne la constitution du dossier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information la famille recevra-t-elle après l’envoi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informations sur le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critères détaillés d’étude ne sont pas développés sur la page de préinscription ; ils doivent être consultés dans les ressources Admissions officielles.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dossier doit être étudié avant l’admission définitive.</w:t>
            </w:r>
          </w:p>
        </w:tc>
      </w:tr>
    </w:tbl>
    <w:p>
      <w:pPr>
        <w:pStyle w:val="Normal"/>
        <w:spacing w:lineRule="auto" w:line="240" w:before="0" w:after="40"/>
        <w:rPr/>
      </w:pPr>
      <w:r>
        <w:rPr/>
      </w:r>
    </w:p>
    <w:p>
      <w:pPr>
        <w:pStyle w:val="Heading1"/>
        <w:keepNext w:val="true"/>
        <w:spacing w:lineRule="auto" w:line="240" w:before="100" w:after="20"/>
        <w:rPr/>
      </w:pPr>
      <w:r>
        <w:rPr/>
        <w:t>34. Disponibilité des places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CONDITION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L’admission définitive reste soumise à la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rappelle que la capacité d’accueil est une condition indépendante de l’intérêt manifesté par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de gérer équitablement les demandes et d’éviter une surcapacité incompatible avec la qualité et la sécurité.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Niveaux ouverts ; Admissions ; Liste d’attente ; Capacité ; Qualité.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L’admission définitive reste soumise à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condition de capacité est citée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Cette condition concerne-t-elle l’admission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Une demande envoyée garantit-elle une place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disponibilité doit-elle être vérifiée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niveaux sont concernés par les places demandées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Maternelle ou le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page indique-t-elle un nombre exact de places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 quota chiffré n’est publié sur cette page ; seule l’existence de la condition de disponibilité est affirmée.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place ne peut être confirmée que si elle est disponible.</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 DOCUMENTATION ET PROTECTION DES DONNÉES</w:t>
      </w:r>
    </w:p>
    <w:p>
      <w:pPr>
        <w:pStyle w:val="Normal"/>
        <w:keepNext w:val="true"/>
        <w:spacing w:lineRule="auto" w:line="240" w:before="0" w:after="160"/>
        <w:rPr/>
      </w:pPr>
      <w:r>
        <w:rPr>
          <w:rFonts w:eastAsia="Aptos" w:ascii="Aptos" w:hAnsi="Aptos"/>
          <w:b w:val="false"/>
          <w:i/>
          <w:color w:val="5B6777"/>
          <w:sz w:val="19"/>
        </w:rPr>
        <w:t>Références publiques, confidentialité et accès autorisé</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35. Distinction entre préinscription et inscription définitive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CENTRAL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préinscription est une demande de contact qui exprime l’intérêt de la famille ; elle ne constitue pas encore l’admission définitive, laquelle dépend de l’étude du dossier et de la disponibilité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principe rassemble les avertissements répétés de la page et clarifie les statuts du parcours.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est essentiel pour la transparence, la gestion des attentes et la sécurité administrative.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Demande de contact ; Dossier ; Places ; Décision ; Confirmation ; FAQ.</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Distinction entre préinscription et inscription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est une demande de contact qui exprime l’intérêt de la famille ; elle ne constitue pas encore l’admission définitive, laquelle dépend de l’étude du dossier et de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représente la préinscription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demande de contact et l’expression de 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ne représente-t-elle pas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admission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De quoi dépend l’admission définitive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 l’étude du dossier et de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Qui reprend contact après la demande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agent du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informations sont vérifiées au début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niveau demandé et les coordonnées.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étape suit la préinscription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préparation du dossier et des prochaines étapes.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distinction doit être maintenue dans les courriels, messages WhatsApp, réponses d’ÉMINA et confirmations automatiques.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manifeste un intérêt ; l’admission définitive exige une étude et une place disponible.</w:t>
            </w:r>
          </w:p>
        </w:tc>
      </w:tr>
    </w:tbl>
    <w:p>
      <w:pPr>
        <w:pStyle w:val="Normal"/>
        <w:spacing w:lineRule="auto" w:line="240" w:before="0" w:after="40"/>
        <w:rPr/>
      </w:pPr>
      <w:r>
        <w:rPr/>
      </w:r>
    </w:p>
    <w:p>
      <w:pPr>
        <w:pStyle w:val="Heading1"/>
        <w:keepNext w:val="true"/>
        <w:spacing w:lineRule="auto" w:line="240" w:before="100" w:after="20"/>
        <w:rPr/>
      </w:pPr>
      <w:r>
        <w:rPr/>
        <w:t>36. Documentation associée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DOCUMENTAIRE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Documentation associée.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section relie le formulaire aux références institutionnelles qui expliquent le parcours et la protection des données.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permet aux familles de vérifier les règles applicables et améliore la traçabilité des informations publiques.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Politique de confidentialité ; Documentation publique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Documentation associée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Documentation associée.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de la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Documentation associée.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Combien de références sont affichées directement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Deux références.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première référence est liée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seconde référence est liée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Politique de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autre accès est proposé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le statut affiché des deux références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Publié.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documents liés doivent rester versionnés, actifs et synchronisés avec les informations du formulaire.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relie la préinscription aux documents Admissions et Confidentialité.</w:t>
            </w:r>
          </w:p>
        </w:tc>
      </w:tr>
    </w:tbl>
    <w:p>
      <w:pPr>
        <w:pStyle w:val="Normal"/>
        <w:spacing w:lineRule="auto" w:line="240" w:before="0" w:after="40"/>
        <w:rPr/>
      </w:pPr>
      <w:r>
        <w:rPr/>
      </w:r>
    </w:p>
    <w:p>
      <w:pPr>
        <w:pStyle w:val="Heading1"/>
        <w:keepNext w:val="true"/>
        <w:spacing w:lineRule="auto" w:line="240" w:before="100" w:after="20"/>
        <w:rPr/>
      </w:pPr>
      <w:r>
        <w:rPr/>
        <w:t>37. Référence Admissions — GSE-PUB-ADM-001</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DOCUMENTATION ASSOCIÉE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GSE-PUB-ADM-001 · Publié · FR/EN.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référence identifie la source publique officielle consacrée aux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fournit une base contrôlée pour les niveaux ouverts, les étapes, les pièces, les frais et la distinction entre préinscription et admission.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Admissions ; Documentation publique ; ÉMINA ; Version documentaire ; Service Admissions.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Préinscription et bibliothèque documentaire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Référence Admissions — GSE-PUB-ADM-001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Admissions — GSE-PUB-ADM-001 · Publié · 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de la référence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son code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GSE-PUB-ADM-001.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est son statut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Publié.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Dans quelles langues est-elle annoncée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version est indiquée dans la bibliothèque publique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Version 1.0.</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est son propriétaire indiqué dans la bibliothèque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montants, étapes et conditions doivent toujours être lus dans la version active la plus récente de cette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GSE-PUB-ADM-001 est la référence publique publiée des Admissions, disponible en français et en anglais.</w:t>
            </w:r>
          </w:p>
        </w:tc>
      </w:tr>
    </w:tbl>
    <w:p>
      <w:pPr>
        <w:pStyle w:val="Normal"/>
        <w:spacing w:lineRule="auto" w:line="240" w:before="0" w:after="40"/>
        <w:rPr/>
      </w:pPr>
      <w:r>
        <w:rPr/>
      </w:r>
    </w:p>
    <w:p>
      <w:pPr>
        <w:pStyle w:val="Heading1"/>
        <w:keepNext w:val="true"/>
        <w:spacing w:lineRule="auto" w:line="240" w:before="100" w:after="20"/>
        <w:rPr/>
      </w:pPr>
      <w:r>
        <w:rPr/>
        <w:t>38. Référence Confidentialité — GSE-PUB-PRI-001</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DOCUMENTATION ASSOCIÉE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 GSE-PUB-PRI-001 · Publié · FR/EN.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référence explique comment l’école protège les données collectées par le formulaire et les autres services.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soutient le consentement éclairé, la minimisation des données, l’accès limité et la séparation des espaces.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Données personnelles ; Formulaire ; DSI ; Direction ; ÉMINA ; Dossier privé.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Préinscription, Politique de confidentialité et bibliothèque documentaire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Référence Confidentialité — GSE-PUB-PRI-001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Politique de confidentialité — GSE-PUB-PRI-001 · Publié · 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de la référence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Politique de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son code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GSE-PUB-PRI-001.</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est son statut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Publié.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Dans quelles langues est-elle annoncée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FR/EN.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version est indiquée dans la bibliothèque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Version 1.0.</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propriétaires sont indiqués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DSI / Direction.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politique de confidentialité doit être consultée pour les finalités, la durée de conservation et les droits applicables aux 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GSE-PUB-PRI-001 est la référence publique publiée sur la confidentialité.</w:t>
            </w:r>
          </w:p>
        </w:tc>
      </w:tr>
    </w:tbl>
    <w:p>
      <w:pPr>
        <w:pStyle w:val="Normal"/>
        <w:spacing w:lineRule="auto" w:line="240" w:before="0" w:after="40"/>
        <w:rPr/>
      </w:pPr>
      <w:r>
        <w:rPr/>
      </w:r>
    </w:p>
    <w:p>
      <w:pPr>
        <w:pStyle w:val="Heading1"/>
        <w:keepNext w:val="true"/>
        <w:spacing w:lineRule="auto" w:line="240" w:before="100" w:after="20"/>
        <w:rPr/>
      </w:pPr>
      <w:r>
        <w:rPr/>
        <w:t>39. Bibliothèque de documentation publique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LIEN DOCUMENTAIRE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Consulter la bibliothèque de documentation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lien permet de retrouver les références institutionnelles approuvées avec leur code, statut, version, propriétaire et langue.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renforce la transparence et évite les doublons ou documents non validés dans les réponses publiques.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Documentation ; Admissions ; Confidentialité ; Assurance qualité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Consulter 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espace peut être consulté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bibliothèque de documentation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présente cette bibliothèque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références institutionnelles approuvées.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identifiant chaque ressource peut-elle porter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code.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état de publication est indiqué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statut.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information de cycle documentaire est indiquée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version.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responsabilité est identifiée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propriétaire de la ressource.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documents internes, dossiers parentaux et données sensibles ne sont pas accessibles depuis la bibliothèque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bibliothèque regroupe les références publiques approuvées et versionnées.</w:t>
            </w:r>
          </w:p>
        </w:tc>
      </w:tr>
    </w:tbl>
    <w:p>
      <w:pPr>
        <w:pStyle w:val="Normal"/>
        <w:spacing w:lineRule="auto" w:line="240" w:before="0" w:after="40"/>
        <w:rPr/>
      </w:pPr>
      <w:r>
        <w:rPr/>
      </w:r>
    </w:p>
    <w:p>
      <w:pPr>
        <w:pStyle w:val="Heading1"/>
        <w:keepNext w:val="true"/>
        <w:spacing w:lineRule="auto" w:line="240" w:before="100" w:after="20"/>
        <w:rPr/>
      </w:pPr>
      <w:r>
        <w:rPr/>
        <w:t>40. Collecte limitée aux informations nécessaires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https://test.gsleseminents.com/politique-de-confidentialite/</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CONNEXE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formulaires publics recueillent uniquement les données nécessaires, avec consentement, accès limité et durée de conservation encadrée.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principe précise la manière dont le formulaire de préinscription doit être conçu et exploité.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les familles contre une collecte excessive et fixe des garanties de traitement.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 Consentement ; Accès limité ; Durée de conservation ; DSI ; Direction.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Collecte limitée aux informations nécessaires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formulaires publics recueillent uniquement les données nécessaires, avec consentement, accès limité et durée de conservation encadrée.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recueillent les formulaires publics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Uniquement les données nécessaires.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condition d’accord est mentionnée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consentement.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Comment l’accès est-il décrit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Limité.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Comment la conservation est-elle encadrée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 une durée de conservation encadrée.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principe autorise-t-il une collecte illimitée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À quel formulaire ce principe s’applique-t-il notamment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formulaire public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de préinscription ne détaille pas la durée exacte de conservation ; cette durée doit être définie par la gouvernance de protection des 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formulaire public doit collecter seulement les données nécessaires avec consentement et accès limité.</w:t>
            </w:r>
          </w:p>
        </w:tc>
      </w:tr>
    </w:tbl>
    <w:p>
      <w:pPr>
        <w:pStyle w:val="Normal"/>
        <w:spacing w:lineRule="auto" w:line="240" w:before="0" w:after="40"/>
        <w:rPr/>
      </w:pPr>
      <w:r>
        <w:rPr/>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VI. ASSISTANCE ET LIENS AVEC LE PARCOURS ADMISSIONS</w:t>
      </w:r>
    </w:p>
    <w:p>
      <w:pPr>
        <w:pStyle w:val="Normal"/>
        <w:keepNext w:val="true"/>
        <w:spacing w:lineRule="auto" w:line="240" w:before="0" w:after="160"/>
        <w:rPr/>
      </w:pPr>
      <w:r>
        <w:rPr>
          <w:rFonts w:eastAsia="Aptos" w:ascii="Aptos" w:hAnsi="Aptos"/>
          <w:b w:val="false"/>
          <w:i/>
          <w:color w:val="5B6777"/>
          <w:sz w:val="19"/>
        </w:rPr>
        <w:t>ÉMINA, contact, dossier complet et synthèse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41. Protection et accès autorisé aux données personnelles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https://test.gsleseminents.com/politique-de-confidentialite/</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CONNEXE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données personnelles sont protégées et accessibles uniquement aux personnes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principe encadre l’accès aux informations saisies par les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réduit les risques de divulgation et garantit que le traitement reste limité aux rôles habilités.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Dossier privé ; Service Admissions ; DSI ; Direction ; Journalisation ; Moindre privilège.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Protection et accès autorisé aux données personnelles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données personnelles sont protégées et accessibles uniquement aux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Comment les données personnelles sont-elles traitées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Elles sont protégées.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peut y accéder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Uniquement les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public peut-il accéder aux demandes nominatives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 principe concerne-t-il la préinscription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car le formulaire recueille des données personnelles.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service a besoin d’un accès fonctionnel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service Admissions, selon ses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type d’accès est exclu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accès non autorisé.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liste exacte des personnes autorisées relève des règles internes d’habilitation et ne doit pas être élargie sans nécessité.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données de préinscription doivent être protégées et réservées aux personnes autorisées.</w:t>
            </w:r>
          </w:p>
        </w:tc>
      </w:tr>
    </w:tbl>
    <w:p>
      <w:pPr>
        <w:pStyle w:val="Normal"/>
        <w:spacing w:lineRule="auto" w:line="240" w:before="0" w:after="40"/>
        <w:rPr/>
      </w:pPr>
      <w:r>
        <w:rPr/>
      </w:r>
    </w:p>
    <w:p>
      <w:pPr>
        <w:pStyle w:val="Heading1"/>
        <w:keepNext w:val="true"/>
        <w:spacing w:lineRule="auto" w:line="240" w:before="100" w:after="20"/>
        <w:rPr/>
      </w:pPr>
      <w:r>
        <w:rPr/>
        <w:t>42. ÉMINA comme point d’orientation publique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ASSISTANCE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widget ÉMINA propose notamment le raccourci « Préinscription » et répond aux questions institutionnelles générales.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permet à la famille d’obtenir une orientation avant ou pendant la démarche.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améliore l’accès à l’information tout en maintenant le rôle décisionnel du personnel habilité.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Préinscription ; Admissions ; Programmes ; Contacts ; Assistance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ÉMINA comme point d’orientation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widget ÉMINA propose notamment le raccourci « Préinscription » et répond aux questions institutionnelles générales.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raccourci du widget est lié à cette démarche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le nom de l’assistante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Comment est-elle présentée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Comme Assistante institutionnelle.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type d’information fournit-elle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informations institutionnelles générales et publiques.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Peut-elle orienter vers les contacts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le widget propose aussi « Contacts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Peut-elle remplacer l’agent Admissions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ÉMINA n’accède pas publiquement aux dossiers nominatifs et ne prend aucune décision à la place du personnel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 peut guider vers la préinscription et les informations publiques.</w:t>
            </w:r>
          </w:p>
        </w:tc>
      </w:tr>
    </w:tbl>
    <w:p>
      <w:pPr>
        <w:pStyle w:val="Normal"/>
        <w:spacing w:lineRule="auto" w:line="240" w:before="0" w:after="40"/>
        <w:rPr/>
      </w:pPr>
      <w:r>
        <w:rPr/>
      </w:r>
    </w:p>
    <w:p>
      <w:pPr>
        <w:pStyle w:val="Heading1"/>
        <w:keepNext w:val="true"/>
        <w:spacing w:lineRule="auto" w:line="240" w:before="100" w:after="20"/>
        <w:rPr/>
      </w:pPr>
      <w:r>
        <w:rPr/>
        <w:t>43. Limites de l’assistance numérique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AVERTISSEMENT PUBLIC ÉMINA</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Ne transmettez pas de données médicales, financières, mots de passe ou informations sensibles. ÉMINA fournit des informations publiques et ne prend aucune décision à la place du personnel habilité.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avertissement protège les familles contre le partage de données inappropriées dans un espace public.</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préserve la confidentialité et maintient une séparation claire entre information, traitement administratif et décision.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Confidentialité ; Assistance humaine ; Service Admissions ; Dossier privé ; Consentement.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Limites de l’assistance numérique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Ne transmettez pas de données médicales, financières, mots de passe ou informations sensibles. ÉMINA fournit des informations publiques et ne prend aucune décision à la place du personnel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données médicales faut-il transmettre à ÉMINA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Aucune donnée médicale ne doit être transmise dans l’accès public.</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données financières faut-il transmettre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Aucune donnée financière ne doit être transmise.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mots de passe peuvent-ils être transmis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type d’informations ÉMINA fournit-elle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informations publiques.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ÉMINA prend-elle des décisions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Qui conserve le pouvoir de décision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personnel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sensibles doivent être transmises uniquement par les canaux sécurisés indiqués par le personnel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 informe sans recevoir de données sensibles ni prendre de décision.</w:t>
            </w:r>
          </w:p>
        </w:tc>
      </w:tr>
    </w:tbl>
    <w:p>
      <w:pPr>
        <w:pStyle w:val="Normal"/>
        <w:spacing w:lineRule="auto" w:line="240" w:before="0" w:after="40"/>
        <w:rPr/>
      </w:pPr>
      <w:r>
        <w:rPr/>
      </w:r>
    </w:p>
    <w:p>
      <w:pPr>
        <w:pStyle w:val="Heading1"/>
        <w:keepNext w:val="true"/>
        <w:spacing w:lineRule="auto" w:line="240" w:before="100" w:after="20"/>
        <w:rPr/>
      </w:pPr>
      <w:r>
        <w:rPr/>
        <w:t>44. Coordonnées institutionnelles de suivi</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COORDONNÉES PUBLIÉES</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affiche : Quartier Labotte, Commune d’Ibanda, Bukavu, Sud-Kivu, RDC ; +243 997 712 645 ; +243 817 792 448 ; +243 992 818 280 ; promotion@gsleseminents.com.</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Ces coordonnées permettent à la famille de vérifier l’identité du contact et d’obtenir une assistance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Elles renforcent la confiance, facilitent le suivi et offrent plusieurs canaux en cas de difficulté avec le formulaire.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Contact ; WhatsApp ; Visite ; Admissions ; Assistance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Coordonnées institutionnelles de suivi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affiche : Quartier Labotte, Commune d’Ibanda, Bukavu, Sud-Kivu, RDC ; +243 997 712 645 ; +243 817 792 448 ; +243 992 818 280 ; promotion@gsleseminents.com.</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Dans quel quartier l’école est-elle située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Quartier Labotte.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quelle commune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Commune d’Ibanda.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Dans quelle ville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Bukavu.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province est indiquée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Sud-Kivu.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est l’e-mail institutionnel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promotion@gsleseminents.com.</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Quels numéros sont affichés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+243 997 712 645, +243 817 792 448 et +243 992 818 280.</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familles doivent privilégier les coordonnées officielles affichées sur le site et se méfier de toute demande de paiement ou de données sensibles provenant d’un canal non vérifié.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site publie l’adresse de Labotte, trois numéros congolais et l’e-mail institutionnel.</w:t>
            </w:r>
          </w:p>
        </w:tc>
      </w:tr>
    </w:tbl>
    <w:p>
      <w:pPr>
        <w:pStyle w:val="Normal"/>
        <w:spacing w:lineRule="auto" w:line="240" w:before="0" w:after="40"/>
        <w:rPr/>
      </w:pPr>
      <w:r>
        <w:rPr/>
      </w:r>
    </w:p>
    <w:p>
      <w:pPr>
        <w:pStyle w:val="Heading1"/>
        <w:keepNext w:val="true"/>
        <w:spacing w:lineRule="auto" w:line="240" w:before="100" w:after="20"/>
        <w:rPr/>
      </w:pPr>
      <w:r>
        <w:rPr/>
        <w:t>45. Lien avec le parcours Admissions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https://test.gsleseminents.com/admissions/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LIEN FONCTIONNEL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parcours Admissions distingue la préinscription, qui manifeste l’intérêt de la famille, de l’inscription définitive, qui transmet les informations nécessaires à l’étude administrative du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replace le bouton « Préinscrire mon enfant » dans le parcours global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montre que la préinscription est une étape initiale et que d’autres démarches structurées suivent.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Conditions et étapes ; Préinscription ; Inscription définitive ; Questions fréquentes ; Frais.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Préinscription et Admissions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Lien avec le parcours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parcours Admissions distingue la préinscription, qui manifeste l’intérêt de la famille, de l’inscription définitive, qui transmet les informations nécessaires à l’étude administrative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manifeste la préinscription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L’intérêt de 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transmet l’inscription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nécessaires à l’étude administrative du dossier.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Ces deux démarches sont-elles identiques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elles sont distinctes.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service accompagne le parcours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À partir de quel moment l’accompagnement commence-t-il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Depuis la première demande d’information.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Jusqu’à quelle étape va-t-il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Jusqu’à la soumission du dossier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L’envoi d’un dossier complet ne vaut toujours pas décision d’admission ; la décision appartient aux personnes habilitées.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est la première démarche d’un parcours Admissions plus large.</w:t>
            </w:r>
          </w:p>
        </w:tc>
      </w:tr>
    </w:tbl>
    <w:p>
      <w:pPr>
        <w:pStyle w:val="Normal"/>
        <w:spacing w:lineRule="auto" w:line="240" w:before="0" w:after="40"/>
        <w:rPr/>
      </w:pPr>
      <w:r>
        <w:rPr/>
      </w:r>
    </w:p>
    <w:p>
      <w:pPr>
        <w:pStyle w:val="Heading1"/>
        <w:keepNext w:val="true"/>
        <w:spacing w:lineRule="auto" w:line="240" w:before="100" w:after="20"/>
        <w:rPr/>
      </w:pPr>
      <w:r>
        <w:rPr/>
        <w:t>46. Lien avec l’inscription définitive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https://test.gsleseminents.com/inscription-definitive/</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ÉTAPE SUIVANTE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Après la préinscription et l’orientation par Admissions, la famille peut être invitée à compléter le dossier structuré de l’enfant, des responsables, des informations déclarées, des autorisations et des engagements.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explique la continuité entre la demande initiale et le dossier administratif complet.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évite que la famille tente de transmettre prématurément des informations sensibles dans le simple formulaire de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Dossier complet ; Pièces ; Santé déclarée ; Autorisations ; Engagement financier ; Validation.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Préinscription et Inscription définitive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Lien avec l’inscription définitive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Après la préinscription et l’orientation par Admissions, la famille peut être invitée à compléter le dossier structuré de l’enfant, des responsables, des informations déclarées, des autorisations et des engagements.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démarche peut suivre la préinscription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complétion du dossier structuré.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oriente la famille vers cette étape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Admissions.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personnes sont documentées dans le dossier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L’enfant et ses responsables.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autres éléments sont intégrés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déclarées, les autorisations et les engagements.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formulaire de préinscription demande-t-il déjà toutes ces données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Pourquoi les étapes sont-elles séparées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Pour distinguer la prise de contact du dossier complet nécessaire à l’étude.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famille ne doit compléter le dossier détaillé que dans le canal officiel prévu et ne doit pas envoyer de pièces sensibles dans le champ libre de préinscription.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peut être suivie d’un dossier complet guidé par Admissions.</w:t>
            </w:r>
          </w:p>
        </w:tc>
      </w:tr>
    </w:tbl>
    <w:p>
      <w:pPr>
        <w:pStyle w:val="Normal"/>
        <w:spacing w:lineRule="auto" w:line="240" w:before="0" w:after="40"/>
        <w:rPr/>
      </w:pPr>
      <w:r>
        <w:rPr/>
      </w:r>
    </w:p>
    <w:p>
      <w:pPr>
        <w:pStyle w:val="Heading1"/>
        <w:keepNext w:val="true"/>
        <w:spacing w:lineRule="auto" w:line="240" w:before="100" w:after="20"/>
        <w:rPr/>
      </w:pPr>
      <w:r>
        <w:rPr/>
        <w:t>47. Résumé opérationnel du parcours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https://test.gsleseminents.com/preinscription/</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SYNTHÈSE FONCTIONNELLE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famille choisit Maternelle ou Primaire, fournit le nom du responsable, un téléphone, l’âge approximatif, éventuellement un courriel, une disponibilité de visite et une question ; elle autorise le contact, envoie la demande, puis un agent vérifie les informations et communique la suite. L’admission dépend du dossier et des places.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synthèse réunit les éléments publiés en une séquence facile à mémoriser.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peut servir à la FAQ, à l’accueil téléphonique, à la formation du personnel et à la base de connaissances d’ÉMINA.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Formulaire ; Après l’envoi ; Dossier ; Places ; Contact ; Documentation.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Site test contrôlé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Résumé opérationnel du parcours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 choisit Maternelle ou Primaire, fournit le nom du responsable, un téléphone, l’âge approximatif, éventuellement un courriel, une disponibilité de visite et une question ; elle autorise le contact, envoie la demande, puis un agent vérifie les informations et communique la suite. L’admission dépend du dossier et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cycles la famille peut-elle choisir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Maternelle ou Primaire.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coordonnées essentielles fournit-elle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nom du responsable et un téléphone.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donnée sur l’enfant est demandée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Son âge approximatif.</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 autorisation est donnée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L’autorisation pour que l’école contacte la famille au sujet de la demande.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 fait un agent après l’envoi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Il vérifie le niveau et les coordonnées puis communique la suite.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De quoi dépend l’admission définitive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 l’étude du dossier et de la disponibilité des places.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Cette synthèse ne remplace pas les documents Admissions et Confidentialité officiels.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préinscription déclenche un suivi humain, mais l’admission dépend du dossier et des places.</w:t>
            </w:r>
          </w:p>
        </w:tc>
      </w:tr>
    </w:tbl>
    <w:p>
      <w:pPr>
        <w:pStyle w:val="Normal"/>
        <w:spacing w:lineRule="auto" w:line="240" w:before="0" w:after="40"/>
        <w:rPr/>
      </w:pPr>
      <w:r>
        <w:rPr/>
      </w:r>
    </w:p>
    <w:p>
      <w:pPr>
        <w:pStyle w:val="Normal"/>
        <w:keepNext w:val="true"/>
        <w:spacing w:lineRule="auto" w:line="240" w:before="200" w:after="40"/>
        <w:rPr/>
      </w:pPr>
      <w:r>
        <w:rPr>
          <w:rFonts w:eastAsia="Aptos" w:ascii="Aptos" w:hAnsi="Aptos"/>
          <w:b/>
          <w:i w:val="false"/>
          <w:color w:val="0B3D91"/>
          <w:sz w:val="28"/>
        </w:rPr>
        <w:t>VII. GLOSSAIRE DES MOTS CLÉS, SIGLES, ABRÉVIATIONS ET TERMES DIFFICILES</w:t>
      </w:r>
    </w:p>
    <w:p>
      <w:pPr>
        <w:pStyle w:val="Normal"/>
        <w:spacing w:lineRule="auto" w:line="240" w:before="0" w:after="140"/>
        <w:rPr/>
      </w:pPr>
      <w:r>
        <w:rPr>
          <w:rFonts w:eastAsia="Aptos" w:ascii="Aptos" w:hAnsi="Aptos"/>
          <w:b w:val="false"/>
          <w:i/>
          <w:color w:val="5B6777"/>
          <w:sz w:val="19"/>
        </w:rPr>
        <w:t>Définitions destinées aux familles, au personnel, à ÉMINA et aux supports de formation.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Heading1"/>
        <w:keepNext w:val="true"/>
        <w:spacing w:lineRule="auto" w:line="240" w:before="140" w:after="80"/>
        <w:rPr/>
      </w:pPr>
      <w:r>
        <w:rPr/>
        <w:t>Glossaire alphabétique</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3494"/>
        <w:gridCol w:w="3495"/>
        <w:gridCol w:w="3494"/>
      </w:tblGrid>
      <w:tr>
        <w:trPr>
          <w:tblHeader w:val="true"/>
        </w:trPr>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TERME / SIGLE</w:t>
            </w:r>
          </w:p>
        </w:tc>
        <w:tc>
          <w:tcPr>
            <w:tcW w:w="3495"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CATÉGORIE</w:t>
            </w:r>
          </w:p>
        </w:tc>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DÉFINITION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Accueil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Page principale d’un site, utilisée comme point de départ de la navigation.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Accusé de réception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Message confirmant que la demande a bien été reçue par le système ou le service.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Accès direct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Lien ou bouton visible qui conduit immédiatement vers une page ou une action sans passer par un sous-menu.</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Admission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Décision autorisant officiellement l’entrée d’un enfant dans l’établissement, sous réserve des formalités prévues.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Admission définitive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Statut confirmé après étude du dossier, vérification des conditions et disponibilité d’une place.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Agent Admissions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Fonction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Membre habilité du service Admissions chargé de vérifier, informer, orienter et suivre les familles.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Appel à l’action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Bouton ou texte invitant clairement l’utilisateur à réaliser une action précise.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Astrérisque (*)</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Symbole de 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Signe indiquant généralement qu’un champ doit être renseigné avant l’envoi.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Autorisation de contact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Consentement</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Accord donné à l’école pour utiliser les coordonnées afin de répondre à la demande concernée.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Bannière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Interface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Zone visible en haut d’une page affichant une information importante, par exemple l’ouverture des inscriptions.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Bibliothèque documentaire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qui regroupe les documents publics approuvés et leurs métadonnées.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Bouton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Interface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Élément cliquable qui déclenche une action, comme l’envoi d’un formulaire.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Canal officiel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Moyen de contact ou de transmission reconnu et autorisé par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Champ</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Zone dans laquelle l’utilisateur saisit ou sélectionne une information.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Champ facultatif</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qui peut être laissé vide sans empêcher l’envoi, selon la configuration affichée.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Champ libre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Zone de texte permettant d’ajouter une question ou une précision non prévue par les choix fermés.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Champ obligatoire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qui doit être renseigné pour permettre l’envoi ou le traitement de la demande.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Code documentaire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Identifiant unique attribué à une ressource institutionnelle pour la retrouver et la versionner.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Consentement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Manifestation claire de l’accord d’une personne pour un traitement ou un contact défini.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Coordonnées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Données de contact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Informations permettant de joindre une personne, notamment téléphone et courriel.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Courriel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Adresse électronique utilisée pour envoyer et recevoir des messages écrits.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Cycle scolaire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cohérent de niveaux d’enseignement, par exemple Maternelle ou Primaire.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Demande de contact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Transmission initiale permettant à l’école de reprendre contact sans constituer une admission.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Demande de préinscription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Formulaire par lequel une famille manifeste son intérêt pour une place et demande un accompagnement.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nécessaire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directement utile à la finalité déclarée du traitement.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Donnée personnelle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se rapportant à une personne identifiée ou identifiable.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sensible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nécessitant une protection renforcée, notamment médicale, financière ou liée aux mots de passe.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Dossier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structuré d’informations et de pièces utilisé pour étudier une demande.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Dossier complet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Dossier contenant les informations et pièces exigées pour permettre son étude administrative.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Dossier nominatif</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Dossier rattaché à l’identité d’une personne ou d’un 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Dossier privé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Dossier non public dont l’accès est limité aux personnes habilitées.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Durée de conservation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Période pendant laquelle une donnée est conservée avant archivage ou suppression selon les règles établies.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Démarche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Suite d’actions engagées pour atteindre un objectif administratif ou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Enregistrement sécurisé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Conservation d’une demande dans un environnement protégé contre les accès non autorisés.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FAQ</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Foire aux questions : page regroupant des réponses aux questions fréquemment posées.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Fil d’Ariane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Chemin affiché dans une page pour indiquer sa position dans le site et permettre de revenir aux niveaux précédents.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Finalité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But précis pour lequel des informations sont collectées et utilisées.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Formulaire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Interface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 champs permettant de transmettre des informations structurées.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Formulaire public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Formulaire accessible sans connexion, qui doit collecter uniquement les informations nécessaires.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Abréviation linguistique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Français.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FR/EN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Abréviation linguistique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Français / English : contenu annoncé dans les deux langues.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Sigle institutionnel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GROUPE SCOLAIRE LES ÉMINENTS.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GSE-PUB-ADM-001</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Code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Référence publique de la documentation Admissions 2026-2027.</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GSE-PUB-PRI-001</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Code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Référence publique de la politique de confidentialité.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Habilitation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Autorisation attribuée à une personne selon son rôle pour accéder à une information ou effectuer une action.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Honeypot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 informatique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Champ anti-spam destiné à rester vide pour repérer certains envois automatisés ; le terme n’est pas affiché sur la page mais décrit le mécanisme probable du champ « Ne pas remplir ».</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Information publique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validée pouvant être communiquée sans accéder à un dossier personnel.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Inscription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des formalités administratives qui enregistrent officiellement un élève dans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Inscription définitive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Étape de constitution ou de confirmation du dossier complet après la demande initiale.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Intérêt de la famille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Volonté exprimée par la famille d’obtenir des informations ou une place, sans constituer encore une admission.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Kikongo ya Leta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dans le sélecteur du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Kiswahili</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dans le sélecteur du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Langue de l’interface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Accessibilité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Langue dans laquelle les menus, champs et messages du site sont présentés.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Lingala</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dans le sélecteur du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Liste d’attente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Statut indiquant qu’une demande est recevable mais qu’aucune place ne peut encore être confirmée.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Maternelle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Cycle préscolaire comprenant ici trois niveaux.</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Minimisation des données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Principe consistant à ne collecter que les informations nécessaires à la finalité annoncée.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Mot de passe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Secret d’authentification qui ne doit jamais être transmis dans un formulaire public ou à ÉMINA.</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Niveau demandé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Cycle scolaire choisi par la famille pour la demande de place.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Niveaux ouverts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Classes ou cycles pour lesquels l’école accepte des demandes durant une année déterminée.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Personne autorisée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dont le rôle permet légalement et fonctionnellement l’accès à certaines données.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Personne habilitée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ayant reçu une autorisation institutionnelle pour prendre une décision ou traiter un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Place disponible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Capacité réelle d’accueil permettant de confirmer une admission dans un niveau donné.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Planifier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Organisation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Fixer ou organiser une action à venir, par exemple une visite ou une étape du dossier.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Primaire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Niveau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Cycle d’enseignement fondamental dont les niveaux ouverts annoncés vont de la 1re à la 4e primaire.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Propriétaire documentaire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Service ou autorité responsable du contenu, de la validation et de la mise à jour d’un document.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Préinscription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Démarche initiale par laquelle une famille manifeste son intérêt et demande à être contactée.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Publié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Statut documentaire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Statut indiquant qu’un document est validé pour diffusion publique.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Question ou précision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Formulaire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Champ permettant à la famille d’ajouter une information complémentaire utile au suivi.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Raccourci</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Interface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Lien court permettant d’accéder rapidement à une fonction ou une page.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RDC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géographique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République démocratique du Congo.</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Responsable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Adulte qui initie la demande et échange avec l’école au sujet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Responsable légal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Droit et scolarité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investie d’une autorité reconnue pour représenter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Service Admissions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Service institutionnel</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Unité chargée d’informer, recevoir, vérifier et suivre les demandes d’admission.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Sous-menu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Liste d’entrées rattachées à un menu principal ; aucun sous-menu n’est visible sous l’accès direct « Préinscrire mon enfant ».</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Statut documentaire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État d’un document, par exemple publié, en révision ou archivé.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Texte alternatif</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Accessibilité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Description textuelle d’une image destinée notamment aux lecteurs d’écran.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Traitement des données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Toute opération réalisée sur des informations : collecte, consultation, utilisation, conservation ou suppression.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Traçabilité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Qualité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Capacité à retrouver l’historique d’une demande, d’une action ou d’une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Tshiluba</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dans le sélecteur du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Téléphone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Numéro utilisé pour joindre la famille et organiser le suivi.</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Validation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Processus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Contrôle confirmant qu’une information ou une étape respecte les exigences prévues.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Version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 documentaire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Numéro permettant d’identifier l’état précis d’un document à une date donnée.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Visite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Rencontre organisée permettant à la famille de découvrir l’école et d’échanger avec l’équipe.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WhatsApp</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de messagerie pouvant servir de canal de contact lorsque l’école le propose officiellement.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Âge approximatif</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Donnée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Estimation de l’âge de l’enfant utilisée pour une première orientation, sans remplacer la date de naissance officielle.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ÉMINA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Assistante institutionnelle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Assistante institutionnelle du GROUPE SCOLAIRE LES ÉMINENTS, chargée de guider avec des informations publiques sans prendre de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Étude du dossier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Admissions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Examen des informations et pièces afin de déterminer la suite à donner à la demande.</w:t>
            </w:r>
          </w:p>
        </w:tc>
      </w:tr>
    </w:tbl>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VIII. OBSERVATIONS DE COHÉRENCE ET RECOMMANDATIONS</w:t>
      </w:r>
    </w:p>
    <w:p>
      <w:pPr>
        <w:pStyle w:val="Normal"/>
        <w:spacing w:lineRule="auto" w:line="240" w:before="0" w:after="140"/>
        <w:rPr/>
      </w:pPr>
      <w:r>
        <w:rPr>
          <w:rFonts w:eastAsia="Aptos" w:ascii="Aptos" w:hAnsi="Aptos"/>
          <w:b w:val="false"/>
          <w:i/>
          <w:color w:val="5B6777"/>
          <w:sz w:val="19"/>
        </w:rPr>
        <w:t>Les points suivants sont des recommandations d’amélioration et ne remplacent pas le contenu publié.</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1747"/>
        <w:gridCol w:w="1748"/>
        <w:gridCol w:w="3494"/>
      </w:tblGrid>
      <w:tr>
        <w:trPr/>
        <w:tc>
          <w:tcPr>
            <w:tcW w:w="3494" w:type="dxa"/>
            <w:tcBorders/>
            <w:shd w:fill="0B3D91" w:val="clear"/>
          </w:tcPr>
          <w:p>
            <w:pPr>
              <w:pStyle w:val="Normal"/>
              <w:spacing w:before="0" w:after="80"/>
              <w:rPr/>
            </w:pPr>
            <w:r>
              <w:rPr/>
            </w:r>
          </w:p>
        </w:tc>
        <w:tc>
          <w:tcPr>
            <w:tcW w:w="3495" w:type="dxa"/>
            <w:gridSpan w:val="2"/>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r>
        <w:trPr/>
        <w:tc>
          <w:tcPr>
            <w:tcW w:w="5241" w:type="dxa"/>
            <w:gridSpan w:val="2"/>
            <w:tcBorders>
              <w:top w:val="single" w:sz="4" w:space="0" w:color="D9DEE5"/>
              <w:start w:val="single" w:sz="4" w:space="0" w:color="D9DEE5"/>
              <w:bottom w:val="single" w:sz="4" w:space="0" w:color="D9DEE5"/>
              <w:end w:val="single" w:sz="4" w:space="0" w:color="D9DEE5"/>
            </w:tcBorders>
            <w:shd w:fill="0B3D91" w:val="clear"/>
            <w:tcMar>
              <w:top w:w="55" w:type="dxa"/>
              <w:start w:w="90" w:type="dxa"/>
              <w:bottom w:w="55" w:type="dxa"/>
              <w:end w:w="90" w:type="dxa"/>
            </w:tcMar>
            <w:vAlign w:val="center"/>
          </w:tcPr>
          <w:p>
            <w:pPr>
              <w:pStyle w:val="Normal"/>
              <w:spacing w:lineRule="auto" w:line="240" w:before="0" w:after="0"/>
              <w:jc w:val="center"/>
              <w:rPr/>
            </w:pPr>
            <w:r>
              <w:rPr>
                <w:rFonts w:eastAsia="Aptos" w:ascii="Aptos" w:hAnsi="Aptos"/>
                <w:b/>
                <w:i w:val="false"/>
                <w:color w:val="FFFFFF"/>
                <w:sz w:val="17"/>
              </w:rPr>
              <w:t>POINT À TRAITER</w:t>
            </w:r>
          </w:p>
        </w:tc>
        <w:tc>
          <w:tcPr>
            <w:tcW w:w="5242" w:type="dxa"/>
            <w:gridSpan w:val="2"/>
            <w:tcBorders>
              <w:top w:val="single" w:sz="4" w:space="0" w:color="D9DEE5"/>
              <w:start w:val="single" w:sz="4" w:space="0" w:color="D9DEE5"/>
              <w:bottom w:val="single" w:sz="4" w:space="0" w:color="D9DEE5"/>
              <w:end w:val="single" w:sz="4" w:space="0" w:color="D9DEE5"/>
            </w:tcBorders>
            <w:shd w:fill="0B3D91" w:val="clear"/>
            <w:tcMar>
              <w:top w:w="55" w:type="dxa"/>
              <w:start w:w="90" w:type="dxa"/>
              <w:bottom w:w="55" w:type="dxa"/>
              <w:end w:w="90" w:type="dxa"/>
            </w:tcMar>
            <w:vAlign w:val="center"/>
          </w:tcPr>
          <w:p>
            <w:pPr>
              <w:pStyle w:val="Normal"/>
              <w:spacing w:lineRule="auto" w:line="240" w:before="0" w:after="0"/>
              <w:jc w:val="center"/>
              <w:rPr/>
            </w:pPr>
            <w:r>
              <w:rPr>
                <w:rFonts w:eastAsia="Aptos" w:ascii="Aptos" w:hAnsi="Aptos"/>
                <w:b/>
                <w:i w:val="false"/>
                <w:color w:val="FFFFFF"/>
                <w:sz w:val="17"/>
              </w:rPr>
              <w:t>RECOMMANDATION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Clarifier la nature de l’accès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Conserver « Préinscrire mon enfant » comme appel à l’action direct et éviter de le présenter comme un menu à sous-menus si aucune arborescence enfant n’est prévue.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Afficher une confirmation de réception</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Après l’envoi, présenter un message clair, un numéro de référence et les canaux officiels pour le suivi.</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Préciser le délai indicatif de rappel</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Indiquer un délai de traitement réaliste lorsque le service Admissions l’aura formellement validé.</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Rendre le champ anti-spam invisible et accessible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Le champ « Ne pas remplir » doit être masqué visuellement aux familles, ignoré par les lecteurs d’écran si approprié et correctement documenté techniquement.</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Renforcer le consentement</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Ajouter un lien immédiat vers la politique de confidentialité et indiquer la finalité du contact, la durée de conservation et la possibilité de demander une correction.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Proposer le niveau précis après le cycle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Après Maternelle ou Primaire, prévoir si nécessaire un choix conditionnel du niveau exact, en cohérence avec l’âge et les niveaux ouverts.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Éviter les données sensibles dans le champ libre</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Afficher sous « Question ou précision » un rappel de ne pas envoyer de données médicales, financières, mots de passe ou pièces justificatives.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Assurer la continuité multilingue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Vérifier que les six langues proposent des libellés, consentements et avertissements équivalents, sans traduction partielle.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Synchroniser les documents associés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Maintenir GSE-PUB-ADM-001 et GSE-PUB-PRI-001 dans leur version active et synchroniser leurs informations avec ÉMINA et le formulaire.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Prévoir les états de suivi</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Dans l’Espace Parents ou le canal sécurisé, distinguer : demande reçue, vérification en cours, contact effectué, visite planifiée, dossier à compléter, dossier en étude et décision.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Mesurer la qualité du parcours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Suivre le taux d’abandon, les erreurs de champs, le délai de rappel et les questions fréquentes afin d’améliorer le formulaire.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Contrôler la cohérence des coordonnées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Afficher les mêmes coordonnées officielles dans la bannière, le formulaire, le pied de page, les messages automatiques et les documents.</w:t>
            </w:r>
          </w:p>
        </w:tc>
      </w:tr>
    </w:tbl>
    <w:p>
      <w:pPr>
        <w:pStyle w:val="Heading1"/>
        <w:keepNext w:val="true"/>
        <w:spacing w:lineRule="auto" w:line="240" w:before="160" w:after="80"/>
        <w:rPr/>
      </w:pPr>
      <w:r>
        <w:rPr/>
        <w:t>Conclusion</w:t>
      </w:r>
    </w:p>
    <w:p>
      <w:pPr>
        <w:pStyle w:val="Normal"/>
        <w:spacing w:lineRule="auto" w:line="259" w:before="0" w:after="100"/>
        <w:rPr/>
      </w:pPr>
      <w:r>
        <w:rPr>
          <w:rFonts w:eastAsia="Aptos" w:ascii="Aptos" w:hAnsi="Aptos"/>
          <w:b w:val="false"/>
          <w:i w:val="false"/>
          <w:color w:val="1F2D3D"/>
          <w:sz w:val="20"/>
        </w:rPr>
        <w:t>L’accès « Préinscrire mon enfant » conduit à une page simple mais structurée : manifestation d’intérêt, collecte minimale, consentement, envoi, vérification humaine, information sur la visite et le dossier, puis rappel des conditions de l’admission. La présente banque rassemble 470 questions-réponses fondées sur ces contenus, accompagnées de 88 définitions. Elle peut alimenter la FAQ, les scripts d’accueil, la formation du personnel, le contrôle qualité et la base de connaissances d’ÉMINA.</w:t>
      </w:r>
    </w:p>
    <w:p>
      <w:pPr>
        <w:pStyle w:val="Normal"/>
        <w:spacing w:lineRule="auto" w:line="240" w:before="320" w:after="0"/>
        <w:jc w:val="center"/>
        <w:rPr/>
      </w:pPr>
      <w:r>
        <w:rPr>
          <w:rFonts w:eastAsia="Aptos" w:ascii="Aptos" w:hAnsi="Aptos"/>
          <w:b/>
          <w:i w:val="false"/>
          <w:color w:val="D4AF37"/>
          <w:sz w:val="24"/>
        </w:rPr>
        <w:t>FIN DU DOCUMENT</w:t>
      </w:r>
    </w:p>
    <w:p>
      <w:pPr>
        <w:pStyle w:val="Normal"/>
        <w:rPr/>
      </w:pPr>
      <w:r>
        <w:rPr/>
      </w:r>
      <w:r>
        <w:br w:type="page"/>
      </w:r>
    </w:p>
    <w:p>
      <w:pPr>
        <w:pStyle w:val="Normal"/>
        <w:rPr/>
      </w:pPr>
      <w:r>
        <w:rPr/>
      </w:r>
    </w:p>
    <w:p>
      <w:pPr>
        <w:pStyle w:val="Normal"/>
        <w:spacing w:lineRule="auto" w:line="240" w:before="40" w:after="100"/>
        <w:jc w:val="center"/>
        <w:rPr/>
      </w:pPr>
      <w:r>
        <w:rPr/>
        <w:drawing>
          <wp:inline distT="0" distB="0" distL="0" distR="0">
            <wp:extent cx="1188085" cy="1235710"/>
            <wp:effectExtent l="0" t="0" r="0" b="0"/>
            <wp:docPr id="20" name="Image14" descr="Logo officiel du GROUPE SCOLAIRE LES ÉMINENTS" title="Logo du GROUPE SCOLAIRE LES ÉM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Logo officiel du GROUPE SCOLAIRE LES ÉMINENTS" title="Logo du GROUPE SCOLAIRE LES ÉMINENTS"/>
                    <pic:cNvPicPr>
                      <a:picLocks noChangeAspect="1" noChangeArrowheads="1"/>
                    </pic:cNvPicPr>
                  </pic:nvPicPr>
                  <pic:blipFill>
                    <a:blip r:embed="rId48"/>
                    <a:stretch>
                      <a:fillRect/>
                    </a:stretch>
                  </pic:blipFill>
                  <pic:spPr bwMode="auto">
                    <a:xfrm>
                      <a:off x="0" y="0"/>
                      <a:ext cx="1188085" cy="1235710"/>
                    </a:xfrm>
                    <a:prstGeom prst="rect">
                      <a:avLst/>
                    </a:prstGeom>
                    <a:noFill/>
                  </pic:spPr>
                </pic:pic>
              </a:graphicData>
            </a:graphic>
          </wp:inline>
        </w:drawing>
      </w:r>
    </w:p>
    <w:p>
      <w:pPr>
        <w:pStyle w:val="Normal"/>
        <w:spacing w:lineRule="auto" w:line="240" w:before="80" w:after="120"/>
        <w:jc w:val="center"/>
        <w:rPr/>
      </w:pPr>
      <w:r>
        <w:rPr>
          <w:rFonts w:eastAsia="Georgia" w:ascii="Georgia" w:hAnsi="Georgia"/>
          <w:b/>
          <w:i w:val="false"/>
          <w:color w:val="0B3D91"/>
          <w:sz w:val="52"/>
        </w:rPr>
        <w:t>GROUPE SCOLAIRE</w:t>
        <w:br/>
        <w:t>LES ÉMINENTS</w:t>
      </w:r>
    </w:p>
    <w:p>
      <w:pPr>
        <w:pStyle w:val="Normal"/>
        <w:pBdr>
          <w:bottom w:val="single" w:sz="14" w:space="5" w:color="D4AF37"/>
        </w:pBdr>
        <w:spacing w:lineRule="auto" w:line="240" w:before="100" w:after="60"/>
        <w:jc w:val="center"/>
        <w:rPr/>
      </w:pPr>
      <w:r>
        <w:rPr>
          <w:rFonts w:eastAsia="Georgia" w:ascii="Georgia" w:hAnsi="Georgia"/>
          <w:b/>
          <w:i w:val="false"/>
          <w:color w:val="0B3D91"/>
          <w:sz w:val="44"/>
        </w:rPr>
        <w:t>RELEVÉ COMPLET ET BANQUE EXHAUSTIVE</w:t>
        <w:br/>
        <w:t>« ESPACE PARENTS »</w:t>
      </w:r>
    </w:p>
    <w:p>
      <w:pPr>
        <w:pStyle w:val="Normal"/>
        <w:spacing w:lineRule="auto" w:line="240" w:before="100" w:after="100"/>
        <w:jc w:val="center"/>
        <w:rPr/>
      </w:pPr>
      <w:r>
        <w:rPr>
          <w:rFonts w:eastAsia="Aptos" w:ascii="Aptos" w:hAnsi="Aptos"/>
          <w:b/>
          <w:i w:val="false"/>
          <w:color w:val="D4AF37"/>
          <w:sz w:val="26"/>
        </w:rPr>
        <w:t>Portail familial • Scolarité • Finances • Santé • Communication • Sortie sécurisée • Confidentialité</w:t>
      </w:r>
    </w:p>
    <w:p>
      <w:pPr>
        <w:pStyle w:val="Normal"/>
        <w:spacing w:lineRule="auto" w:line="240" w:before="0" w:after="160"/>
        <w:jc w:val="center"/>
        <w:rPr/>
      </w:pPr>
      <w:r>
        <w:rPr>
          <w:rFonts w:eastAsia="Aptos" w:ascii="Aptos" w:hAnsi="Aptos"/>
          <w:b w:val="false"/>
          <w:i/>
          <w:color w:val="5B6777"/>
          <w:sz w:val="22"/>
        </w:rPr>
        <w:t>Questions-réponses de référence • raison et importance des titres • liens entre sections • glossaire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240" w:after="60"/>
        <w:jc w:val="center"/>
        <w:rPr/>
      </w:pPr>
      <w:r>
        <w:rPr>
          <w:rFonts w:eastAsia="Aptos" w:ascii="Aptos" w:hAnsi="Aptos"/>
          <w:b/>
          <w:i w:val="false"/>
          <w:color w:val="0B3D91"/>
          <w:sz w:val="24"/>
        </w:rPr>
        <w:t>Document institutionnel de travail — 2 juillet 2026</w:t>
      </w:r>
    </w:p>
    <w:p>
      <w:pPr>
        <w:pStyle w:val="Normal"/>
        <w:spacing w:lineRule="auto" w:line="240" w:before="0" w:after="200"/>
        <w:jc w:val="center"/>
        <w:rPr/>
      </w:pPr>
      <w:r>
        <w:rPr>
          <w:rFonts w:eastAsia="Aptos" w:ascii="Aptos" w:hAnsi="Aptos"/>
          <w:b w:val="false"/>
          <w:i w:val="false"/>
          <w:color w:val="5B6777"/>
          <w:sz w:val="21"/>
        </w:rPr>
        <w:t>Page auditée : https://test.gsleseminents.com/espace-parents/</w:t>
      </w:r>
    </w:p>
    <w:p>
      <w:pPr>
        <w:pStyle w:val="Normal"/>
        <w:spacing w:lineRule="auto" w:line="240" w:before="120" w:after="0"/>
        <w:jc w:val="center"/>
        <w:rPr/>
      </w:pPr>
      <w:r>
        <w:rPr>
          <w:rFonts w:eastAsia="Aptos" w:ascii="Aptos" w:hAnsi="Aptos"/>
          <w:b/>
          <w:i w:val="false"/>
          <w:color w:val="D4AF37"/>
          <w:sz w:val="25"/>
        </w:rPr>
        <w:t>FOI • EXCELLENCE • INTÉGRITÉ • LEADERSHIP</w:t>
      </w:r>
    </w:p>
    <w:p>
      <w:pPr>
        <w:pStyle w:val="Normal"/>
        <w:rPr/>
      </w:pPr>
      <w:r>
        <w:rPr/>
      </w:r>
      <w:r>
        <w:br w:type="page"/>
      </w:r>
    </w:p>
    <w:p>
      <w:pPr>
        <w:pStyle w:val="Heading1"/>
        <w:keepNext w:val="true"/>
        <w:spacing w:lineRule="auto" w:line="240" w:before="0" w:after="100"/>
        <w:rPr/>
      </w:pPr>
      <w:r>
        <w:rPr/>
        <w:t>1. Objet, périmètre et méthode</w:t>
      </w:r>
    </w:p>
    <w:p>
      <w:pPr>
        <w:pStyle w:val="Normal"/>
        <w:spacing w:lineRule="auto" w:line="259" w:before="0" w:after="100"/>
        <w:rPr/>
      </w:pPr>
      <w:r>
        <w:rPr>
          <w:rFonts w:eastAsia="Aptos" w:ascii="Aptos" w:hAnsi="Aptos"/>
          <w:b w:val="false"/>
          <w:i w:val="false"/>
          <w:color w:val="1F2D3D"/>
          <w:sz w:val="20"/>
        </w:rPr>
        <w:t>Ce document relève tous les points publiés sous l’accès « Espace Parents » du site test du GROUPE SCOLAIRE LES ÉMINENTS. Il couvre la structure de navigation, le message introductif, le partenariat avec les familles, les fonctions de scolarité, de finances, de santé et communication, la sortie sécurisée, le statut de déploiement, l’accès familial sécurisé et les principes connexes de confidentialité, d’assistance par ÉMINA et de contact humain. Pour chaque titre ou section, dix questions-réponses restent fidèles au texte publié. Les analyses de raison, d’importance et de liens sont séparées du texte-source.</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Source principale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publique /espace-parents/ contrôlée le 2 juillet 2026, avec vérification des pages /politique-de-confidentialite/, /emina-assistante-institutionnelle/ et /contact/ pour les liens explicitement associés.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Nature de l’entrée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 Espace Parents » est un accès direct visible dans l’en-tête. Aucun sous-menu enfant n’est actuellement visible.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Règle de fidélité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réponses reprennent ou paraphrasent strictement les titres, textes et limites publiés. Aucune fonction non annoncée, aucune date de lancement et aucun détail technique non publié ne sont présentés comme acquis.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Éléments inclus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Accès, fil d’Ariane, langues, partenariat, Portail Parents, scolarité, finances, santé, sortie sécurisée, serveur central, activation, canaux officiels, accès familial sécurisé, isolement, confidentialité, ÉMINA et assistance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Observation centrale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Parents complet est annoncé comme futur et relié au serveur central GSE. Jusqu’à son activation publique, les familles utilisent les canaux officiels communiqués par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Principe de sécurité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Chaque compte est rattaché aux enfants autorisés ; les informations restent isolées entre familles et les messages externes ne doivent pas exposer de données sensibles.</w:t>
            </w:r>
          </w:p>
        </w:tc>
      </w:tr>
    </w:tbl>
    <w:p>
      <w:pPr>
        <w:pStyle w:val="Heading1"/>
        <w:keepNext w:val="true"/>
        <w:spacing w:lineRule="auto" w:line="240" w:before="160" w:after="80"/>
        <w:rPr/>
      </w:pPr>
      <w:r>
        <w:rPr/>
        <w:t>2. Légende des statuts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STRUCTURE DE NAVIGATION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Intitulé ou repère visible dans l’interface publique.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PAGE / SECTION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Titre et texte présents dans le corps de la page Espace Parents.</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BLOC FONCTIONNEL PUBLIÉ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Ensemble de fonctions annoncé pour la scolarité, les finances, la santé ou la sécurité.</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ARCHITECTURE / STATUT ANNONCÉ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Information publiée sur le serveur central, l’activation ou la phase transitoire.</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GARANTIE DE SÉCURITÉ PUBLIÉE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Principe de rattachement, d’isolement ou de non-exposition des données.</w:t>
            </w:r>
          </w:p>
        </w:tc>
      </w:tr>
      <w:tr>
        <w:trPr/>
        <w:tc>
          <w:tcPr>
            <w:tcW w:w="5241"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rPr/>
            </w:pPr>
            <w:r>
              <w:rPr>
                <w:rFonts w:eastAsia="Aptos" w:ascii="Aptos" w:hAnsi="Aptos"/>
                <w:b/>
                <w:i w:val="false"/>
                <w:color w:val="FFFFFF"/>
                <w:sz w:val="16"/>
              </w:rPr>
              <w:t>PRINCIPE CONNEXE PUBLIÉ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6"/>
              </w:rPr>
              <w:t>Règle issue d’une page officiellement liée et utile à la compréhension du portail familial.</w:t>
            </w:r>
          </w:p>
        </w:tc>
      </w:tr>
    </w:tbl>
    <w:p>
      <w:pPr>
        <w:pStyle w:val="Heading1"/>
        <w:keepNext w:val="true"/>
        <w:spacing w:lineRule="auto" w:line="240" w:before="160" w:after="80"/>
        <w:rPr/>
      </w:pPr>
      <w:r>
        <w:rPr/>
        <w:t>3. Cartographie des fiches et de la banque</w:t>
      </w:r>
    </w:p>
    <w:tbl>
      <w:tblPr>
        <w:tblW w:w="10480"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TITRE / SECTION</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STATUT</w:t>
            </w:r>
          </w:p>
        </w:tc>
        <w:tc>
          <w:tcPr>
            <w:tcW w:w="2619"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16"/>
              </w:rPr>
              <w:t>QUESTIONS</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Accès direct « Espace Parents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STRUCTURE DE NAVIGATION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Absence de sous-menu visible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OBSERVATION DE STRUCTURE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Fil d’Ariane « Accueil › Espace Parents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REPÈRE DE NAVIGATION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Sélecteur de langue du site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OUTIL DE NAVIGATION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Titre principal « Espace Parents »</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PAGE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Présentation générale du lien numérique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TEXTE INTRODUCTIF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Un partenariat constant avec les familles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ILLUSTRÉE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Rapprochement entre l’école, les parents et l’enfant</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LÉGENDE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Un espace réservé aux familles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Portail des Parents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SERVICE NUMÉRIQUE DÉCRIT</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Responsable légal</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RÈGLE D’ACCÈS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Informations autorisées des propres enfants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PRINCIPE DE LIMITATION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Réduction des déplacements inutiles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OBJECTIF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Amélioration du suivi</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OBJECTIF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Renforcement de la communication</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OBJECTIF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Scolarité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BLOC FONCTIONNEL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Présences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FONCTION SCOLAIRE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Devoirs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FONCTION SCOLAIRE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Notifications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FONCTION SCOLAIRE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Calendrier</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FONCTION SCOLAIRE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Informations pédagogiques autorisées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PRINCIPE PÉDAGOGIQUE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Finances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BLOC FONCTIONNEL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Factures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FONCTION FINANCIÈRE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Échéances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FONCTION FINANCIÈRE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Paiements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FONCTION FINANCIÈRE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Soldes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FONCTION FINANCIÈRE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Reçus et habilitations financières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FONCTION ET CONTRÔLE PUBLIÉS</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28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Santé et communication</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BLOC FONCTIONNEL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29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Alertes et recommandations validées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INFORMATION SANITAIRE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Non-exposition des notes médicales confidentielles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GARANTIE DE CONFIDENTIALITÉ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Sortie sécurisée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BLOC FONCTIONNEL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Personnes autorisées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RÈGLE DE SÉCURITÉ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Badge permanent</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OUTIL DE SÉCURITÉ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QR temporaire à usage limité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OUTIL DE SÉCURITÉ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Application des règles de l’école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CADRE DE SÉCURITÉ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Connexion au serveur central GSE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ARCHITECTURE ANNONCÉE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Activation publique à venir</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STATUT DE DÉPLOIEMENT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38</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Canaux officiels communiqués par l’école</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MESURE TRANSITOIRE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39</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Demander à ÉMINA comment cela fonctionne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APPEL À L’ASSISTANCE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40</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Accès familial sécurisé</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SECTION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41</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Compte rattaché aux enfants autorisés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RÈGLE D’IDENTITÉ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42</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Isolement des informations entre familles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GARANTIE DE SÉPARATION PUBLIÉE</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43</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Messages externes renvoyant vers l’espace sécurisé</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RÈGLE DE COMMUNICATION PUBLIÉE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44</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Politique de confidentialité liée à l’Espace Parents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PRINCIPE CONNEXE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45</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ÉMINA : information publique et escalade humaine</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PRINCIPE CONNEXE PUBLIÉ</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46</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5"/>
              </w:rPr>
              <w:t>Assistance humaine et coordonnées officielles</w:t>
            </w:r>
          </w:p>
        </w:tc>
        <w:tc>
          <w:tcPr>
            <w:tcW w:w="2620"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5"/>
              </w:rPr>
              <w:t>SERVICE CONNEXE PUBLIÉ</w:t>
            </w:r>
          </w:p>
        </w:tc>
        <w:tc>
          <w:tcPr>
            <w:tcW w:w="2619"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jc w:val="center"/>
              <w:rPr/>
            </w:pPr>
            <w:r>
              <w:rPr>
                <w:rFonts w:eastAsia="Aptos" w:ascii="Aptos" w:hAnsi="Aptos"/>
                <w:b w:val="false"/>
                <w:i w:val="false"/>
                <w:color w:val="1F2D3D"/>
                <w:sz w:val="15"/>
              </w:rPr>
              <w:t>10</w:t>
            </w:r>
          </w:p>
        </w:tc>
      </w:tr>
      <w:tr>
        <w:trPr>
          <w:cantSplit w:val="true"/>
        </w:trPr>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47</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5"/>
              </w:rPr>
              <w:t>Résumé opérationnel de l’Espace Parents</w:t>
            </w:r>
          </w:p>
        </w:tc>
        <w:tc>
          <w:tcPr>
            <w:tcW w:w="2620"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5"/>
              </w:rPr>
              <w:t>SYNTHÈSE FONCTIONNELLE</w:t>
            </w:r>
          </w:p>
        </w:tc>
        <w:tc>
          <w:tcPr>
            <w:tcW w:w="2619"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jc w:val="center"/>
              <w:rPr/>
            </w:pPr>
            <w:r>
              <w:rPr>
                <w:rFonts w:eastAsia="Aptos" w:ascii="Aptos" w:hAnsi="Aptos"/>
                <w:b w:val="false"/>
                <w:i w:val="false"/>
                <w:color w:val="1F2D3D"/>
                <w:sz w:val="15"/>
              </w:rPr>
              <w:t>10</w:t>
            </w:r>
          </w:p>
        </w:tc>
      </w:tr>
    </w:tbl>
    <w:p>
      <w:pPr>
        <w:pStyle w:val="Normal"/>
        <w:spacing w:lineRule="auto" w:line="240" w:before="80" w:after="0"/>
        <w:jc w:val="end"/>
        <w:rPr/>
      </w:pPr>
      <w:r>
        <w:rPr>
          <w:rFonts w:eastAsia="Aptos" w:ascii="Aptos" w:hAnsi="Aptos"/>
          <w:b/>
          <w:i w:val="false"/>
          <w:color w:val="D4AF37"/>
          <w:sz w:val="18"/>
        </w:rPr>
        <w:t>Total : 47 fiches • 470 questions-réponses • 91 définitions</w:t>
      </w:r>
    </w:p>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I. ACCÈS, PÉRIMÈTRE ET NAVIGATION</w:t>
      </w:r>
    </w:p>
    <w:p>
      <w:pPr>
        <w:pStyle w:val="Normal"/>
        <w:keepNext w:val="true"/>
        <w:spacing w:lineRule="auto" w:line="240" w:before="0" w:after="160"/>
        <w:rPr/>
      </w:pPr>
      <w:r>
        <w:rPr>
          <w:rFonts w:eastAsia="Aptos" w:ascii="Aptos" w:hAnsi="Aptos"/>
          <w:b w:val="false"/>
          <w:i/>
          <w:color w:val="5B6777"/>
          <w:sz w:val="19"/>
        </w:rPr>
        <w:t>Accès direct, absence de sous-menu, repères et présentation générale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 Accès direct « Espace Parents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STRUCTURE DE NAVIGATION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lien « Espace Parents » est affiché comme accès direct dans l’en-tête du site et renvoie vers la page dédiée /espace-parents/.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intitulé offre aux familles un point d’entrée identifiable vers les services numériques qui leur sont destinés.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place la relation école-famille parmi les fonctions essentielles du site et prépare l’accès au futur portail sécurisé.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Accueil ; Admissions ; Préinscription ; Contact ; Confidentialité ; ÉMINA.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Accès direct « Espace Parents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lien « Espace Parents » est affiché comme accès direct dans l’en-tête du site et renvoie vers la page dédiée /espace-parents/.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libellé exact de l’accès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Où cet accès est-il visible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l’en-tête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Vers quelle page renvoie-t-il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 la page dédiée « Espace Parents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public cet accès vise-t-il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familles et responsables légaux.</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S’agit-il d’un service général ou familial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D’un service destiné 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adresse de page est utilisée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https://test.gsleseminents.com/espace-parents/.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L’accès public présente le service ; il ne constitue pas encore l’authentification au portail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 Espace Parents » est l’accès direct aux informations sur le futur portail familial.</w:t>
            </w:r>
          </w:p>
        </w:tc>
      </w:tr>
    </w:tbl>
    <w:p>
      <w:pPr>
        <w:pStyle w:val="Normal"/>
        <w:spacing w:lineRule="auto" w:line="240" w:before="0" w:after="40"/>
        <w:rPr/>
      </w:pPr>
      <w:r>
        <w:rPr/>
      </w:r>
    </w:p>
    <w:p>
      <w:pPr>
        <w:pStyle w:val="Heading1"/>
        <w:keepNext w:val="true"/>
        <w:spacing w:lineRule="auto" w:line="240" w:before="100" w:after="20"/>
        <w:rPr/>
      </w:pPr>
      <w:r>
        <w:rPr/>
        <w:t>2. Absence de sous-menu visible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D4AF37"/>
              <w:start w:val="single" w:sz="4" w:space="0" w:color="D4AF37"/>
              <w:bottom w:val="single" w:sz="4" w:space="0" w:color="D4AF37"/>
              <w:end w:val="single" w:sz="4" w:space="0" w:color="D4AF37"/>
            </w:tcBorders>
            <w:shd w:fill="D4AF37" w:val="clear"/>
            <w:vAlign w:val="center"/>
          </w:tcPr>
          <w:p>
            <w:pPr>
              <w:pStyle w:val="Normal"/>
              <w:spacing w:lineRule="auto" w:line="240" w:before="0" w:after="0"/>
              <w:rPr/>
            </w:pPr>
            <w:r>
              <w:rPr>
                <w:rFonts w:eastAsia="Aptos" w:ascii="Aptos" w:hAnsi="Aptos"/>
                <w:b/>
                <w:i w:val="false"/>
                <w:color w:val="FFFFFF"/>
                <w:sz w:val="17"/>
              </w:rPr>
              <w:t>OBSERVATION DE STRUCTURE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Aucun sous-menu enfant n’est actuellement visible sous l’accès « Espace Parents » dans la navigation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observation distingue un accès autonome d’un menu hiérarchique comportant plusieurs pages enfants.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évite d’attribuer au site des sous-rubriques qui ne sont pas publiées et clarifie le périmètre du relevé.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Navigation ; Accès direct ; Portail Parents ; Services essentiels.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Absence de sous-menu visible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Aucun sous-menu enfant n’est actuellement visible sous l’accès « Espace Parents » dans la navigation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Un sous-menu est-il visible sous « Espace Parents »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L’accès comporte-t-il des pages enfants affichées dans le menu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aucune n’est affichée.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type d’entrée est observé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accès direct autonome.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relevé doit-il inventer des sous-menus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dédiée reste-t-elle accessible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Où les fonctions sont-elles présentées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corps de la page 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L’absence de sous-menu visible ne signifie pas qu’aucun module interne ne sera créé dans le portail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menu public présente un accès unique, sans sous-menu visible.</w:t>
            </w:r>
          </w:p>
        </w:tc>
      </w:tr>
    </w:tbl>
    <w:p>
      <w:pPr>
        <w:pStyle w:val="Normal"/>
        <w:spacing w:lineRule="auto" w:line="240" w:before="0" w:after="40"/>
        <w:rPr/>
      </w:pPr>
      <w:r>
        <w:rPr/>
      </w:r>
    </w:p>
    <w:p>
      <w:pPr>
        <w:pStyle w:val="Heading1"/>
        <w:keepNext w:val="true"/>
        <w:spacing w:lineRule="auto" w:line="240" w:before="100" w:after="20"/>
        <w:rPr/>
      </w:pPr>
      <w:r>
        <w:rPr/>
        <w:t>3. Fil d’Ariane « Accueil › Espace Parents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REPÈRE DE NAVIGATION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fil d’Ariane affiche « Accueil › Espace Parents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repère indique la position de la page dans l’arborescence du site.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le retour à l’accueil et confirme à la famille qu’elle se trouve sur la page officielle du service parental.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Accueil ; Navigation ; Espace Parents ; Accessibilité.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Fil d’Ariane « Accueil › Espace Parents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fil d’Ariane affiche « Accueil › Espace Parents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premier niveau du fil d’Ariane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Accueil.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est le second niveau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symbole sépare les deux niveaux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symbole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fil identifie-t-il la page active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Vers quelle page permet-il de revenir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 l’Accueil.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Un niveau intermédiaire est-il affiché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fil d’Ariane est un outil de navigation, pas un mécanisme d’authentification.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fil d’Ariane situe Espace Parents directement sous l’Accueil.</w:t>
            </w:r>
          </w:p>
        </w:tc>
      </w:tr>
    </w:tbl>
    <w:p>
      <w:pPr>
        <w:pStyle w:val="Normal"/>
        <w:spacing w:lineRule="auto" w:line="240" w:before="0" w:after="40"/>
        <w:rPr/>
      </w:pPr>
      <w:r>
        <w:rPr/>
      </w:r>
    </w:p>
    <w:p>
      <w:pPr>
        <w:pStyle w:val="Heading1"/>
        <w:keepNext w:val="true"/>
        <w:spacing w:lineRule="auto" w:line="240" w:before="100" w:after="20"/>
        <w:rPr/>
      </w:pPr>
      <w:r>
        <w:rPr/>
        <w:t>4. Sélecteur de langue du site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OUTIL DE NAVIGATION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site propose Français, English, Kiswahili, Lingala, Kikongo ya Leta et Tshiluba.</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sélecteur permet aux familles de choisir une langue de consultation plus compréhensible.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soutient l’inclusion, la compréhension des informations familiales et la continuité multilingue du portail.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Espace Parents ; ÉMINA ; Admissions ; Confidentialité ; Communication école-famille.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Sélecteur de langue du site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site propose Français, English, Kiswahili, Lingala, Kikongo ya Leta et Tshiluba.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Combien de langues sont proposées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Six.</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 langue française est proposée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Français.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 langue anglaise est proposée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English.</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Quelles langues nationales sont proposées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Kiswahili, Lingala, Kikongo ya Leta et Tshiluba.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sélecteur est-il visible sur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choix concerne-t-il l’interface du site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présence du sélecteur ne garantit pas à elle seule que chaque contenu soit déjà traduit intégralement.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site annonce six langues pour faciliter l’accès des familles.</w:t>
            </w:r>
          </w:p>
        </w:tc>
      </w:tr>
    </w:tbl>
    <w:p>
      <w:pPr>
        <w:pStyle w:val="Normal"/>
        <w:spacing w:lineRule="auto" w:line="240" w:before="0" w:after="40"/>
        <w:rPr/>
      </w:pPr>
      <w:r>
        <w:rPr/>
      </w:r>
    </w:p>
    <w:p>
      <w:pPr>
        <w:pStyle w:val="Heading1"/>
        <w:keepNext w:val="true"/>
        <w:spacing w:lineRule="auto" w:line="240" w:before="100" w:after="20"/>
        <w:rPr/>
      </w:pPr>
      <w:r>
        <w:rPr/>
        <w:t>5. Titre principal « Espace Parents »</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PAGE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Espace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titre nomme clairement l’espace numérique destiné aux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donne une identité simple au service et l’intègre à l’écosystème numérique du GROUPE SCOLAIRE LES ÉMINENTS.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Portail Parents ; Services essentiels ; Communication ; Scolarité ; Finances ; Santé ; Sortie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Titre principal « Espace Parents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principal de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qui le titre s’adresse-t-il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Aux parents et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titre désigne-t-il une page publique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titre annonce-t-il un portail familial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il présente l’espace destiné 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mot « Parents » est-il au pluriel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titre comporte-t-il une précision technique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il reste simple et institutionnel.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publique explique le service, tandis que l’accès complet sécurisé est annoncé pour une activation ultérieure.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titre principal identifie l’espace numérique réservé aux familles.</w:t>
            </w:r>
          </w:p>
        </w:tc>
      </w:tr>
    </w:tbl>
    <w:p>
      <w:pPr>
        <w:pStyle w:val="Normal"/>
        <w:spacing w:lineRule="auto" w:line="240" w:before="0" w:after="40"/>
        <w:rPr/>
      </w:pPr>
      <w:r>
        <w:rPr/>
      </w:r>
    </w:p>
    <w:p>
      <w:pPr>
        <w:pStyle w:val="Heading1"/>
        <w:keepNext w:val="true"/>
        <w:spacing w:lineRule="auto" w:line="240" w:before="100" w:after="20"/>
        <w:rPr/>
      </w:pPr>
      <w:r>
        <w:rPr/>
        <w:t>6. Présentation générale du lien numérique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TEXTE INTRODUCTIF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lien numérique entre l’école et les familles : informations, présences, devoirs, paiements, notifications et sortie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phrase résume immédiatement la fonction centrale de l’Espace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présente en une seule ligne les grands domaines qui structurent la relation numérique entre l’école et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Scolarité ; Finances ; Communication ; Sécurité ; Portail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Présentation générale du lien numérique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lien numérique entre l’école et les familles : informations, présences, devoirs, paiements, notifications et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Entre quelles parties le lien numérique est-il établi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Entre l’école et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premier type de contenu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suivi de fréquentation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présences.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travail scolaire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devoirs.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 domaine financier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dispositif de protection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Cette phrase décrit les fonctions prévues ; leur disponibilité effective dépend de l’activation du portail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L’Espace Parents relie l’école et les familles pour le suivi scolaire, financier, communicationnel et sécuritaire.</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II. PARTENARIAT ET FINALITÉ FAMILIALE</w:t>
      </w:r>
    </w:p>
    <w:p>
      <w:pPr>
        <w:pStyle w:val="Normal"/>
        <w:keepNext w:val="true"/>
        <w:spacing w:lineRule="auto" w:line="240" w:before="0" w:after="160"/>
        <w:rPr/>
      </w:pPr>
      <w:r>
        <w:rPr>
          <w:rFonts w:eastAsia="Aptos" w:ascii="Aptos" w:hAnsi="Aptos"/>
          <w:b w:val="false"/>
          <w:i/>
          <w:color w:val="5B6777"/>
          <w:sz w:val="19"/>
        </w:rPr>
        <w:t>Relation école-famille, espace réservé et objectifs du portail</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7. Un partenariat constant avec les familles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ILLUSTRÉE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partenariat constant avec les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présente la relation école-famille comme une collaboration durable plutôt qu’un simple échange ponctuel.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partenariat parental améliore la continuité éducative, le suivi de l’enfant et la confiance institutionnelle.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Communication ; Suivi personnalisé ; Admissions ; Vie scolaire ; Qualité.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partenariat constant avec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partenariat constant avec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type de relation est annoncé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partenariat.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Avec qui ce partenariat est-il établi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Avec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Comment le partenariat est-il qualifié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Constant.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titre évoque-t-il une relation ponctuelle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partenariat concerne-t-il uniquement les paiements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il couvre la relation globale avec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titre accompagne-t-il une illustration institutionnelle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partenariat annoncé s’exerce dans le respect des rôles, des habilitations et de la confidentialité.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 présente sa relation avec les familles comme un partenariat constant.</w:t>
            </w:r>
          </w:p>
        </w:tc>
      </w:tr>
    </w:tbl>
    <w:p>
      <w:pPr>
        <w:pStyle w:val="Normal"/>
        <w:spacing w:lineRule="auto" w:line="240" w:before="0" w:after="40"/>
        <w:rPr/>
      </w:pPr>
      <w:r>
        <w:rPr/>
      </w:r>
    </w:p>
    <w:p>
      <w:pPr>
        <w:pStyle w:val="Heading1"/>
        <w:keepNext w:val="true"/>
        <w:spacing w:lineRule="auto" w:line="240" w:before="100" w:after="20"/>
        <w:rPr/>
      </w:pPr>
      <w:r>
        <w:rPr/>
        <w:t>8. Rapprochement entre l’école, les parents et l’enfant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LÉGENDE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et les échanges institutionnels rapprochent l’école, les parents et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phrase explique l’effet attendu du portail et des communications officielles.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place l’enfant au centre d’une relation coordonnée entre la famille et l’établissement.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Portail Parents ; Communication ; Suivi pédagogique ; Bien-être ; Accompagnement.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Rapprochement entre l’école, les parents et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et les échanges institutionnels rapprochent l’école, les parents et 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moyens rapprochent les acteurs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portail et les échanges institutionnels.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premier acteur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deuxième acteur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troisième acteur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L’enfant.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rapprochement repose-t-il seulement sur le portail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aussi sur les échanges institutionnels.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phrase place-t-elle l’enfant dans la relation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rapprochement numérique ne remplace pas les échanges humains nécessaires pour les situations personnelles ou sensibles.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et les échanges officiels rapprochent l’école, les parents et l’enfant.</w:t>
            </w:r>
          </w:p>
        </w:tc>
      </w:tr>
    </w:tbl>
    <w:p>
      <w:pPr>
        <w:pStyle w:val="Normal"/>
        <w:spacing w:lineRule="auto" w:line="240" w:before="0" w:after="40"/>
        <w:rPr/>
      </w:pPr>
      <w:r>
        <w:rPr/>
      </w:r>
    </w:p>
    <w:p>
      <w:pPr>
        <w:pStyle w:val="Heading1"/>
        <w:keepNext w:val="true"/>
        <w:spacing w:lineRule="auto" w:line="240" w:before="100" w:after="20"/>
        <w:rPr/>
      </w:pPr>
      <w:r>
        <w:rPr/>
        <w:t>9. Un espace réservé aux familles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espace réservé aux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souligne que le service n’est pas un espace public général mais un environnement destiné aux familles concernées.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notion de réserve prépare les exigences d’identification, de contrôle d’accès et de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Accès familial sécurisé ; Responsable légal ; Habilitations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espace réservé 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espace réservé 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qui l’espace est-il réservé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Aux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titre présente-t-il un espace public général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mot exprime la limitation d’accès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Réservé.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L’espace est-il destiné aux visiteurs anonymes pour les données personnelles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titre annonce-t-il une logique de confidentialité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 section approfondit cette idée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Accès familial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de présentation est publique, mais les données familiales doivent rester dans l’espace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service est conçu comme un espace réservé aux familles.</w:t>
            </w:r>
          </w:p>
        </w:tc>
      </w:tr>
    </w:tbl>
    <w:p>
      <w:pPr>
        <w:pStyle w:val="Normal"/>
        <w:spacing w:lineRule="auto" w:line="240" w:before="0" w:after="40"/>
        <w:rPr/>
      </w:pPr>
      <w:r>
        <w:rPr/>
      </w:r>
    </w:p>
    <w:p>
      <w:pPr>
        <w:pStyle w:val="Heading1"/>
        <w:keepNext w:val="true"/>
        <w:spacing w:lineRule="auto" w:line="240" w:before="100" w:after="20"/>
        <w:rPr/>
      </w:pPr>
      <w:r>
        <w:rPr/>
        <w:t>10. Portail des Parents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SERVICE NUMÉRIQUE DÉCRIT</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des Parents permet à chaque responsable légal de consulter uniquement les informations autorisées de ses propres enfants.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intitulé identifie le service numérique opérationnel destiné aux responsables des élèves.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centralise l’accès familial tout en limitant les informations selon l’identité et les droits de l’utilisateur.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Responsable légal ; Enfants autorisés ; Habilitations ; Confidentialité ; Serveur central GSE.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Portail des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 permet à chaque responsable légal de consulter uniquement les informations autorisées de ses propres enfants.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service est nommé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Portail des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peut l’utiliser selon le texte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Chaque responsable légal.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peut-il consulter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Uniquement les informations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informations concernent quels enfants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Ses propres enfants.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portail autorise-t-il l’accès à toutes les familles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L’accès est-il limité par autorisation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texte ne décrit pas un accès libre ; l’identité et les droits doivent être vérifiés.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 donne au responsable légal un accès limité aux informations autorisées de ses enfants.</w:t>
            </w:r>
          </w:p>
        </w:tc>
      </w:tr>
    </w:tbl>
    <w:p>
      <w:pPr>
        <w:pStyle w:val="Normal"/>
        <w:spacing w:lineRule="auto" w:line="240" w:before="0" w:after="40"/>
        <w:rPr/>
      </w:pPr>
      <w:r>
        <w:rPr/>
      </w:r>
    </w:p>
    <w:p>
      <w:pPr>
        <w:pStyle w:val="Heading1"/>
        <w:keepNext w:val="true"/>
        <w:spacing w:lineRule="auto" w:line="240" w:before="100" w:after="20"/>
        <w:rPr/>
      </w:pPr>
      <w:r>
        <w:rPr/>
        <w:t>11. Responsable légal</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 D’ACCÈS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Chaque responsable légal peut consulter les informations autorisées de ses propres enfants.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précise la qualité de la personne à laquelle le compte familial est destiné.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aide à protéger l’enfant en réservant l’accès aux personnes reconnues comme responsables.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Compte familial ; Identité ; Autorisations ; Protection de l’enfant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Responsable légal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Chaque responsable légal peut consulter les informations autorisées de ses propres enfants.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qualité doit avoir l’utilisateur mentionné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Être responsable légal.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texte parle-t-il de n’importe quel adulte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responsable peut-il consulter des informations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Ces informations doivent-elles être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Concernent-elles ses propres enfants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prévoit-il un accès aux enfants d’une autre famille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reconnaissance du responsable légal doit être établie selon les procédures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L’accès familial est destiné au responsable légal reconnu.</w:t>
            </w:r>
          </w:p>
        </w:tc>
      </w:tr>
    </w:tbl>
    <w:p>
      <w:pPr>
        <w:pStyle w:val="Normal"/>
        <w:spacing w:lineRule="auto" w:line="240" w:before="0" w:after="40"/>
        <w:rPr/>
      </w:pPr>
      <w:r>
        <w:rPr/>
      </w:r>
    </w:p>
    <w:p>
      <w:pPr>
        <w:pStyle w:val="Heading1"/>
        <w:keepNext w:val="true"/>
        <w:spacing w:lineRule="auto" w:line="240" w:before="100" w:after="20"/>
        <w:rPr/>
      </w:pPr>
      <w:r>
        <w:rPr/>
        <w:t>12. Informations autorisées des propres enfants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DE LIMITATION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responsable légal consulte uniquement les informations autorisées de ses propres enfants.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combine deux limites : le type d’information autorisé et le rattachement à l’enfant concerné.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empêche l’accès excessif et réduit les risques de divulgation entre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Habilitation ; Moindre privilège ; Isolement des familles ; Données personnelles.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Informations autorisées des propres enfants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responsable légal consulte uniquement les informations autorisées de ses propres enfants.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adverbe limite la consultation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Uniquement.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type d’informations peut être consulté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quels enfants ces informations se rapportent-elles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Aux propres enfants du responsable.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Peut-il consulter des informations non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Peut-il consulter les données d’une autre famille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impose-t-il une double limitation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par autorisation et par rattachement familial.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information peut rester inaccessible même si elle concerne l’enfant, lorsque le rôle ou la confidentialité l’exige.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limite l’accès aux informations autorisées des seuls enfants rattachés au responsable.</w:t>
            </w:r>
          </w:p>
        </w:tc>
      </w:tr>
    </w:tbl>
    <w:p>
      <w:pPr>
        <w:pStyle w:val="Normal"/>
        <w:spacing w:lineRule="auto" w:line="240" w:before="0" w:after="40"/>
        <w:rPr/>
      </w:pPr>
      <w:r>
        <w:rPr/>
      </w:r>
    </w:p>
    <w:p>
      <w:pPr>
        <w:pStyle w:val="Heading1"/>
        <w:keepNext w:val="true"/>
        <w:spacing w:lineRule="auto" w:line="240" w:before="100" w:after="20"/>
        <w:rPr/>
      </w:pPr>
      <w:r>
        <w:rPr/>
        <w:t>13. Réduction des déplacements inutiles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OBJECTIF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des Parents est conçu pour réduire les déplacements inutiles.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objectif valorise la dématérialisation des démarches qui ne nécessitent pas une présence physique.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économise du temps aux familles et permet à l’école de concentrer les visites sur les situations qui exigent un échange direct.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Informations ; Paiements ; Notifications ; Contact ; Visite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Réduction des déplacements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 est conçu pour réduire les déplacements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 le portail cherche-t-il à réduire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déplacements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texte vise-t-il à supprimer tous les déplacements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outil doit contribuer à cette réduction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Portail des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portail est-il conçu avec cet objectif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Quels déplacements sont visés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Ceux qui sont inutiles.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L’objectif concerne-t-il les familles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rendez-vous, urgences ou démarches exigeant une présence humaine peuvent toujours nécessiter un déplacement.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doit éviter aux familles les déplacements qui ne sont pas nécessaires.</w:t>
            </w:r>
          </w:p>
        </w:tc>
      </w:tr>
    </w:tbl>
    <w:p>
      <w:pPr>
        <w:pStyle w:val="Normal"/>
        <w:spacing w:lineRule="auto" w:line="240" w:before="0" w:after="40"/>
        <w:rPr/>
      </w:pPr>
      <w:r>
        <w:rPr/>
      </w:r>
    </w:p>
    <w:p>
      <w:pPr>
        <w:pStyle w:val="Heading1"/>
        <w:keepNext w:val="true"/>
        <w:spacing w:lineRule="auto" w:line="240" w:before="100" w:after="20"/>
        <w:rPr/>
      </w:pPr>
      <w:r>
        <w:rPr/>
        <w:t>14. Amélioration du suivi</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OBJECTIF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des Parents est conçu pour améliorer le suivi.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met en avant la continuité d’observation des éléments scolaires et administratifs.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meilleur suivi permet aux familles de réagir plus tôt aux absences, devoirs, échéances ou communications importantes.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Présences ; Devoirs ; Calendrier ; Notifications ; Finances.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Amélioration du suivi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 est conçu pour améliorer le suivi.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objectif de gestion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Améliorer le suivi.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outil poursuit cet objectif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suivi concerne-t-il un seul domaine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plusieurs domaines sont présentés sur la page.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présences font-elles partie du suivi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devoirs font-ils partie du suivi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Les paiements peuvent-ils également être suivis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suivi numérique doit reposer sur des informations mises à jour et validées par les services compétents.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est conçu pour améliorer le suivi familial des informations autorisées.</w:t>
            </w:r>
          </w:p>
        </w:tc>
      </w:tr>
    </w:tbl>
    <w:p>
      <w:pPr>
        <w:pStyle w:val="Normal"/>
        <w:spacing w:lineRule="auto" w:line="240" w:before="0" w:after="40"/>
        <w:rPr/>
      </w:pPr>
      <w:r>
        <w:rPr/>
      </w:r>
    </w:p>
    <w:p>
      <w:pPr>
        <w:pStyle w:val="Heading1"/>
        <w:keepNext w:val="true"/>
        <w:spacing w:lineRule="auto" w:line="240" w:before="100" w:after="20"/>
        <w:rPr/>
      </w:pPr>
      <w:r>
        <w:rPr/>
        <w:t>15. Renforcement de la communication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OBJECTIF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des Parents est conçu pour renforcer la communication.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rappelle que la technologie sert d’abord la qualité des échanges entre l’école et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Une communication structurée réduit les pertes d’information, améliore la réactivité et soutient le partenariat éducatif.</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Notifications ; Santé et communication ; Canaux officiels ; ÉMINA ; Contact.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Renforcement de la communication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 est conçu pour renforcer la communication.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objectif relationnel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Renforcer la communication.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service doit y contribuer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des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Entre quels acteurs la communication est-elle renforcée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Entre l’école et les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notifications participent-elles à cette communication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échanges institutionnels sont-ils mentionnés sur la page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communication remplace-t-elle la confidentialité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messages sensibles doivent être orientés vers un canal sécurisé et une personne habilitée.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doit renforcer la communication institutionnelle avec les familles.</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III. SCOLARITÉ</w:t>
      </w:r>
    </w:p>
    <w:p>
      <w:pPr>
        <w:pStyle w:val="Normal"/>
        <w:keepNext w:val="true"/>
        <w:spacing w:lineRule="auto" w:line="240" w:before="0" w:after="160"/>
        <w:rPr/>
      </w:pPr>
      <w:r>
        <w:rPr>
          <w:rFonts w:eastAsia="Aptos" w:ascii="Aptos" w:hAnsi="Aptos"/>
          <w:b w:val="false"/>
          <w:i/>
          <w:color w:val="5B6777"/>
          <w:sz w:val="19"/>
        </w:rPr>
        <w:t>Présences, devoirs, notifications, calendrier et informations pédagogiques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16. Scolarité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BLOC FONCTIONNEL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Scolarité : présences, devoirs, notifications, calendrier et informations pédagogiques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regroupe les fonctions directement liées au parcours scolaire quotidien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donne aux parents une vision structurée des informations nécessaires au suivi pédagogique.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Présences ; Devoirs ; Notifications ; Calendrier ; Informations pédagogiques.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Scolarité : présences, devoirs, notifications, calendrier et informations pédagogiques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du bloc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Les présences y figurent-elles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devoirs y figurent-ils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notifications y figurent-elles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calendrier y figure-t-il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 type d’informations pédagogiques est annoncé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informations pédagogiques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bloc n’annonce pas un accès illimité à tous les dossiers pédagogiques.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bloc Scolarité rassemble cinq catégories de suivi autorisé.</w:t>
            </w:r>
          </w:p>
        </w:tc>
      </w:tr>
    </w:tbl>
    <w:p>
      <w:pPr>
        <w:pStyle w:val="Normal"/>
        <w:spacing w:lineRule="auto" w:line="240" w:before="0" w:after="40"/>
        <w:rPr/>
      </w:pPr>
      <w:r>
        <w:rPr/>
      </w:r>
    </w:p>
    <w:p>
      <w:pPr>
        <w:pStyle w:val="Heading1"/>
        <w:keepNext w:val="true"/>
        <w:spacing w:lineRule="auto" w:line="240" w:before="100" w:after="20"/>
        <w:rPr/>
      </w:pPr>
      <w:r>
        <w:rPr/>
        <w:t>17. Présences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SCOLAIRE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présences font partie des informations de scolarité consultables dans l’Espace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permet aux familles de suivre la fréquentation scolaire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suivi des présences soutient l’assiduité, la sécurité et la réaction rapide en cas d’absence.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Vie scolaire ; Notifications ; Sécurité ; Encadrement ; Calendrier.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Présences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présences font partie des informations de scolarité consultables dans l’Espace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donnée de fréquentation est citée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présences.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apparaissent-elles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Dans le bloc 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Sont-elles destinées au suivi parental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cite-t-elle les absences séparément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elle cite les présences.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présences font-elles partie des informations autorisées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dans le cadre du compte familial.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Sont-elles associées au portail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modalités précises de pointage ou de correction des présences ne sont pas détaillées sur cette page.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parents pourront suivre les présences dans le bloc Scolarité.</w:t>
            </w:r>
          </w:p>
        </w:tc>
      </w:tr>
    </w:tbl>
    <w:p>
      <w:pPr>
        <w:pStyle w:val="Normal"/>
        <w:spacing w:lineRule="auto" w:line="240" w:before="0" w:after="40"/>
        <w:rPr/>
      </w:pPr>
      <w:r>
        <w:rPr/>
      </w:r>
    </w:p>
    <w:p>
      <w:pPr>
        <w:pStyle w:val="Heading1"/>
        <w:keepNext w:val="true"/>
        <w:spacing w:lineRule="auto" w:line="240" w:before="100" w:after="20"/>
        <w:rPr/>
      </w:pPr>
      <w:r>
        <w:rPr/>
        <w:t>18. Devoirs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SCOLAIRE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devoirs font partie des informations de scolarité annoncées dans l’Espace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permet à la famille d’accompagner l’organisation du travail à domicile.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renforce la continuité entre les apprentissages en classe et l’accompagnement familial.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Programmes ; Calendrier ; Notifications ; Suivi pédagogique ; Communication.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Devoirs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devoirs font partie des informations de scolarité annoncées dans l’Espace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travail scolaire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devoirs.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sont-ils classés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devoirs font-ils partie du portail annoncé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texte précise-t-il les matières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précise-t-il les dates de remise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Leur consultation est-elle destinée aux familles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n’indique pas encore le format, la fréquence ou la procédure de remise des devoirs.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devoirs font partie du suivi scolaire prévu dans l’Espace Parents.</w:t>
            </w:r>
          </w:p>
        </w:tc>
      </w:tr>
    </w:tbl>
    <w:p>
      <w:pPr>
        <w:pStyle w:val="Normal"/>
        <w:spacing w:lineRule="auto" w:line="240" w:before="0" w:after="40"/>
        <w:rPr/>
      </w:pPr>
      <w:r>
        <w:rPr/>
      </w:r>
    </w:p>
    <w:p>
      <w:pPr>
        <w:pStyle w:val="Heading1"/>
        <w:keepNext w:val="true"/>
        <w:spacing w:lineRule="auto" w:line="240" w:before="100" w:after="20"/>
        <w:rPr/>
      </w:pPr>
      <w:r>
        <w:rPr/>
        <w:t>19. Notifications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SCOLAIRE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notifications sont incluses dans le bloc Scolarité et dans la présentation générale du lien numérique.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désigne les messages qui attirent l’attention des familles sur une information ou une action.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notifications améliorent la réactivité des parents et la transmission des informations importantes.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Présences ; Devoirs ; Calendrier ; Santé ; Finances ; Communication.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Notifications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notifications sont incluses dans le bloc Scolarité et dans la présentation générale du lien numérique.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mécanisme d’information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notifications.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apparaissent-elles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Sont-elles aussi citées dans l’introduction générale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texte précise-t-il leur canal technique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précise-t-il leur fréquence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Sont-elles destinées aux familles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notification externe ne doit pas exposer de donnée sensible et doit renvoyer vers l’espace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notifications font partie des outils de suivi et de communication du portail.</w:t>
            </w:r>
          </w:p>
        </w:tc>
      </w:tr>
    </w:tbl>
    <w:p>
      <w:pPr>
        <w:pStyle w:val="Normal"/>
        <w:spacing w:lineRule="auto" w:line="240" w:before="0" w:after="40"/>
        <w:rPr/>
      </w:pPr>
      <w:r>
        <w:rPr/>
      </w:r>
    </w:p>
    <w:p>
      <w:pPr>
        <w:pStyle w:val="Heading1"/>
        <w:keepNext w:val="true"/>
        <w:spacing w:lineRule="auto" w:line="240" w:before="100" w:after="20"/>
        <w:rPr/>
      </w:pPr>
      <w:r>
        <w:rPr/>
        <w:t>20. Calendrier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SCOLAIRE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calendrier fait partie des informations de scolarité annoncées.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donne aux familles un repère temporel pour les activités et échéances scolaires.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calendrier partagé facilite l’anticipation, l’organisation familiale et la ponctualité.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Devoirs ; Activités ; Admissions ; Échéances ; Notifications.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Calendrier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calendrier fait partie des informations de scolarité annoncées.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outil temporel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calendrier.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est-il présenté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calendrier fait-il partie des informations consultables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détaille-t-elle ses événements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précise-t-elle un format mensuel ou hebdomadaire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calendrier est-il associé au suivi parental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contenu exact du calendrier et les règles de mise à jour ne sont pas détaillés sur la page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calendrier est prévu pour le suivi de la scolarité.</w:t>
            </w:r>
          </w:p>
        </w:tc>
      </w:tr>
    </w:tbl>
    <w:p>
      <w:pPr>
        <w:pStyle w:val="Normal"/>
        <w:spacing w:lineRule="auto" w:line="240" w:before="0" w:after="40"/>
        <w:rPr/>
      </w:pPr>
      <w:r>
        <w:rPr/>
      </w:r>
    </w:p>
    <w:p>
      <w:pPr>
        <w:pStyle w:val="Heading1"/>
        <w:keepNext w:val="true"/>
        <w:spacing w:lineRule="auto" w:line="240" w:before="100" w:after="20"/>
        <w:rPr/>
      </w:pPr>
      <w:r>
        <w:rPr/>
        <w:t>21. Informations pédagogiques autorisées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PÉDAGOGIQUE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bloc Scolarité comprend des informations pédagogiques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intitulé distingue les informations communicables aux familles des données réservées au personnel habilité.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la confidentialité pédagogique tout en donnant aux parents les éléments nécessaires au suivi.</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Habilitation ; Bulletins ; Devoirs ; Suivi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Informations pédagogiques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bloc Scolarité comprend des informations pédagogiques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type d’informations est mentionné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informations pédagogiques.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sont-elles qualifiées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Dans quel bloc apparaissent-elles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Scolarité.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Toutes les informations pédagogiques sont-elles annoncées comme accessibles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L’accès dépend-il d’une autorisation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donne-t-il une liste complète de ces informations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mot « autorisées » implique une sélection conforme au rôle et aux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familles accèdent seulement aux informations pédagogiques autorisées.</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IV. FINANCES</w:t>
      </w:r>
    </w:p>
    <w:p>
      <w:pPr>
        <w:pStyle w:val="Normal"/>
        <w:keepNext w:val="true"/>
        <w:spacing w:lineRule="auto" w:line="240" w:before="0" w:after="160"/>
        <w:rPr/>
      </w:pPr>
      <w:r>
        <w:rPr>
          <w:rFonts w:eastAsia="Aptos" w:ascii="Aptos" w:hAnsi="Aptos"/>
          <w:b w:val="false"/>
          <w:i/>
          <w:color w:val="5B6777"/>
          <w:sz w:val="19"/>
        </w:rPr>
        <w:t>Factures, échéances, paiements, soldes, reçus et habilitations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22. Finances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BLOC FONCTIONNEL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Finances : factures, échéances, paiements, soldes et reçus disponibles selon les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regroupe les informations financières utiles à la relation entre l’école et la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favorise la transparence, le suivi des obligations et la disponibilité des justificatifs.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Factures ; Échéances ; Paiements ; Soldes ; Reçus ;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 : factures, échéances, paiements, soldes et reçus disponibles selon les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du bloc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Les factures y figurent-elles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échéances y figurent-elles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paiements y figurent-ils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soldes et reçus y figurent-ils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De quoi dépend leur disponibilité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présente les catégories d’information, sans annoncer un moyen de paiement précis ni un accès public.</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bloc Finances centralise factures, échéances, paiements, soldes et reçus selon les droits.</w:t>
            </w:r>
          </w:p>
        </w:tc>
      </w:tr>
    </w:tbl>
    <w:p>
      <w:pPr>
        <w:pStyle w:val="Normal"/>
        <w:spacing w:lineRule="auto" w:line="240" w:before="0" w:after="40"/>
        <w:rPr/>
      </w:pPr>
      <w:r>
        <w:rPr/>
      </w:r>
    </w:p>
    <w:p>
      <w:pPr>
        <w:pStyle w:val="Heading1"/>
        <w:keepNext w:val="true"/>
        <w:spacing w:lineRule="auto" w:line="240" w:before="100" w:after="20"/>
        <w:rPr/>
      </w:pPr>
      <w:r>
        <w:rPr/>
        <w:t>23. Factures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FINANCIÈRE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factures sont annoncées parmi les informations financières disponibles selon les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permet aux familles de connaître les montants facturés et leur origine institutionnelle.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L’accès aux factures renforce la transparence et facilite le suivi administratif.</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scolaires ; Échéances ; Paiements ; Soldes ; Reçus.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Factures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factures sont annoncées parmi les informations financières disponibles selon les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document financier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factures.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apparaissent-elles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Leur disponibilité est-elle inconditionnelle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De quoi dépend-elle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indique-t-elle leur format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Sont-elles associées au compte familial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règles de génération, de contestation ou de correction d’une facture ne sont pas décrites sur cette page.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factures pourront être consultées selon les habilitations.</w:t>
            </w:r>
          </w:p>
        </w:tc>
      </w:tr>
    </w:tbl>
    <w:p>
      <w:pPr>
        <w:pStyle w:val="Normal"/>
        <w:spacing w:lineRule="auto" w:line="240" w:before="0" w:after="40"/>
        <w:rPr/>
      </w:pPr>
      <w:r>
        <w:rPr/>
      </w:r>
    </w:p>
    <w:p>
      <w:pPr>
        <w:pStyle w:val="Heading1"/>
        <w:keepNext w:val="true"/>
        <w:spacing w:lineRule="auto" w:line="240" w:before="100" w:after="20"/>
        <w:rPr/>
      </w:pPr>
      <w:r>
        <w:rPr/>
        <w:t>24. Échéances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FINANCIÈRE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échéances sont incluses dans les informations financières disponibles selon les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aide les familles à connaître les dates ou périodes attendues pour leurs obligations financières.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visibilité des échéances réduit les oublis et permet une meilleure planification.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et modalités de paiement ; Notifications ; Paiements ; Soldes.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Échéances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échéances sont incluses dans les informations financières disponibles selon les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repère financier temporel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échéances.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sont-elles classées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Leur accès dépend-il des habilitations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donne-t-elle des dates précises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précise-t-elle les montants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Les échéances sont-elles destinées au suivi familial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montants et dates applicables doivent être confirmés dans les documents financiers officiels et à jour.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échéances financières font partie du suivi parental sécurisé.</w:t>
            </w:r>
          </w:p>
        </w:tc>
      </w:tr>
    </w:tbl>
    <w:p>
      <w:pPr>
        <w:pStyle w:val="Normal"/>
        <w:spacing w:lineRule="auto" w:line="240" w:before="0" w:after="40"/>
        <w:rPr/>
      </w:pPr>
      <w:r>
        <w:rPr/>
      </w:r>
    </w:p>
    <w:p>
      <w:pPr>
        <w:pStyle w:val="Heading1"/>
        <w:keepNext w:val="true"/>
        <w:spacing w:lineRule="auto" w:line="240" w:before="100" w:after="20"/>
        <w:rPr/>
      </w:pPr>
      <w:r>
        <w:rPr/>
        <w:t>25. Paiements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FINANCIÈRE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paiements sont annoncés dans le bloc Finances de l’Espace Parents.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permet de suivre les opérations liées aux frais scolaires et autres obligations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historique de paiement fiable soutient la transparence, la conciliation et la délivrance des reçus.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Frais scolaires ; Reçus ; Soldes ; Échéances ; Sécurité financière.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paiements sont annoncés dans le bloc Finances de l’Espace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opération financière est citée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apparaissent-ils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Sont-ils annoncés comme disponibles selon les habilitations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cite-t-elle un moyen de paiement particulier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promet-elle un paiement public sans connexion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Les paiements sont-ils liés au suivi familial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ne précise ni les canaux, ni les frais de transaction, ni le statut des intégrations de paiement.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paiements font partie des informations financières du portail sécurisé.</w:t>
            </w:r>
          </w:p>
        </w:tc>
      </w:tr>
    </w:tbl>
    <w:p>
      <w:pPr>
        <w:pStyle w:val="Normal"/>
        <w:spacing w:lineRule="auto" w:line="240" w:before="0" w:after="40"/>
        <w:rPr/>
      </w:pPr>
      <w:r>
        <w:rPr/>
      </w:r>
    </w:p>
    <w:p>
      <w:pPr>
        <w:pStyle w:val="Heading1"/>
        <w:keepNext w:val="true"/>
        <w:spacing w:lineRule="auto" w:line="240" w:before="100" w:after="20"/>
        <w:rPr/>
      </w:pPr>
      <w:r>
        <w:rPr/>
        <w:t>26. Soldes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FINANCIÈRE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soldes sont annoncés parmi les informations financières disponibles selon les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informe la famille de la situation financière restante ou constatée dans son dossier.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consultation du solde facilite la vérification des paiements et la planification des échéances.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Factures ; Paiements ; Échéances ; Reçus ; Finance scolaire.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Soldes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soldes sont annoncés parmi les informations financières disponibles selon les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 situation financière est citée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soldes.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apparaît-elle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L’accès au solde dépend-il des habilitations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page donne-t-elle un montant de solde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solde est-il lié aux paiements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solde est-il annoncé dans un espace sécurisé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dans le Portail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calcul du solde doit être fondé sur les écritures financières validées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prévoit la consultation du solde selon les droits.</w:t>
            </w:r>
          </w:p>
        </w:tc>
      </w:tr>
    </w:tbl>
    <w:p>
      <w:pPr>
        <w:pStyle w:val="Normal"/>
        <w:spacing w:lineRule="auto" w:line="240" w:before="0" w:after="40"/>
        <w:rPr/>
      </w:pPr>
      <w:r>
        <w:rPr/>
      </w:r>
    </w:p>
    <w:p>
      <w:pPr>
        <w:pStyle w:val="Heading1"/>
        <w:keepNext w:val="true"/>
        <w:spacing w:lineRule="auto" w:line="240" w:before="100" w:after="20"/>
        <w:rPr/>
      </w:pPr>
      <w:r>
        <w:rPr/>
        <w:t>27. Reçus et habilitations financières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FONCTION ET CONTRÔLE PUBLIÉS</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reçus sont disponibles avec les autres informations financières selon les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associe le justificatif financier au contrôle d’accès nécessaire.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aux familles de retrouver une preuve de paiement tout en protégeant les données financières.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Paiements ; Factures ; Soldes ; Habilitations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Reçus et habilitations financières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reçus sont disponibles avec les autres informations financières selon les habilitations.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justificatif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reçus.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 bloc apparaissent-ils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Finances.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Leur disponibilité dépend-elle des habilitations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reçus sont-ils associés aux paiements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indique-t-elle qu’ils sont publics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Tous les utilisateurs disposent-ils nécessairement du même accès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validité d’un reçu dépend de son émission par le système ou le service financier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reçus sont consultables dans le cadre des habilitations du compte familial.</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V. SANTÉ, COMMUNICATION ET CONFIDENTIALITÉ MÉDICALE</w:t>
      </w:r>
    </w:p>
    <w:p>
      <w:pPr>
        <w:pStyle w:val="Normal"/>
        <w:keepNext w:val="true"/>
        <w:spacing w:lineRule="auto" w:line="240" w:before="0" w:after="160"/>
        <w:rPr/>
      </w:pPr>
      <w:r>
        <w:rPr>
          <w:rFonts w:eastAsia="Aptos" w:ascii="Aptos" w:hAnsi="Aptos"/>
          <w:b w:val="false"/>
          <w:i/>
          <w:color w:val="5B6777"/>
          <w:sz w:val="19"/>
        </w:rPr>
        <w:t>Alertes, recommandations et protection des notes médicales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28. Santé et communication</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BLOC FONCTIONNEL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et communication : alertes et recommandations validées, sans exposition des notes médicales confidentielles.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réunit l’information utile à la famille et la protection renforcée des données médicales.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de communiquer ce qui est nécessaire sans transformer le portail parental en accès libre au dossier médical.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scolaire ; Alertes ; Recommandations ; Confidentialité ; Personnes habilitées.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Santé et communication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Santé et communication : alertes et recommandations validées, sans exposition des notes médicales confidentielles.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du bloc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Santé et communication.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type de messages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alertes.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autre contenu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recommandations.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Comment ces contenus doivent-ils être qualifiés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Validés.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notes ne doivent pas être exposées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notes médicales confidentielles.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bloc associe-t-il communication et confidentialité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portail communique des éléments validés, pas l’intégralité du dossier médical ou des notes cliniques.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bloc Santé et communication transmet des alertes et recommandations validées sans révéler les notes médicales.</w:t>
            </w:r>
          </w:p>
        </w:tc>
      </w:tr>
    </w:tbl>
    <w:p>
      <w:pPr>
        <w:pStyle w:val="Normal"/>
        <w:spacing w:lineRule="auto" w:line="240" w:before="0" w:after="40"/>
        <w:rPr/>
      </w:pPr>
      <w:r>
        <w:rPr/>
      </w:r>
    </w:p>
    <w:p>
      <w:pPr>
        <w:pStyle w:val="Heading1"/>
        <w:keepNext w:val="true"/>
        <w:spacing w:lineRule="auto" w:line="240" w:before="100" w:after="20"/>
        <w:rPr/>
      </w:pPr>
      <w:r>
        <w:rPr/>
        <w:t>29. Alertes et recommandations validées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INFORMATION SANITAIRE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L’Espace Parents prévoit des alertes et recommandations validées.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exige que les messages sanitaires aient été vérifiés avant leur diffusion aux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validation réduit les risques d’erreur, de panique ou de conseil non autorisé.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Santé scolaire ; ÉMINA ; Personnel habilité ; Notifications ; Qualité.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Alertes et recommandations validées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L’Espace Parents prévoit des alertes et recommandations validées.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deux types de contenus sont prévus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Des alertes et des recommandations.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doivent-ils être qualifiés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Validés.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texte annonce-t-il des conseils non vérifiés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Ces contenus sont-ils liés à la santé et à la communication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Leur diffusion vise-t-elle les familles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page précise-t-elle qui valide chaque message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validation doit être assurée par le service ou la personne compétente selon la nature du message.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Seules des alertes et recommandations validées sont annoncées aux familles.</w:t>
            </w:r>
          </w:p>
        </w:tc>
      </w:tr>
    </w:tbl>
    <w:p>
      <w:pPr>
        <w:pStyle w:val="Normal"/>
        <w:spacing w:lineRule="auto" w:line="240" w:before="0" w:after="40"/>
        <w:rPr/>
      </w:pPr>
      <w:r>
        <w:rPr/>
      </w:r>
    </w:p>
    <w:p>
      <w:pPr>
        <w:pStyle w:val="Heading1"/>
        <w:keepNext w:val="true"/>
        <w:spacing w:lineRule="auto" w:line="240" w:before="100" w:after="20"/>
        <w:rPr/>
      </w:pPr>
      <w:r>
        <w:rPr/>
        <w:t>30. Non-exposition des notes médicales confidentielles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GARANTIE DE CONFIDENTIALITÉ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alertes et recommandations sont communiquées sans exposition des notes médicales confidentielles.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trace une frontière claire entre l’information parentale utile et les notes médicales protégées.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la vie privée de l’enfant et limite l’accès aux personnes réellement habilitées.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Politique de confidentialité ; Santé scolaire ; Dossier médical ; Habilitations.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Non-exposition des notes médicales confidentielles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alertes et recommandations sont communiquées sans exposition des notes médicales confidentielles.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informations ne sont pas exposées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notes médicales confidentielles.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La page autorise-t-elle leur publication dans le portail familial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alertes peuvent-elles être communiquées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si elles sont validées.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recommandations peuvent-elles être communiquées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si elles sont validées.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confidentialité médicale est-elle explicitement mentionnée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distingue-t-il message utile et note médicale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information de santé même utile doit rester limitée au nécessaire et aux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familles reçoivent les messages validés sans accès aux notes médicales confidentielles.</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VI. SORTIE SÉCURISÉE</w:t>
      </w:r>
    </w:p>
    <w:p>
      <w:pPr>
        <w:pStyle w:val="Normal"/>
        <w:keepNext w:val="true"/>
        <w:spacing w:lineRule="auto" w:line="240" w:before="0" w:after="160"/>
        <w:rPr/>
      </w:pPr>
      <w:r>
        <w:rPr>
          <w:rFonts w:eastAsia="Aptos" w:ascii="Aptos" w:hAnsi="Aptos"/>
          <w:b w:val="false"/>
          <w:i/>
          <w:color w:val="5B6777"/>
          <w:sz w:val="19"/>
        </w:rPr>
        <w:t>Personnes autorisées, badge permanent, QR temporaire et règles</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31. Sortie sécurisée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BLOC FONCTIONNEL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Sortie sécurisée : personnes autorisées, badge permanent et QR temporaire à usage limité selon les règles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présente le dispositif destiné à vérifier la remise de l’enfant à la sortie.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place la protection de l’enfant au centre des procédures de fin de journée.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Protection de l’enfant ; Personnes autorisées ; Badge ; QR temporaire ; Règles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Sortie sécurisée : personnes autorisées, badge permanent et QR temporaire à usage limité selon les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du bloc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Quelles personnes sont mentionnées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 support permanent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badge permanent.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support temporaire est cité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QR temporaire.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Comment l’usage du QR est-il limité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un usage limité.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Selon quelles règles le dispositif fonctionne-t-il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Selon les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présente les composants du dispositif, sans détailler l’ensemble de la procédure de contrôle et de remise.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sortie sécurisée combine autorisations, badge permanent et QR temporaire encadré.</w:t>
            </w:r>
          </w:p>
        </w:tc>
      </w:tr>
    </w:tbl>
    <w:p>
      <w:pPr>
        <w:pStyle w:val="Normal"/>
        <w:spacing w:lineRule="auto" w:line="240" w:before="0" w:after="40"/>
        <w:rPr/>
      </w:pPr>
      <w:r>
        <w:rPr/>
      </w:r>
    </w:p>
    <w:p>
      <w:pPr>
        <w:pStyle w:val="Heading1"/>
        <w:keepNext w:val="true"/>
        <w:spacing w:lineRule="auto" w:line="240" w:before="100" w:after="20"/>
        <w:rPr/>
      </w:pPr>
      <w:r>
        <w:rPr/>
        <w:t>32. Personnes autorisées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 DE SÉCURITÉ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sortie sécurisée repose notamment sur l’identification des personnes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précise que l’enfant ne doit pas être remis à une personne non reconnue par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l’enfant et clarifie la responsabilité des familles et du personnel lors de la sortie.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Responsable légal ; Autorisations ; Badge ; QR ; Contrôle des accès.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sortie sécurisée repose notamment sur l’identification des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type de personnes est admis dans le dispositif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texte parle-t-il de toute personne se présentant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quel bloc ce point appartient-il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L’autorisation précède-t-elle la remise de l’enfant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 selon la logique du dispositif.</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badge peut-il identifier une personne autorisée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QR temporaire peut-il servir dans ce dispositif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critères d’autorisation et de vérification doivent être appliqués selon les procédures officielles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remise de l’enfant est réservée aux personnes autorisées.</w:t>
            </w:r>
          </w:p>
        </w:tc>
      </w:tr>
    </w:tbl>
    <w:p>
      <w:pPr>
        <w:pStyle w:val="Normal"/>
        <w:spacing w:lineRule="auto" w:line="240" w:before="0" w:after="40"/>
        <w:rPr/>
      </w:pPr>
      <w:r>
        <w:rPr/>
      </w:r>
    </w:p>
    <w:p>
      <w:pPr>
        <w:pStyle w:val="Heading1"/>
        <w:keepNext w:val="true"/>
        <w:spacing w:lineRule="auto" w:line="240" w:before="100" w:after="20"/>
        <w:rPr/>
      </w:pPr>
      <w:r>
        <w:rPr/>
        <w:t>33. Badge permanent</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OUTIL DE SÉCURITÉ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badge permanent est prévu dans le dispositif de sortie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identifie le support durable destiné aux personnes régulièrement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un contrôle récurrent et réduit les vérifications improvisées à chaque sortie.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Personnes autorisées ; QR temporaire ; Contrôle des accès ; Protection de l’enfant.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Badge permanent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badge permanent est prévu dans le dispositif de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support permanent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badge permanent.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quel dispositif appartient-il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À la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badge est-il qualifié de temporaire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badge est-il lié aux personnes autorisées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décrit-elle son contenu technique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page précise-t-elle sa durée de validité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badge doit être vérifié et révoqué selon les règles de l’école ; ces modalités ne sont pas détaillées ici.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badge permanent sert au contrôle des personnes régulièrement autorisées.</w:t>
            </w:r>
          </w:p>
        </w:tc>
      </w:tr>
    </w:tbl>
    <w:p>
      <w:pPr>
        <w:pStyle w:val="Normal"/>
        <w:spacing w:lineRule="auto" w:line="240" w:before="0" w:after="40"/>
        <w:rPr/>
      </w:pPr>
      <w:r>
        <w:rPr/>
      </w:r>
    </w:p>
    <w:p>
      <w:pPr>
        <w:pStyle w:val="Heading1"/>
        <w:keepNext w:val="true"/>
        <w:spacing w:lineRule="auto" w:line="240" w:before="100" w:after="20"/>
        <w:rPr/>
      </w:pPr>
      <w:r>
        <w:rPr/>
        <w:t>34. QR temporaire à usage limité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OUTIL DE SÉCURITÉ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Un QR temporaire à usage limité est prévu dans le dispositif de sortie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présente une solution ponctuelle distincte du badge permanent.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d’encadrer une autorisation exceptionnelle sans créer un accès durable.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Badge permanent ; Personnes autorisées ; Jeton temporaire ; Contrôle ; Règles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QR temporaire à usage limité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 QR temporaire à usage limité est prévu dans le dispositif de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support temporaire est cité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QR temporaire.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Comment son usage est-il qualifié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Limité.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À quel dispositif appartient-il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la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Est-il identique au badge permanent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précise-t-elle le nombre exact d’utilisations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Son utilisation dépend-elle des règles de l’école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ne précise pas les caractéristiques techniques du QR, sa durée exacte ni sa procédure de génération.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QR temporaire offre une autorisation ponctuelle et limitée.</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VII. DÉPLOIEMENT ET ACCÈS SÉCURISÉ</w:t>
      </w:r>
    </w:p>
    <w:p>
      <w:pPr>
        <w:pStyle w:val="Normal"/>
        <w:keepNext w:val="true"/>
        <w:spacing w:lineRule="auto" w:line="240" w:before="0" w:after="160"/>
        <w:rPr/>
      </w:pPr>
      <w:r>
        <w:rPr>
          <w:rFonts w:eastAsia="Aptos" w:ascii="Aptos" w:hAnsi="Aptos"/>
          <w:b w:val="false"/>
          <w:i/>
          <w:color w:val="5B6777"/>
          <w:sz w:val="19"/>
        </w:rPr>
        <w:t>Serveur central, activation, canaux officiels, ÉMINA et séparation familiale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35. Application des règles de l’école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CADRE DE SÉCURITÉ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personnes autorisées, le badge permanent et le QR temporaire fonctionnent selon les règles de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rappelle que les outils techniques restent soumis à une procédure institutionnelle.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évite que le badge ou le QR soit considéré comme une autorisation automatique indépendante du contrôle humain.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Gouvernance ; Protection de l’enfant ; Personnel habilité ; Journal d’audit ; Sortie sécurisée.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Application des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personnes autorisées, le badge permanent et le QR temporaire fonctionnent selon les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Selon quelles règles le dispositif fonctionne-t-il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Selon les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éléments sont concernés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personnes autorisées, le badge permanent et le QR temporaire.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QR fonctionne-t-il en dehors des règles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badge remplace-t-il nécessairement tout contrôle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 le texte le place dans les règles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dispositif est-il institutionnel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page détaille-t-elle toutes les règles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procédures détaillées doivent être communiquées dans les documents ou interfaces sécurisés appropriés.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Tous les outils de sortie sécurisée restent soumis aux règles de l’école.</w:t>
            </w:r>
          </w:p>
        </w:tc>
      </w:tr>
    </w:tbl>
    <w:p>
      <w:pPr>
        <w:pStyle w:val="Normal"/>
        <w:spacing w:lineRule="auto" w:line="240" w:before="0" w:after="40"/>
        <w:rPr/>
      </w:pPr>
      <w:r>
        <w:rPr/>
      </w:r>
    </w:p>
    <w:p>
      <w:pPr>
        <w:pStyle w:val="Heading1"/>
        <w:keepNext w:val="true"/>
        <w:spacing w:lineRule="auto" w:line="240" w:before="100" w:after="20"/>
        <w:rPr/>
      </w:pPr>
      <w:r>
        <w:rPr/>
        <w:t>36. Connexion au serveur central GSE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ARCHITECTURE ANNONCÉE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 Portail Parents complet sera relié au serveur central GSE.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situe le portail dans l’architecture numérique commune de l’établissement.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centralisation facilite la cohérence des données, les contrôles d’accès, la traçabilité et les interconnexions autorisées.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GSE School Management ; Admissions ; Finances ; Santé ; Notifications ; Sécurité.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Connexion au serveur central GSE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Parents complet sera relié au serveur central GSE.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quoi le portail complet sera-t-il relié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 serveur central GSE.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portail est concerné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Parents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texte utilise-t-il le futur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 « sera relié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 sigle désigne l’institution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GSE.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page annonce-t-elle un serveur local isolé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 elle annonce un serveur central.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connexion est-elle présentée comme déjà publique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page n’expose pas les détails techniques, les hébergeurs, les protocoles ou le calendrier de mise en production.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complet doit être connecté au serveur central GSE.</w:t>
            </w:r>
          </w:p>
        </w:tc>
      </w:tr>
    </w:tbl>
    <w:p>
      <w:pPr>
        <w:pStyle w:val="Normal"/>
        <w:spacing w:lineRule="auto" w:line="240" w:before="0" w:after="40"/>
        <w:rPr/>
      </w:pPr>
      <w:r>
        <w:rPr/>
      </w:r>
    </w:p>
    <w:p>
      <w:pPr>
        <w:pStyle w:val="Heading1"/>
        <w:keepNext w:val="true"/>
        <w:spacing w:lineRule="auto" w:line="240" w:before="100" w:after="20"/>
        <w:rPr/>
      </w:pPr>
      <w:r>
        <w:rPr/>
        <w:t>37. Activation publique à venir</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STATUT DE DÉPLOIEMENT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Jusqu’à son activation publique, les familles utilisent les canaux officiels communiqués par l’école.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indique que le portail complet n’est pas encore présenté comme publiquement activé.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évite que les familles cherchent à utiliser une fonction non disponible et maintient la continuité du service.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Canaux officiels ; Contact ; Admissions ; ÉMINA ; Communication institutionnelle.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Activation publique à venir</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Jusqu’à son activation publique, les familles utilisent les canaux officiels communiqués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événement futur est mentionné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L’activation publique du portail.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portail complet est-il annoncé comme déjà activé publiquement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 doivent utiliser les familles en attendant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canaux officiels.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Qui communique ces canaux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prévoit-il une solution transitoire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date d’activation est-elle indiquée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Aucune date de lancement ne doit être affirmée sans communication officielle plus récente.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Avant l’activation publique, les familles passent par les canaux officiels de l’école.</w:t>
            </w:r>
          </w:p>
        </w:tc>
      </w:tr>
    </w:tbl>
    <w:p>
      <w:pPr>
        <w:pStyle w:val="Normal"/>
        <w:spacing w:lineRule="auto" w:line="240" w:before="0" w:after="40"/>
        <w:rPr/>
      </w:pPr>
      <w:r>
        <w:rPr/>
      </w:r>
    </w:p>
    <w:p>
      <w:pPr>
        <w:pStyle w:val="Heading1"/>
        <w:keepNext w:val="true"/>
        <w:spacing w:lineRule="auto" w:line="240" w:before="100" w:after="20"/>
        <w:rPr/>
      </w:pPr>
      <w:r>
        <w:rPr/>
        <w:t>38. Canaux officiels communiqués par l’école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MESURE TRANSITOIRE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familles utilisent les canaux officiels communiqués par l’école jusqu’à l’activation publique du Portail Parents complet.</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définit la voie légitime de communication pendant la phase transitoire.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réduit les risques de fraude, d’erreur de destinataire et de transmission de données à des canaux non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Contact ; Téléphone ; Courriel ; WhatsApp officiel ; Admissions ; Assistance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Canaux officiels communiqués par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familles utilisent les canaux officiels communiqués par l’école jusqu’à l’activation publique du Portail Parents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Quels canaux les familles doivent-elles utiliser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canaux officiels.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les communique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Pendant quelle période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Jusqu’à l’activation publique du portail complet.</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texte autorise-t-il n’importe quel canal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familles disposent-elles d’une solution avant le lancement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donne-t-il la liste complète des canaux dans cette phrase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coordonnées doivent être vérifiées sur les supports officiels à jour avant toute transmission de données.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Pendant la transition, seules les voies de contact officielles communiquées par l’école doivent être utilisées.</w:t>
            </w:r>
          </w:p>
        </w:tc>
      </w:tr>
    </w:tbl>
    <w:p>
      <w:pPr>
        <w:pStyle w:val="Normal"/>
        <w:spacing w:lineRule="auto" w:line="240" w:before="0" w:after="40"/>
        <w:rPr/>
      </w:pPr>
      <w:r>
        <w:rPr/>
      </w:r>
    </w:p>
    <w:p>
      <w:pPr>
        <w:pStyle w:val="Heading1"/>
        <w:keepNext w:val="true"/>
        <w:spacing w:lineRule="auto" w:line="240" w:before="100" w:after="20"/>
        <w:rPr/>
      </w:pPr>
      <w:r>
        <w:rPr/>
        <w:t>39. Demander à ÉMINA comment cela fonctionne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APPEL À L’ASSISTANCE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page propose : « Demander à ÉMINA comment cela fonctionne ».</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 appel à l’action offre une aide immédiate pour comprendre le fonctionnement général du service.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facilite l’orientation des familles tout en maintenant ÉMINA dans un rôle d’explication et de guidage.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ÉMINA ; Portail Parents ; Canaux officiels ; Assistance humaine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Demander à ÉMINA comment cela fonctionne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page propose : « Demander à ÉMINA comment cela fonctionne ».</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qui la famille peut-elle poser une question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À ÉMINA.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peut-elle demander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Comment cela fonctionne.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La page présente-t-elle cet élément comme une aide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ÉMINA est-elle l’Assistante institutionnelle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La demande concerne-t-elle le fonctionnement de l’Espace Parents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ÉMINA prend-elle une décision à la place du personnel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ÉMINA fournit des informations publiques et doit orienter les situations personnelles ou sensibles vers une personne habilitée.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 peut expliquer le fonctionnement général de l’Espace Parents.</w:t>
            </w:r>
          </w:p>
        </w:tc>
      </w:tr>
    </w:tbl>
    <w:p>
      <w:pPr>
        <w:pStyle w:val="Normal"/>
        <w:spacing w:lineRule="auto" w:line="240" w:before="0" w:after="40"/>
        <w:rPr/>
      </w:pPr>
      <w:r>
        <w:rPr/>
      </w:r>
    </w:p>
    <w:p>
      <w:pPr>
        <w:pStyle w:val="Heading1"/>
        <w:keepNext w:val="true"/>
        <w:spacing w:lineRule="auto" w:line="240" w:before="100" w:after="20"/>
        <w:rPr/>
      </w:pPr>
      <w:r>
        <w:rPr/>
        <w:t>40. Accès familial sécurisé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SECTION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Accès familial sécurisé.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titre annonce les garanties de rattachement, d’isolement et de non-exposition des données sensibles.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est essentiel pour instaurer la confiance et protéger les informations de chaque enfant et de chaque famille.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Compte familial ; Enfants autorisés ; Isolement ; Confidentialité ; Messages externes.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Accès familial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Accès familial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est le titre de la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Accès familial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 public est concerné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famille.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Comment l’accès est-il qualifié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section suit-elle la description du déploiement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titre implique-t-il une protection des données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titre annonce-t-il un accès public ouvert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sécurité doit être mise en œuvre techniquement et organisationnellement ; le titre seul ne suffit pas.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 portail prévoit un accès sécurisé propre à chaque famille.</w:t>
            </w:r>
          </w:p>
        </w:tc>
      </w:tr>
    </w:tbl>
    <w:p>
      <w:pPr>
        <w:pStyle w:val="Normal"/>
        <w:spacing w:lineRule="auto" w:line="240" w:before="0" w:after="40"/>
        <w:rPr/>
      </w:pPr>
      <w:r>
        <w:rPr/>
      </w:r>
    </w:p>
    <w:p>
      <w:pPr>
        <w:pStyle w:val="Heading1"/>
        <w:keepNext w:val="true"/>
        <w:spacing w:lineRule="auto" w:line="240" w:before="100" w:after="20"/>
        <w:rPr/>
      </w:pPr>
      <w:r>
        <w:rPr/>
        <w:t>41. Compte rattaché aux enfants autorisés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 D’IDENTITÉ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Chaque compte est rattaché aux enfants autorisés.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établit le lien entre l’identité du compte familial et les enfants dont il peut afficher les informations.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limite les erreurs d’accès et protège les données des autres élèves.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Responsable légal ; Compte ; Autorisations ; Isolement des familles ; Moindre privilège.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Compte rattaché aux enfants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Chaque compte est rattaché aux enfants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À quoi chaque compte est-il rattaché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Aux enfants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Le compte est-il rattaché à tous les élèves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 texte parle-t-il d’un rattachement individuel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 rattachement dépend-il d’une autorisation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Cette règle concerne-t-elle l’accès familial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Le texte donne-t-il le nombre maximal d’enfants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règles de création, modification et révocation du rattachement ne sont pas détaillées sur la page.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Chaque compte familial est lié seulement aux enfants autorisés.</w:t>
            </w:r>
          </w:p>
        </w:tc>
      </w:tr>
    </w:tbl>
    <w:p>
      <w:pPr>
        <w:pStyle w:val="Normal"/>
        <w:spacing w:lineRule="auto" w:line="240" w:before="0" w:after="40"/>
        <w:rPr/>
      </w:pPr>
      <w:r>
        <w:rPr/>
      </w:r>
    </w:p>
    <w:p>
      <w:pPr>
        <w:pStyle w:val="Heading1"/>
        <w:keepNext w:val="true"/>
        <w:spacing w:lineRule="auto" w:line="240" w:before="100" w:after="20"/>
        <w:rPr/>
      </w:pPr>
      <w:r>
        <w:rPr/>
        <w:t>42. Isolement des informations entre familles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GARANTIE DE SÉPARATION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alertes, documents, paiements, bulletins, informations de santé et autorisations restent isolés entre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énumère les catégories de données qui ne doivent pas circuler d’une famille à une autre.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séparation réduit les risques de fuite, d’erreur d’affichage et d’accès non autorisé.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Confidentialité ; Habilitations ; Compartimentation ; Compte familial ; Serveur central.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Isolement des informations entre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alertes, documents, paiements, bulletins, informations de santé et autorisations restent isolés entre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Quelles communications restent isolées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alertes.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Quels fichiers restent isolés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documents.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Quelles données financières restent isolées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paiements.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résultats scolaires restent isolés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bulletins.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Quelles données sensibles restent isolées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informations de santé.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Quelles décisions familiales restent isolées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autorisations.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L’isolement doit être vérifié par des contrôles d’accès, des tests et une journalisation appropriée.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Six catégories d’informations restent séparées entre les familles.</w:t>
            </w:r>
          </w:p>
        </w:tc>
      </w:tr>
    </w:tbl>
    <w:p>
      <w:pPr>
        <w:pStyle w:val="Normal"/>
        <w:spacing w:lineRule="auto" w:line="240" w:before="0" w:after="40"/>
        <w:rPr/>
      </w:pPr>
      <w:r>
        <w:rPr/>
      </w:r>
    </w:p>
    <w:p>
      <w:pPr>
        <w:pStyle w:val="Normal"/>
        <w:keepNext w:val="true"/>
        <w:spacing w:lineRule="auto" w:line="240" w:before="0" w:after="40"/>
        <w:rPr/>
      </w:pPr>
      <w:r>
        <w:rPr>
          <w:rFonts w:eastAsia="Aptos" w:ascii="Aptos" w:hAnsi="Aptos"/>
          <w:b/>
          <w:i w:val="false"/>
          <w:color w:val="0B3D91"/>
          <w:sz w:val="28"/>
        </w:rPr>
        <w:t>VIII. PRINCIPES CONNEXES ET SYNTHÈSE</w:t>
      </w:r>
    </w:p>
    <w:p>
      <w:pPr>
        <w:pStyle w:val="Normal"/>
        <w:keepNext w:val="true"/>
        <w:spacing w:lineRule="auto" w:line="240" w:before="0" w:after="160"/>
        <w:rPr/>
      </w:pPr>
      <w:r>
        <w:rPr>
          <w:rFonts w:eastAsia="Aptos" w:ascii="Aptos" w:hAnsi="Aptos"/>
          <w:b w:val="false"/>
          <w:i/>
          <w:color w:val="5B6777"/>
          <w:sz w:val="19"/>
        </w:rPr>
        <w:t>Confidentialité, assistance humaine et résumé opérationnel</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40" w:before="0" w:after="80"/>
        <w:rPr/>
      </w:pPr>
      <w:r>
        <w:rPr/>
      </w:r>
    </w:p>
    <w:p>
      <w:pPr>
        <w:pStyle w:val="Heading1"/>
        <w:keepNext w:val="true"/>
        <w:spacing w:lineRule="auto" w:line="240" w:before="100" w:after="20"/>
        <w:rPr/>
      </w:pPr>
      <w:r>
        <w:rPr/>
        <w:t>43. Messages externes renvoyant vers l’espace sécurisé</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RÈGLE DE COMMUNICATION PUBLIÉE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 messages externes renvoient vers l’espace sécurisé sans exposer de données sensibles.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définit une règle de conception des notifications envoyées hors du portail.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protège les informations lorsque les courriels, SMS ou autres messages sont visibles sur un appareil ou un canal moins contrôlé.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Notifications ; Données sensibles ; Accès familial sécurisé ; Confidentialité.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Messages externes renvoyant vers l’espace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messages externes renvoient vers l’espace sécurisé sans exposer de données sensibles.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Vers quoi les messages externes renvoient-ils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Vers l’espace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Que ne doivent-ils pas exposer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 données sensibles.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informations détaillées doivent-elles rester dans le portail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La règle concerne-t-elle les messages externes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 texte cite-t-il un canal externe précis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page autorise-t-elle l’affichage de données sensibles dans le message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 lien externe doit lui-même être sûr et ne doit pas permettre un accès sans authentification appropriée.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messages externes servent d’alerte et dirigent vers l’espace sécurisé sans révéler de données sensibles.</w:t>
            </w:r>
          </w:p>
        </w:tc>
      </w:tr>
    </w:tbl>
    <w:p>
      <w:pPr>
        <w:pStyle w:val="Normal"/>
        <w:spacing w:lineRule="auto" w:line="240" w:before="0" w:after="40"/>
        <w:rPr/>
      </w:pPr>
      <w:r>
        <w:rPr/>
      </w:r>
    </w:p>
    <w:p>
      <w:pPr>
        <w:pStyle w:val="Heading1"/>
        <w:keepNext w:val="true"/>
        <w:spacing w:lineRule="auto" w:line="240" w:before="100" w:after="20"/>
        <w:rPr/>
      </w:pPr>
      <w:r>
        <w:rPr/>
        <w:t>44. Politique de confidentialité liée à l’Espace Parents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https://test.gsleseminents.com/politique-de-confidentialite/</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CONNEXE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La politique de confidentialité indique que les données personnelles sont protégées, accessibles uniquement aux personnes autorisées et séparées selon les besoins administratifs, pédagogiques, médicaux, financiers et disciplinaires.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référence explique le cadre de protection qui doit s’appliquer au portail familial.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complète les notions d’accès limité, d’isolement des familles et de non-exposition des notes médicales.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Espace Parents ; Données personnelles ; Dossiers séparés ; Santé ; Finances.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 Espace Parents » et « Politique de confidentialité »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Politique de confidentialité liée à l’Espace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politique de confidentialité indique que les données personnelles sont protégées, accessibles uniquement aux personnes autorisées et séparées selon les besoins administratifs, pédagogiques, médicaux, financiers et disciplinaires.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Comment les données personnelles sont-elles traitées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Elles sont protégées.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Qui peut y accéder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Uniquement les personnes autorisées.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Les dossiers administratifs sont-ils séparés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Les dossiers pédagogiques et médicaux sont-ils séparés selon les besoins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Les dossiers financiers et disciplinaires sont-ils aussi concernés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La politique soutient-elle l’isolement annoncé dans l’Espace Parents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 politique complète la page Espace Parents ; elle ne remplace pas les procédures internes détaillées.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La confidentialité impose la protection, l’accès autorisé et la séparation des dossiers.</w:t>
            </w:r>
          </w:p>
        </w:tc>
      </w:tr>
    </w:tbl>
    <w:p>
      <w:pPr>
        <w:pStyle w:val="Normal"/>
        <w:spacing w:lineRule="auto" w:line="240" w:before="0" w:after="40"/>
        <w:rPr/>
      </w:pPr>
      <w:r>
        <w:rPr/>
      </w:r>
    </w:p>
    <w:p>
      <w:pPr>
        <w:pStyle w:val="Heading1"/>
        <w:keepNext w:val="true"/>
        <w:spacing w:lineRule="auto" w:line="240" w:before="100" w:after="20"/>
        <w:rPr/>
      </w:pPr>
      <w:r>
        <w:rPr/>
        <w:t>45. ÉMINA : information publique et escalade humaine</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https://test.gsleseminents.com/emina-assistante-institutionnelle/</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PRINCIPE CONNEXE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ÉMINA explique, retrouve, guide et oriente vers une personne habilitée lorsque la demande est personnelle, sensible, urgente ou incertaine ; elle ne remplace jamais une décision humaine.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délimite l’aide que l’assistante peut apporter aux parents à propos du portail.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permet une orientation rapide sans divulguer de dossier nominatif ni automatiser une décision sensible.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Espace Parents ; Confidentialité ; Assistance humaine ; Personne habilitée ; Sources publiques.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 Espace Parents » et « ÉMINA — Assistante institutionnelle »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ÉMINA : information publique et escalade humaine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 explique, retrouve, guide et oriente vers une personne habilitée lorsque la demande est personnelle, sensible, urgente ou incertaine ; elle ne remplace jamais une décision humaine.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ÉMINA peut-elle expliquer le fonctionnement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Peut-elle retrouver une page officielle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Peut-elle guider vers un service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Oui.</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 fait-elle pour une demande sensible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Elle l’oriente vers une personne habilitée.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Remplace-t-elle une décision humaine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Révèle-t-elle un dossier nominatif depuis l’accès public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Non.</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questions sur un enfant, un paiement, une santé ou une autorisation doivent passer par le canal sécurisé ou le personnel habilité.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ÉMINA guide sur les informations publiques et escalade les situations personnelles ou sensibles.</w:t>
            </w:r>
          </w:p>
        </w:tc>
      </w:tr>
    </w:tbl>
    <w:p>
      <w:pPr>
        <w:pStyle w:val="Normal"/>
        <w:spacing w:lineRule="auto" w:line="240" w:before="0" w:after="40"/>
        <w:rPr/>
      </w:pPr>
      <w:r>
        <w:rPr/>
      </w:r>
    </w:p>
    <w:p>
      <w:pPr>
        <w:pStyle w:val="Heading1"/>
        <w:keepNext w:val="true"/>
        <w:spacing w:lineRule="auto" w:line="240" w:before="100" w:after="20"/>
        <w:rPr/>
      </w:pPr>
      <w:r>
        <w:rPr/>
        <w:t>46. Assistance humaine et coordonnées officielles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https://test.gsleseminents.com/contact/</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SERVICE CONNEXE PUBLIÉ</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Avant l’activation publique du portail complet, les familles utilisent les canaux officiels de l’école ; les coordonnées affichées sont : Quartier Labotte, Commune d’Ibanda, Bukavu, Sud-Kivu, RDC ; +243 997 712 645 ; +243 817 792 448 ; +243 992 818 280 ; promotion@gsleseminents.com.</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 point donne une voie humaine et institutionnelle lorsque le portail n’est pas encore disponible ou qu’une situation exige une intervention.</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Il assure la continuité du service, réduit l’usage de faux contacts et permet l’escalade des demandes personnelles.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Contact ; Admissions ; Confidentialité ; ÉMINA ; Canaux officiels.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Pages « Espace Parents » et « Contact » contrôlées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Assistance humaine et coordonnées officielles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Avant l’activation publique du portail complet, les familles utilisent les canaux officiels de l’école ; les coordonnées affichées sont : Quartier Labotte, Commune d’Ibanda, Bukavu, Sud-Kivu, RDC ; +243 997 712 645 ; +243 817 792 448 ; +243 992 818 280 ; promotion@gsleseminents.com.</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Dans quel quartier l’école est-elle située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Quartier Labotte.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Dans quelle commune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Commune d’Ibanda.</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Dans quelle ville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Bukavu.</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numéros sont affichés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+243 997 712 645, +243 817 792 448 et +243 992 818 280.</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Quelle adresse électronique est affichée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promotion@gsleseminents.com.</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Pourquoi ces coordonnées sont-elles utiles avant l’activation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Elles permettent d’utiliser les canaux officiels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familles doivent vérifier qu’elles utilisent bien les coordonnées officielles publiées et éviter de transmettre des données sensibles par un canal inadapté.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coordonnées officielles assurent l’assistance humaine pendant la phase de transition.</w:t>
            </w:r>
          </w:p>
        </w:tc>
      </w:tr>
    </w:tbl>
    <w:p>
      <w:pPr>
        <w:pStyle w:val="Normal"/>
        <w:spacing w:lineRule="auto" w:line="240" w:before="0" w:after="40"/>
        <w:rPr/>
      </w:pPr>
      <w:r>
        <w:rPr/>
      </w:r>
    </w:p>
    <w:p>
      <w:pPr>
        <w:pStyle w:val="Heading1"/>
        <w:keepNext w:val="true"/>
        <w:spacing w:lineRule="auto" w:line="240" w:before="100" w:after="20"/>
        <w:rPr/>
      </w:pPr>
      <w:r>
        <w:rPr/>
        <w:t>47. Résumé opérationnel de l’Espace Parents</w:t>
      </w:r>
    </w:p>
    <w:p>
      <w:pPr>
        <w:pStyle w:val="Normal"/>
        <w:keepNext w:val="true"/>
        <w:spacing w:lineRule="auto" w:line="240" w:before="0" w:after="60"/>
        <w:rPr/>
      </w:pPr>
      <w:r>
        <w:rPr>
          <w:rFonts w:eastAsia="Aptos" w:ascii="Aptos" w:hAnsi="Aptos"/>
          <w:b/>
          <w:i w:val="false"/>
          <w:color w:val="5B6777"/>
          <w:sz w:val="16"/>
        </w:rPr>
        <w:t xml:space="preserve">Adresse : </w:t>
      </w:r>
      <w:r>
        <w:rPr>
          <w:rFonts w:eastAsia="Aptos" w:ascii="Aptos" w:hAnsi="Aptos"/>
          <w:b w:val="false"/>
          <w:i w:val="false"/>
          <w:color w:val="5B6777"/>
          <w:sz w:val="16"/>
        </w:rPr>
        <w:t>https://test.gsleseminents.com/espace-parents/</w:t>
      </w:r>
    </w:p>
    <w:tbl>
      <w:tblPr>
        <w:tblW w:w="10483" w:type="dxa"/>
        <w:jc w:val="start"/>
        <w:tblInd w:w="-18" w:type="dxa"/>
        <w:tblLayout w:type="fixed"/>
        <w:tblCellMar>
          <w:top w:w="55" w:type="dxa"/>
          <w:start w:w="90" w:type="dxa"/>
          <w:bottom w:w="55" w:type="dxa"/>
          <w:end w:w="90" w:type="dxa"/>
        </w:tblCellMar>
        <w:tblLook w:val="04a0" w:noHBand="0" w:noVBand="1" w:firstColumn="1" w:lastRow="0" w:lastColumn="0" w:firstRow="1"/>
      </w:tblPr>
      <w:tblGrid>
        <w:gridCol w:w="10483"/>
      </w:tblGrid>
      <w:tr>
        <w:trPr/>
        <w:tc>
          <w:tcPr>
            <w:tcW w:w="10483" w:type="dxa"/>
            <w:tcBorders>
              <w:top w:val="single" w:sz="4" w:space="0" w:color="0B3D91"/>
              <w:start w:val="single" w:sz="4" w:space="0" w:color="0B3D91"/>
              <w:bottom w:val="single" w:sz="4" w:space="0" w:color="0B3D91"/>
              <w:end w:val="single" w:sz="4" w:space="0" w:color="0B3D91"/>
            </w:tcBorders>
            <w:shd w:fill="0B3D91" w:val="clear"/>
            <w:vAlign w:val="center"/>
          </w:tcPr>
          <w:p>
            <w:pPr>
              <w:pStyle w:val="Normal"/>
              <w:spacing w:lineRule="auto" w:line="240" w:before="0" w:after="0"/>
              <w:rPr/>
            </w:pPr>
            <w:r>
              <w:rPr>
                <w:rFonts w:eastAsia="Aptos" w:ascii="Aptos" w:hAnsi="Aptos"/>
                <w:b/>
                <w:i w:val="false"/>
                <w:color w:val="FFFFFF"/>
                <w:sz w:val="17"/>
              </w:rPr>
              <w:t>SYNTHÈSE FONCTIONNELLE</w:t>
            </w:r>
          </w:p>
        </w:tc>
      </w:tr>
    </w:tbl>
    <w:p>
      <w:pPr>
        <w:pStyle w:val="Normal"/>
        <w:spacing w:lineRule="auto" w:line="240" w:before="0" w:after="0"/>
        <w:rPr/>
      </w:pPr>
      <w:r>
        <w:rPr/>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Texte-source / constat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L’Espace Parents est un futur portail familial sécurisé, relié au serveur central GSE, qui permettra aux responsables légaux de suivre des informations autorisées de leurs enfants : scolarité, finances, alertes validées, communication et sortie sécurisée. Les données restent isolées entre familles et les canaux officiels sont utilisés jusqu’à l’activation publique.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Raison du titre ou de la section</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Cette synthèse réunit les éléments publiés en une réponse courte et mémorisable.</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Importance dans le projet</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Elle peut alimenter la FAQ, les scripts d’accueil, la formation du personnel, la base de connaissances d’ÉMINA et les tests du portail.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Liens possibles avec les autres sections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Toutes les sections de la page ; Confidentialité ; ÉMINA ; Contact ; Serveur central.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rPr/>
            </w:pPr>
            <w:r>
              <w:rPr>
                <w:rFonts w:eastAsia="Aptos" w:ascii="Aptos" w:hAnsi="Aptos"/>
                <w:b/>
                <w:i w:val="false"/>
                <w:color w:val="0B3D91"/>
                <w:sz w:val="17"/>
              </w:rPr>
              <w:t>Référence de contrôle</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Page « Espace Parents » contrôlée le 2 juillet 2026</w:t>
            </w:r>
          </w:p>
        </w:tc>
      </w:tr>
    </w:tbl>
    <w:p>
      <w:pPr>
        <w:pStyle w:val="Heading2"/>
        <w:keepNext w:val="true"/>
        <w:spacing w:lineRule="auto" w:line="240" w:before="100" w:after="60"/>
        <w:rPr/>
      </w:pPr>
      <w:r>
        <w:rPr/>
        <w:t>Banque de questions — 10 questions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blHeader w:val="true"/>
        </w:trPr>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QUESTION</w:t>
            </w:r>
          </w:p>
        </w:tc>
        <w:tc>
          <w:tcPr>
            <w:tcW w:w="5241"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7"/>
              </w:rPr>
              <w:t>RÉPONSE DE RÉFÉRENCE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Q1. Quel est le titre exact de ce point ou de cette section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Résumé opérationnel de l’Espace Parents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Q2. Quel texte de référence présente fidèlement ce point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L’Espace Parents est un futur portail familial sécurisé, relié au serveur central GSE, qui permettra aux responsables légaux de suivre des informations autorisées de leurs enfants : scolarité, finances, alertes validées, communication et sortie sécurisée. Les données restent isolées entre familles et les canaux officiels sont utilisés jusqu’à l’activation publique.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Q3. Quel type de portail est annoncé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 portail familial sécurisé.</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Q4. À quoi sera-t-il relié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 serveur central GSE.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Q5. Qui consultera les informations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Les responsables légaux autorisés.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Q6. Quels grands domaines sont couverts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Scolarité, finances, santé et communication, et sortie sécurisée.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Q7. Comment les données sont-elles séparées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Elles restent isolées entre familles.</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Q8. Que faut-il utiliser avant l’activation publique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 canaux officiels de l’école.</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Q9. Quelle précision ou limite importante faut-il retenir ?</w:t>
            </w:r>
          </w:p>
        </w:tc>
        <w:tc>
          <w:tcPr>
            <w:tcW w:w="5241"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Cette synthèse ne remplace ni la politique de confidentialité ni les procédures détaillées du futur portail.</w:t>
            </w:r>
          </w:p>
        </w:tc>
      </w:tr>
      <w:tr>
        <w:trPr>
          <w:cantSplit w:val="true"/>
        </w:trPr>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Q10. Quelle réponse courte résume fidèlement cette section ?</w:t>
            </w:r>
          </w:p>
        </w:tc>
        <w:tc>
          <w:tcPr>
            <w:tcW w:w="5241"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L’Espace Parents centralisera un suivi familial autorisé, sécurisé et séparé par famille.</w:t>
            </w:r>
          </w:p>
        </w:tc>
      </w:tr>
    </w:tbl>
    <w:p>
      <w:pPr>
        <w:pStyle w:val="Normal"/>
        <w:spacing w:lineRule="auto" w:line="240" w:before="0" w:after="40"/>
        <w:rPr/>
      </w:pPr>
      <w:r>
        <w:rPr/>
      </w:r>
    </w:p>
    <w:p>
      <w:pPr>
        <w:pStyle w:val="Normal"/>
        <w:keepNext w:val="true"/>
        <w:spacing w:lineRule="auto" w:line="240" w:before="200" w:after="40"/>
        <w:rPr/>
      </w:pPr>
      <w:r>
        <w:rPr>
          <w:rFonts w:eastAsia="Aptos" w:ascii="Aptos" w:hAnsi="Aptos"/>
          <w:b/>
          <w:i w:val="false"/>
          <w:color w:val="0B3D91"/>
          <w:sz w:val="28"/>
        </w:rPr>
        <w:t>IX. GLOSSAIRE DES MOTS CLÉS, SIGLES, ABRÉVIATIONS ET TERMES DIFFICILES</w:t>
      </w:r>
    </w:p>
    <w:p>
      <w:pPr>
        <w:pStyle w:val="Normal"/>
        <w:spacing w:lineRule="auto" w:line="240" w:before="0" w:after="140"/>
        <w:rPr/>
      </w:pPr>
      <w:r>
        <w:rPr>
          <w:rFonts w:eastAsia="Aptos" w:ascii="Aptos" w:hAnsi="Aptos"/>
          <w:b w:val="false"/>
          <w:i/>
          <w:color w:val="5B6777"/>
          <w:sz w:val="19"/>
        </w:rPr>
        <w:t>Définitions destinées aux familles, au personnel, à ÉMINA et aux supports de formation.</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Heading1"/>
        <w:keepNext w:val="true"/>
        <w:spacing w:lineRule="auto" w:line="240" w:before="140" w:after="80"/>
        <w:rPr/>
      </w:pPr>
      <w:r>
        <w:rPr/>
        <w:t>Glossaire alphabétique</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3494"/>
        <w:gridCol w:w="3495"/>
        <w:gridCol w:w="3494"/>
      </w:tblGrid>
      <w:tr>
        <w:trPr>
          <w:tblHeader w:val="true"/>
        </w:trPr>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TERME / SIGLE</w:t>
            </w:r>
          </w:p>
        </w:tc>
        <w:tc>
          <w:tcPr>
            <w:tcW w:w="3495"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CATÉGORIE</w:t>
            </w:r>
          </w:p>
        </w:tc>
        <w:tc>
          <w:tcPr>
            <w:tcW w:w="3494" w:type="dxa"/>
            <w:tcBorders>
              <w:top w:val="single" w:sz="4" w:space="0" w:color="C9D3DF"/>
              <w:start w:val="single" w:sz="4" w:space="0" w:color="C9D3DF"/>
              <w:bottom w:val="single" w:sz="4" w:space="0" w:color="C9D3DF"/>
              <w:end w:val="single" w:sz="4" w:space="0" w:color="C9D3DF"/>
            </w:tcBorders>
            <w:shd w:fill="0B3D91" w:val="clear"/>
            <w:vAlign w:val="center"/>
          </w:tcPr>
          <w:p>
            <w:pPr>
              <w:pStyle w:val="Normal"/>
              <w:spacing w:lineRule="auto" w:line="240" w:before="0" w:after="0"/>
              <w:jc w:val="center"/>
              <w:rPr/>
            </w:pPr>
            <w:r>
              <w:rPr>
                <w:rFonts w:eastAsia="Aptos" w:ascii="Aptos" w:hAnsi="Aptos"/>
                <w:b/>
                <w:i w:val="false"/>
                <w:color w:val="FFFFFF"/>
                <w:sz w:val="16"/>
              </w:rPr>
              <w:t>DÉFINITION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Accès direct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Lien ou bouton qui conduit immédiatement à une page ou à une fonction.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Accès familial sécurisé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Accès réservé à une famille identifiée, protégé par des contrôles d’identité, de droits et de confidentialité.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Accès public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Partie d’un site consultable sans authentification et qui ne doit pas révéler de données nominatives.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Alerte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Message attirant rapidement l’attention sur une situation ou une information importante.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Alerte validée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 et 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Alerte vérifiée et autorisée par le service ou la personne compétente avant sa diffusion.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Assiduité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Régularité de la présence d’un élève à l’école et aux activités prévues.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Assistance humaine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Service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Intervention d’une personne compétente lorsque la demande ne peut pas être traitée uniquement par un outil numérique.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Authentification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 informatique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Vérification de l’identité d’un utilisateur avant l’ouverture d’un accès protégé.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Autorisation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Accord ou droit reconnu permettant une action, un accès ou une remise d’enfant.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Badge permanent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Sortie sécurisée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Support durable associé à une personne régulièrement autorisée à récupérer un 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Bulletin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présentant des résultats et appréciations scolaires selon les règles de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Calendrier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Organisation scolaire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Outil qui présente les dates, événements, activités ou échéances utiles.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Canal externe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Moyen de communication situé hors de l’espace sécurisé, comme un courriel ou un message téléphonique.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Canal officiel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Moyen de contact reconnu, publié ou communiqué par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Compte familial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Compte numérique rattaché à un responsable et aux enfants autorisés.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Confidentialité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Obligation de protéger une information et d’en limiter l’accès aux personnes autorisées.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Consentement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Accord clair donné pour une utilisation déterminée d’informations ou pour une action.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Contrôle d’accès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Mécanisme qui autorise ou refuse l’accès selon l’identité, le rôle et les droits.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Courriel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Adresse et service de messagerie électronique.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Devoir</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Travail demandé à l’élève en complément des activités réalisées en classe.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financière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relative aux factures, paiements, soldes, échéances ou reçus d’une famille.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Donnée médicale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concernant la santé d’une personne et nécessitant une protection renforcée.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nominative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rattachée à une personne identifiée ou identifiable.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Donnée personnelle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Toute information se rapportant à une personne identifiée ou identifiable.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Donnée sensible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nécessitant une protection renforcée, par exemple médicale, financière ou liée à un mot de passe.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Dématérialisation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Remplacement de certaines démarches physiques ou papier par des processus numériques.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Enfant autorisé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Enfant officiellement rattaché au compte du responsable légal pour la consultation de ses informations.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Espace Parents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Service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Page et futur portail destinés au suivi et à la communication entre l’école et les familles.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Espace réservé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Environnement dont l’accès est limité à un public identifié et autorisé.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Espace sécurisé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Environnement protégé dans lequel les données détaillées sont consultées après contrôle d’accès.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Facture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Document indiquant les sommes dues pour des services ou frais déterminés.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Famille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Communauté éducative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Parents, responsables légaux et personnes reconnues autour de l’enfant selon les règles de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Fil d’Ariane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Chemin affiché dans une page pour montrer sa position dans le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Finances scolaires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Ensemble des factures, échéances, paiements, soldes et reçus liés à la scolarité.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FR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Abréviation linguistique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Français.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FR/EN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Abréviation linguistique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Français / English.</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GSE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institutionnel</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GROUPE SCOLAIRE LES ÉMINENTS.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Habilitation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Autorisation accordée selon le rôle pour consulter une information ou réaliser une action.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Hygiène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Santé scolaire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des pratiques visant à préserver la propreté et la santé.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Information autorisée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qu’un utilisateur peut consulter conformément à son rôle et aux règles de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Information de santé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Information relative à l’état de santé, aux alertes, recommandations ou besoins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Information pédagogique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Information liée aux apprentissages, devoirs, résultats, calendrier ou suivi scolaire.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Isolement des données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Séparation empêchant une famille d’accéder aux informations d’une autre famille.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Journalisation</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Enregistrement des actions et accès afin de pouvoir les contrôler et les auditer.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Kikongo ya Leta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sur le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Kiswahili</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sur le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Langue de l’interface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Accessibilité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Langue utilisée pour présenter les menus, boutons et messages du service numérique.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Lien numérique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Connexion organisée par des outils numériques entre l’école et les familles.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Lingala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sur le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Message externe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Message envoyé hors du portail sécurisé et qui doit éviter d’exposer les données sensibles.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Minimisation des données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Principe consistant à ne collecter et afficher que les informations nécessaires.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Moindre privilège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Principe donnant à chaque utilisateur uniquement les droits nécessaires à son rôle.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Mot de passe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Secret d’authentification qui ne doit jamais être transmis à ÉMINA ou dans un message non sécurisé.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Note médicale confidentielle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Observation de santé protégée qui ne doit pas être exposée dans les messages ou espaces non habilités.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Notification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Message signalant une nouvelle information, une échéance ou une action à consulter.</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Paiement</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Opération par laquelle une somme due est réglée et enregistrée.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Parent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Famille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Père, mère ou personne reconnue dans la relation familiale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Partenariat école-famille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Éducation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Collaboration continue entre l’établissement et la famille au service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Personne autorisée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reconnue par l’école comme pouvant effectuer une action déterminée, notamment récupérer un 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Personne habilitée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Personne ayant reçu le droit institutionnel de traiter une information ou de prendre une décision.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Portail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Interface centralisée donnant accès à plusieurs services ou informations.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Portail des Parents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Service numérique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Portail familial permettant au responsable légal de consulter les informations autorisées de ses enfants.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Protection de l’enfant</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Ensemble des mesures destinées à prévenir les risques et préserver les droits, la sécurité et le bien-être de l’enfant.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Présence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Scolarité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Enregistrement indiquant qu’un élève est présent à l’école ou à une activité.</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QR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technique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Quick Response : code graphique lisible par un appareil pour accéder à une information ou vérifier un jeton.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QR temporaire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Sortie sécurisée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Code à durée ou usage limité destiné à une autorisation ponctuelle.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RDC</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Sigle géographique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République démocratique du Congo.</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Recommandation validée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Santé et 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Conseil ou orientation vérifié et autorisé avant sa transmission aux familles.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Responsable légal</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Droit et scolarité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Personne reconnue pour représenter l’enfant et exercer les droits et obligations correspondants.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Reçu</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Justificatif officiel confirmant l’enregistrement d’un paiement.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Rôle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Fonction attribuée à un utilisateur et utilisée pour déterminer ses droits.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Scolarité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Éducation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Parcours scolaire et ensemble des informations liées à la présence, aux devoirs, au calendrier et au suivi pédagogique.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Serveur central GSE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Architecture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Infrastructure centrale destinée à héberger ou coordonner les données et services autorisés de l’écosystème GSE.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Service essentiel</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Organisation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Fonction mise en avant comme importante pour les familles et l’établissement.</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Session du navigateur</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 numérique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Période d’utilisation active d’un site dans un navigateur, pouvant conserver temporairement certaines informations.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SMS</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Sigle de communication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Short Message Service : service de messages courts sur téléphone.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Solde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Montant restant dû, disponible ou constaté après prise en compte des opérations enregistrées.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Sortie sécurisée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 l’enfant</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Procédure contrôlant les personnes et moyens autorisés pour la remise de l’enfant à la fin des activités.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Sous-menu</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Navigation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Liste d’entrées rattachées à un menu principal ; aucun sous-menu visible n’est actuellement affiché sous « Espace Parents ».</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Suivi</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Organisation</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Observation continue des informations et actions relatives à l’enfant ou au dossier familial.</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Séparation des espaces</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Organisation qui distingue les contenus publics, parentaux, médicaux, financiers et internes.</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Texte alternatif</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Accessibilité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Description textuelle d’une image destinée notamment aux lecteurs d’écran.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Traçabilité</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Qualité</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Capacité à retrouver l’historique d’un accès, d’une opération ou d’une communication.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Tshiluba</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Langue</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Une des langues nationales de la République démocratique du Congo proposée sur le site.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Téléphone</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Numéro utilisé pour joindre l’école ou la famille.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Usage limité</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Sécurité</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Utilisation restreinte par une durée, un nombre d’actions ou une finalité définie.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Validation</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Gouvernance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Vérification et autorisation d’une information avant sa diffusion ou son utilisation.</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Vie privée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Protection des données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Droit d’une personne à la protection de ses informations et de sa sphère personnelle.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WhatsApp</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Communication</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Service de messagerie pouvant être utilisé comme canal officiel lorsqu’il est validé par l’école.</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i w:val="false"/>
                <w:color w:val="0B3D91"/>
                <w:sz w:val="16"/>
              </w:rPr>
              <w:t>Échéance</w:t>
            </w:r>
          </w:p>
        </w:tc>
        <w:tc>
          <w:tcPr>
            <w:tcW w:w="3495"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5B6777"/>
                <w:sz w:val="16"/>
              </w:rPr>
              <w:t>Finances</w:t>
            </w:r>
          </w:p>
        </w:tc>
        <w:tc>
          <w:tcPr>
            <w:tcW w:w="3494" w:type="dxa"/>
            <w:tcBorders>
              <w:top w:val="single" w:sz="4" w:space="0" w:color="C9D3DF"/>
              <w:start w:val="single" w:sz="4" w:space="0" w:color="C9D3DF"/>
              <w:bottom w:val="single" w:sz="4" w:space="0" w:color="C9D3DF"/>
              <w:end w:val="single" w:sz="4" w:space="0" w:color="C9D3DF"/>
            </w:tcBorders>
            <w:shd w:fill="EAF1FB" w:val="clear"/>
            <w:vAlign w:val="center"/>
          </w:tcPr>
          <w:p>
            <w:pPr>
              <w:pStyle w:val="Normal"/>
              <w:spacing w:lineRule="auto" w:line="240" w:before="0" w:after="0"/>
              <w:rPr/>
            </w:pPr>
            <w:r>
              <w:rPr>
                <w:rFonts w:eastAsia="Aptos" w:ascii="Aptos" w:hAnsi="Aptos"/>
                <w:b w:val="false"/>
                <w:i w:val="false"/>
                <w:color w:val="1F2D3D"/>
                <w:sz w:val="16"/>
              </w:rPr>
              <w:t>Date ou période à laquelle un paiement ou une obligation est attendu.</w:t>
            </w:r>
          </w:p>
        </w:tc>
      </w:tr>
      <w:tr>
        <w:trPr>
          <w:cantSplit w:val="true"/>
        </w:trPr>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i w:val="false"/>
                <w:color w:val="0B3D91"/>
                <w:sz w:val="16"/>
              </w:rPr>
              <w:t>ÉMINA</w:t>
            </w:r>
          </w:p>
        </w:tc>
        <w:tc>
          <w:tcPr>
            <w:tcW w:w="3495"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5B6777"/>
                <w:sz w:val="16"/>
              </w:rPr>
              <w:t>Assistante institutionnelle</w:t>
            </w:r>
          </w:p>
        </w:tc>
        <w:tc>
          <w:tcPr>
            <w:tcW w:w="3494" w:type="dxa"/>
            <w:tcBorders>
              <w:top w:val="single" w:sz="4" w:space="0" w:color="C9D3DF"/>
              <w:start w:val="single" w:sz="4" w:space="0" w:color="C9D3DF"/>
              <w:bottom w:val="single" w:sz="4" w:space="0" w:color="C9D3DF"/>
              <w:end w:val="single" w:sz="4" w:space="0" w:color="C9D3DF"/>
            </w:tcBorders>
            <w:vAlign w:val="center"/>
          </w:tcPr>
          <w:p>
            <w:pPr>
              <w:pStyle w:val="Normal"/>
              <w:spacing w:lineRule="auto" w:line="240" w:before="0" w:after="0"/>
              <w:rPr/>
            </w:pPr>
            <w:r>
              <w:rPr>
                <w:rFonts w:eastAsia="Aptos" w:ascii="Aptos" w:hAnsi="Aptos"/>
                <w:b w:val="false"/>
                <w:i w:val="false"/>
                <w:color w:val="1F2D3D"/>
                <w:sz w:val="16"/>
              </w:rPr>
              <w:t>Assistante institutionnelle du GROUPE SCOLAIRE LES ÉMINENTS qui explique et guide à partir de sources publiques validées sans prendre de décision à la place du personnel habilité.</w:t>
            </w:r>
          </w:p>
        </w:tc>
      </w:tr>
    </w:tbl>
    <w:p>
      <w:pPr>
        <w:pStyle w:val="Normal"/>
        <w:rPr/>
      </w:pPr>
      <w:r>
        <w:rPr/>
      </w:r>
      <w:r>
        <w:br w:type="page"/>
      </w:r>
    </w:p>
    <w:p>
      <w:pPr>
        <w:pStyle w:val="Normal"/>
        <w:keepNext w:val="true"/>
        <w:spacing w:lineRule="auto" w:line="240" w:before="0" w:after="40"/>
        <w:rPr/>
      </w:pPr>
      <w:r>
        <w:rPr>
          <w:rFonts w:eastAsia="Aptos" w:ascii="Aptos" w:hAnsi="Aptos"/>
          <w:b/>
          <w:i w:val="false"/>
          <w:color w:val="0B3D91"/>
          <w:sz w:val="28"/>
        </w:rPr>
        <w:t>X. OBSERVATIONS DE COHÉRENCE ET RECOMMANDATIONS</w:t>
      </w:r>
    </w:p>
    <w:p>
      <w:pPr>
        <w:pStyle w:val="Normal"/>
        <w:spacing w:lineRule="auto" w:line="240" w:before="0" w:after="140"/>
        <w:rPr/>
      </w:pPr>
      <w:r>
        <w:rPr>
          <w:rFonts w:eastAsia="Aptos" w:ascii="Aptos" w:hAnsi="Aptos"/>
          <w:b w:val="false"/>
          <w:i/>
          <w:color w:val="5B6777"/>
          <w:sz w:val="19"/>
        </w:rPr>
        <w:t>Les points suivants sont des recommandations d’amélioration et ne remplacent pas le contenu publié.</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1747"/>
        <w:gridCol w:w="1748"/>
        <w:gridCol w:w="3494"/>
      </w:tblGrid>
      <w:tr>
        <w:trPr/>
        <w:tc>
          <w:tcPr>
            <w:tcW w:w="3494" w:type="dxa"/>
            <w:tcBorders/>
            <w:shd w:fill="0B3D91" w:val="clear"/>
          </w:tcPr>
          <w:p>
            <w:pPr>
              <w:pStyle w:val="Normal"/>
              <w:spacing w:before="0" w:after="80"/>
              <w:rPr/>
            </w:pPr>
            <w:r>
              <w:rPr/>
            </w:r>
          </w:p>
        </w:tc>
        <w:tc>
          <w:tcPr>
            <w:tcW w:w="3495" w:type="dxa"/>
            <w:gridSpan w:val="2"/>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r>
        <w:trPr/>
        <w:tc>
          <w:tcPr>
            <w:tcW w:w="5241" w:type="dxa"/>
            <w:gridSpan w:val="2"/>
            <w:tcBorders>
              <w:top w:val="single" w:sz="4" w:space="0" w:color="D9DEE5"/>
              <w:start w:val="single" w:sz="4" w:space="0" w:color="D9DEE5"/>
              <w:bottom w:val="single" w:sz="4" w:space="0" w:color="D9DEE5"/>
              <w:end w:val="single" w:sz="4" w:space="0" w:color="D9DEE5"/>
            </w:tcBorders>
            <w:shd w:fill="0B3D91" w:val="clear"/>
            <w:tcMar>
              <w:top w:w="55" w:type="dxa"/>
              <w:start w:w="90" w:type="dxa"/>
              <w:bottom w:w="55" w:type="dxa"/>
              <w:end w:w="90" w:type="dxa"/>
            </w:tcMar>
            <w:vAlign w:val="center"/>
          </w:tcPr>
          <w:p>
            <w:pPr>
              <w:pStyle w:val="Normal"/>
              <w:spacing w:lineRule="auto" w:line="240" w:before="0" w:after="0"/>
              <w:jc w:val="center"/>
              <w:rPr/>
            </w:pPr>
            <w:r>
              <w:rPr>
                <w:rFonts w:eastAsia="Aptos" w:ascii="Aptos" w:hAnsi="Aptos"/>
                <w:b/>
                <w:i w:val="false"/>
                <w:color w:val="FFFFFF"/>
                <w:sz w:val="17"/>
              </w:rPr>
              <w:t>POINT À TRAITER</w:t>
            </w:r>
          </w:p>
        </w:tc>
        <w:tc>
          <w:tcPr>
            <w:tcW w:w="5242" w:type="dxa"/>
            <w:gridSpan w:val="2"/>
            <w:tcBorders>
              <w:top w:val="single" w:sz="4" w:space="0" w:color="D9DEE5"/>
              <w:start w:val="single" w:sz="4" w:space="0" w:color="D9DEE5"/>
              <w:bottom w:val="single" w:sz="4" w:space="0" w:color="D9DEE5"/>
              <w:end w:val="single" w:sz="4" w:space="0" w:color="D9DEE5"/>
            </w:tcBorders>
            <w:shd w:fill="0B3D91" w:val="clear"/>
            <w:tcMar>
              <w:top w:w="55" w:type="dxa"/>
              <w:start w:w="90" w:type="dxa"/>
              <w:bottom w:w="55" w:type="dxa"/>
              <w:end w:w="90" w:type="dxa"/>
            </w:tcMar>
            <w:vAlign w:val="center"/>
          </w:tcPr>
          <w:p>
            <w:pPr>
              <w:pStyle w:val="Normal"/>
              <w:spacing w:lineRule="auto" w:line="240" w:before="0" w:after="0"/>
              <w:jc w:val="center"/>
              <w:rPr/>
            </w:pPr>
            <w:r>
              <w:rPr>
                <w:rFonts w:eastAsia="Aptos" w:ascii="Aptos" w:hAnsi="Aptos"/>
                <w:b/>
                <w:i w:val="false"/>
                <w:color w:val="FFFFFF"/>
                <w:sz w:val="17"/>
              </w:rPr>
              <w:t>RECOMMANDATION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Clarifier le statut du portail</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Afficher de manière constante la mention « bientôt disponible » ou un statut équivalent tant que l’authentification publique n’est pas activée.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Préparer une page de connexion contrôlée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À l’activation, distinguer clairement connexion, récupération de compte, assistance et première activation.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Garantir les six langues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Maintenir le sélecteur toujours visible et vérifier l’équivalence des contenus, alertes, consentements et messages de sécurité dans les six langues.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Définir les habilitations par module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Documenter les droits liés à la scolarité, aux finances, à la santé, aux autorisations et à la sortie sécurisée.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Tester l’isolement entre familles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Réaliser des tests automatiques et humains prouvant qu’un compte ne peut jamais voir les données d’un autre enfant ou d’une autre famille.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Protéger les notifications externes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Envoyer uniquement un message minimal et un lien sécurisé, sans nom complet, résultat, solde, donnée médicale ou autre information sensible.</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Établir la gestion des comptes</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Prévoir création, vérification d’identité, ajout ou retrait d’un enfant, révocation d’un responsable et traitement des situations familiales particulières.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Encadrer les informations médicales</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Limiter le portail aux alertes et recommandations validées ; réserver les notes médicales détaillées aux professionnels habilités.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Formaliser la sortie sécurisée</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Documenter l’enrôlement des personnes autorisées, le badge permanent, le QR temporaire, la durée de validité, la révocation, la vérification par l’agent et la journalisation.</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Assurer la traçabilité financière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Relier factures, échéances, paiements, soldes et reçus à des écritures validées, avec historique et mécanisme de correction contrôlé.</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Prévoir une assistance humaine visible</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Afficher dans le portail un accès clair au service compétent pour les demandes personnelles, urgentes, sensibles ou contestées.</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Synchroniser ÉMINA avec le contenu validé</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ÉMINA doit expliquer le portail à partir des pages et documents approuvés, signaler les limites et ne jamais révéler de dossier nominatif dans l’accès public.</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Conserver les canaux officiels pendant la transition</w:t>
            </w:r>
          </w:p>
        </w:tc>
        <w:tc>
          <w:tcPr>
            <w:tcW w:w="5242" w:type="dxa"/>
            <w:gridSpan w:val="2"/>
            <w:tcBorders>
              <w:top w:val="single" w:sz="4" w:space="0" w:color="D9DEE5"/>
              <w:start w:val="single" w:sz="4" w:space="0" w:color="D9DEE5"/>
              <w:bottom w:val="single" w:sz="4" w:space="0" w:color="D9DEE5"/>
              <w:end w:val="single" w:sz="4" w:space="0" w:color="D9DEE5"/>
            </w:tcBorders>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Maintenir des coordonnées cohérentes dans la page, le pied de page, les messages automatiques et les documents jusqu’au lancement complet.</w:t>
            </w:r>
          </w:p>
        </w:tc>
      </w:tr>
      <w:tr>
        <w:trPr>
          <w:cantSplit w:val="true"/>
        </w:trPr>
        <w:tc>
          <w:tcPr>
            <w:tcW w:w="5241"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i w:val="false"/>
                <w:color w:val="0B3D91"/>
                <w:sz w:val="17"/>
              </w:rPr>
              <w:t>Mesurer la qualité du service</w:t>
            </w:r>
          </w:p>
        </w:tc>
        <w:tc>
          <w:tcPr>
            <w:tcW w:w="5242" w:type="dxa"/>
            <w:gridSpan w:val="2"/>
            <w:tcBorders>
              <w:top w:val="single" w:sz="4" w:space="0" w:color="D9DEE5"/>
              <w:start w:val="single" w:sz="4" w:space="0" w:color="D9DEE5"/>
              <w:bottom w:val="single" w:sz="4" w:space="0" w:color="D9DEE5"/>
              <w:end w:val="single" w:sz="4" w:space="0" w:color="D9DEE5"/>
            </w:tcBorders>
            <w:shd w:fill="EAF1FB" w:val="clear"/>
            <w:tcMar>
              <w:top w:w="55" w:type="dxa"/>
              <w:start w:w="90" w:type="dxa"/>
              <w:bottom w:w="55" w:type="dxa"/>
              <w:end w:w="90" w:type="dxa"/>
            </w:tcMar>
            <w:vAlign w:val="center"/>
          </w:tcPr>
          <w:p>
            <w:pPr>
              <w:pStyle w:val="Normal"/>
              <w:spacing w:lineRule="auto" w:line="240" w:before="0" w:after="0"/>
              <w:rPr/>
            </w:pPr>
            <w:r>
              <w:rPr>
                <w:rFonts w:eastAsia="Aptos" w:ascii="Aptos" w:hAnsi="Aptos"/>
                <w:b w:val="false"/>
                <w:i w:val="false"/>
                <w:color w:val="1F2D3D"/>
                <w:sz w:val="17"/>
              </w:rPr>
              <w:t>Suivre les erreurs de connexion, délais de traitement, notifications non lues, contestations, incidents de confidentialité et satisfaction des familles.</w:t>
            </w:r>
          </w:p>
        </w:tc>
      </w:tr>
    </w:tbl>
    <w:p>
      <w:pPr>
        <w:pStyle w:val="Normal"/>
        <w:rPr/>
      </w:pPr>
      <w:r>
        <w:rPr/>
      </w:r>
      <w:r>
        <w:br w:type="page"/>
      </w:r>
    </w:p>
    <w:p>
      <w:pPr>
        <w:pStyle w:val="Heading1"/>
        <w:keepNext w:val="true"/>
        <w:spacing w:lineRule="auto" w:line="240" w:before="0" w:after="80"/>
        <w:rPr/>
      </w:pPr>
      <w:r>
        <w:rPr/>
        <w:t>Conclusion générale</w:t>
      </w:r>
    </w:p>
    <w:tbl>
      <w:tblPr>
        <w:tblW w:w="10483" w:type="dxa"/>
        <w:jc w:val="center"/>
        <w:tblInd w:w="0" w:type="dxa"/>
        <w:tblLayout w:type="fixed"/>
        <w:tblCellMar>
          <w:top w:w="110" w:type="dxa"/>
          <w:start w:w="0" w:type="dxa"/>
          <w:bottom w:w="110" w:type="dxa"/>
          <w:end w:w="0" w:type="dxa"/>
        </w:tblCellMar>
        <w:tblLook w:val="04a0" w:noHBand="0" w:noVBand="1" w:firstColumn="1" w:lastRow="0" w:lastColumn="0" w:firstRow="1"/>
      </w:tblPr>
      <w:tblGrid>
        <w:gridCol w:w="3494"/>
        <w:gridCol w:w="3495"/>
        <w:gridCol w:w="3494"/>
      </w:tblGrid>
      <w:tr>
        <w:trPr/>
        <w:tc>
          <w:tcPr>
            <w:tcW w:w="3494" w:type="dxa"/>
            <w:tcBorders/>
            <w:shd w:fill="0B3D91" w:val="clear"/>
          </w:tcPr>
          <w:p>
            <w:pPr>
              <w:pStyle w:val="Normal"/>
              <w:spacing w:before="0" w:after="80"/>
              <w:rPr/>
            </w:pPr>
            <w:r>
              <w:rPr/>
            </w:r>
          </w:p>
        </w:tc>
        <w:tc>
          <w:tcPr>
            <w:tcW w:w="3495" w:type="dxa"/>
            <w:tcBorders/>
            <w:shd w:fill="D4AF37" w:val="clear"/>
          </w:tcPr>
          <w:p>
            <w:pPr>
              <w:pStyle w:val="Normal"/>
              <w:spacing w:before="0" w:after="80"/>
              <w:rPr/>
            </w:pPr>
            <w:r>
              <w:rPr/>
            </w:r>
          </w:p>
        </w:tc>
        <w:tc>
          <w:tcPr>
            <w:tcW w:w="3494" w:type="dxa"/>
            <w:tcBorders/>
            <w:shd w:fill="0B3D91" w:val="clear"/>
          </w:tcPr>
          <w:p>
            <w:pPr>
              <w:pStyle w:val="Normal"/>
              <w:spacing w:before="0" w:after="80"/>
              <w:rPr/>
            </w:pPr>
            <w:r>
              <w:rPr/>
            </w:r>
          </w:p>
        </w:tc>
      </w:tr>
    </w:tbl>
    <w:p>
      <w:pPr>
        <w:pStyle w:val="Normal"/>
        <w:spacing w:lineRule="auto" w:line="269" w:before="160" w:after="160"/>
        <w:rPr/>
      </w:pPr>
      <w:r>
        <w:rPr>
          <w:rFonts w:eastAsia="Aptos" w:ascii="Aptos" w:hAnsi="Aptos"/>
          <w:b w:val="false"/>
          <w:i w:val="false"/>
          <w:color w:val="1F2D3D"/>
          <w:sz w:val="20"/>
        </w:rPr>
        <w:t>La page « Espace Parents » présente un futur portail familial sécurisé qui reliera la scolarité, les finances, les communications validées et la sortie sécurisée, tout en limitant chaque compte aux enfants autorisés et en séparant les informations entre familles. La présente banque rassemble 470 questions-réponses fondées sur les contenus publiés, accompagnées de 91 définitions. Elle peut servir à la FAQ, à l’accueil des familles, à la formation du personnel, au contrôle qualité, aux tests fonctionnels et à la base de connaissances d’ÉMINA.</w:t>
      </w:r>
    </w:p>
    <w:p>
      <w:pPr>
        <w:pStyle w:val="Heading2"/>
        <w:keepNext w:val="true"/>
        <w:spacing w:lineRule="auto" w:line="240" w:before="100" w:after="80"/>
        <w:rPr/>
      </w:pPr>
      <w:r>
        <w:rPr/>
        <w:t>Repères quantitatifs</w:t>
      </w:r>
    </w:p>
    <w:tbl>
      <w:tblPr>
        <w:tblW w:w="10480"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2620"/>
        <w:gridCol w:w="2620"/>
        <w:gridCol w:w="2620"/>
        <w:gridCol w:w="2619"/>
      </w:tblGrid>
      <w:tr>
        <w:trPr/>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32"/>
              </w:rPr>
              <w:t>47</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32"/>
              </w:rPr>
              <w:t>470</w:t>
            </w:r>
          </w:p>
        </w:tc>
        <w:tc>
          <w:tcPr>
            <w:tcW w:w="2620"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32"/>
              </w:rPr>
              <w:t>91</w:t>
            </w:r>
          </w:p>
        </w:tc>
        <w:tc>
          <w:tcPr>
            <w:tcW w:w="2619" w:type="dxa"/>
            <w:tcBorders>
              <w:top w:val="single" w:sz="4" w:space="0" w:color="D9DEE5"/>
              <w:start w:val="single" w:sz="4" w:space="0" w:color="D9DEE5"/>
              <w:bottom w:val="single" w:sz="4" w:space="0" w:color="D9DEE5"/>
              <w:end w:val="single" w:sz="4" w:space="0" w:color="D9DEE5"/>
            </w:tcBorders>
            <w:shd w:fill="0B3D91" w:val="clear"/>
            <w:vAlign w:val="center"/>
          </w:tcPr>
          <w:p>
            <w:pPr>
              <w:pStyle w:val="Normal"/>
              <w:spacing w:lineRule="auto" w:line="240" w:before="0" w:after="0"/>
              <w:jc w:val="center"/>
              <w:rPr/>
            </w:pPr>
            <w:r>
              <w:rPr>
                <w:rFonts w:eastAsia="Aptos" w:ascii="Aptos" w:hAnsi="Aptos"/>
                <w:b/>
                <w:i w:val="false"/>
                <w:color w:val="FFFFFF"/>
                <w:sz w:val="32"/>
              </w:rPr>
              <w:t>14</w:t>
            </w:r>
          </w:p>
        </w:tc>
      </w:tr>
      <w:tr>
        <w:trPr/>
        <w:tc>
          <w:tcPr>
            <w:tcW w:w="2620"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jc w:val="center"/>
              <w:rPr/>
            </w:pPr>
            <w:r>
              <w:rPr>
                <w:rFonts w:eastAsia="Aptos" w:ascii="Aptos" w:hAnsi="Aptos"/>
                <w:b/>
                <w:i w:val="false"/>
                <w:color w:val="0B3D91"/>
                <w:sz w:val="16"/>
              </w:rPr>
              <w:t>FICHES THÉMATIQUES</w:t>
            </w:r>
          </w:p>
        </w:tc>
        <w:tc>
          <w:tcPr>
            <w:tcW w:w="2620"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jc w:val="center"/>
              <w:rPr/>
            </w:pPr>
            <w:r>
              <w:rPr>
                <w:rFonts w:eastAsia="Aptos" w:ascii="Aptos" w:hAnsi="Aptos"/>
                <w:b/>
                <w:i w:val="false"/>
                <w:color w:val="0B3D91"/>
                <w:sz w:val="16"/>
              </w:rPr>
              <w:t>QUESTIONS-RÉPONSES</w:t>
            </w:r>
          </w:p>
        </w:tc>
        <w:tc>
          <w:tcPr>
            <w:tcW w:w="2620"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jc w:val="center"/>
              <w:rPr/>
            </w:pPr>
            <w:r>
              <w:rPr>
                <w:rFonts w:eastAsia="Aptos" w:ascii="Aptos" w:hAnsi="Aptos"/>
                <w:b/>
                <w:i w:val="false"/>
                <w:color w:val="0B3D91"/>
                <w:sz w:val="16"/>
              </w:rPr>
              <w:t>DÉFINITIONS</w:t>
            </w:r>
          </w:p>
        </w:tc>
        <w:tc>
          <w:tcPr>
            <w:tcW w:w="2619" w:type="dxa"/>
            <w:tcBorders>
              <w:top w:val="single" w:sz="4" w:space="0" w:color="D9DEE5"/>
              <w:start w:val="single" w:sz="4" w:space="0" w:color="D9DEE5"/>
              <w:bottom w:val="single" w:sz="4" w:space="0" w:color="D9DEE5"/>
              <w:end w:val="single" w:sz="4" w:space="0" w:color="D9DEE5"/>
            </w:tcBorders>
            <w:shd w:fill="FFF7DC" w:val="clear"/>
            <w:vAlign w:val="center"/>
          </w:tcPr>
          <w:p>
            <w:pPr>
              <w:pStyle w:val="Normal"/>
              <w:spacing w:lineRule="auto" w:line="240" w:before="0" w:after="0"/>
              <w:jc w:val="center"/>
              <w:rPr/>
            </w:pPr>
            <w:r>
              <w:rPr>
                <w:rFonts w:eastAsia="Aptos" w:ascii="Aptos" w:hAnsi="Aptos"/>
                <w:b/>
                <w:i w:val="false"/>
                <w:color w:val="0B3D91"/>
                <w:sz w:val="16"/>
              </w:rPr>
              <w:t>RECOMMANDATIONS</w:t>
            </w:r>
          </w:p>
        </w:tc>
      </w:tr>
    </w:tbl>
    <w:p>
      <w:pPr>
        <w:pStyle w:val="Heading2"/>
        <w:keepNext w:val="true"/>
        <w:spacing w:lineRule="auto" w:line="240" w:before="200" w:after="80"/>
        <w:rPr/>
      </w:pPr>
      <w:r>
        <w:rPr/>
        <w:t>Utilisations recommandées</w:t>
      </w:r>
    </w:p>
    <w:tbl>
      <w:tblPr>
        <w:tblW w:w="10483" w:type="dxa"/>
        <w:jc w:val="center"/>
        <w:tblInd w:w="0" w:type="dxa"/>
        <w:tblLayout w:type="fixed"/>
        <w:tblCellMar>
          <w:top w:w="55" w:type="dxa"/>
          <w:start w:w="90" w:type="dxa"/>
          <w:bottom w:w="55" w:type="dxa"/>
          <w:end w:w="90" w:type="dxa"/>
        </w:tblCellMar>
        <w:tblLook w:val="04a0" w:noHBand="0" w:noVBand="1" w:firstColumn="1" w:lastRow="0" w:lastColumn="0" w:firstRow="1"/>
      </w:tblPr>
      <w:tblGrid>
        <w:gridCol w:w="5241"/>
        <w:gridCol w:w="5241"/>
      </w:tblGrid>
      <w:tr>
        <w:trPr/>
        <w:tc>
          <w:tcPr>
            <w:tcW w:w="5241" w:type="dxa"/>
            <w:tcBorders>
              <w:top w:val="single" w:sz="4" w:space="0" w:color="D9DEE5"/>
              <w:start w:val="single" w:sz="4" w:space="0" w:color="D9DEE5"/>
              <w:bottom w:val="single" w:sz="4" w:space="0" w:color="D9DEE5"/>
              <w:end w:val="single" w:sz="4" w:space="0" w:color="D9DEE5"/>
            </w:tcBorders>
            <w:shd w:fill="D4AF37" w:val="clear"/>
            <w:vAlign w:val="center"/>
          </w:tcPr>
          <w:p>
            <w:pPr>
              <w:pStyle w:val="Normal"/>
              <w:spacing w:lineRule="auto" w:line="240" w:before="0" w:after="0"/>
              <w:jc w:val="center"/>
              <w:rPr/>
            </w:pPr>
            <w:r>
              <w:rPr>
                <w:rFonts w:eastAsia="Aptos" w:ascii="Aptos" w:hAnsi="Aptos"/>
                <w:b/>
                <w:i w:val="false"/>
                <w:color w:val="0B3D91"/>
                <w:sz w:val="17"/>
              </w:rPr>
              <w:t>USAGE</w:t>
            </w:r>
          </w:p>
        </w:tc>
        <w:tc>
          <w:tcPr>
            <w:tcW w:w="5241" w:type="dxa"/>
            <w:tcBorders>
              <w:top w:val="single" w:sz="4" w:space="0" w:color="D9DEE5"/>
              <w:start w:val="single" w:sz="4" w:space="0" w:color="D9DEE5"/>
              <w:bottom w:val="single" w:sz="4" w:space="0" w:color="D9DEE5"/>
              <w:end w:val="single" w:sz="4" w:space="0" w:color="D9DEE5"/>
            </w:tcBorders>
            <w:shd w:fill="D4AF37" w:val="clear"/>
            <w:vAlign w:val="center"/>
          </w:tcPr>
          <w:p>
            <w:pPr>
              <w:pStyle w:val="Normal"/>
              <w:spacing w:lineRule="auto" w:line="240" w:before="0" w:after="0"/>
              <w:jc w:val="center"/>
              <w:rPr/>
            </w:pPr>
            <w:r>
              <w:rPr>
                <w:rFonts w:eastAsia="Aptos" w:ascii="Aptos" w:hAnsi="Aptos"/>
                <w:b/>
                <w:i w:val="false"/>
                <w:color w:val="0B3D91"/>
                <w:sz w:val="17"/>
              </w:rPr>
              <w:t>FINALITÉ</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7"/>
              </w:rPr>
              <w:t>FAQ et assistance aux familles</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Transformer les questions validées en réponses courtes, cohérentes et faciles à retrouver.</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7"/>
              </w:rPr>
              <w:t>Formation du personnel</w:t>
            </w:r>
          </w:p>
        </w:tc>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7"/>
              </w:rPr>
              <w:t>Préparer l’accueil, l’orientation et le traitement homogène des demandes parentales.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7"/>
              </w:rPr>
              <w:t>Base de connaissances d’ÉMINA</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Alimenter l’assistance institutionnelle uniquement avec des réponses publiques et validées.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7"/>
              </w:rPr>
              <w:t>Tests fonctionnels du portail</w:t>
            </w:r>
          </w:p>
        </w:tc>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7"/>
              </w:rPr>
              <w:t>Vérifier chaque module, chaque droit d’accès et l’isolement effectif entre familles.</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i w:val="false"/>
                <w:color w:val="0B3D91"/>
                <w:sz w:val="17"/>
              </w:rPr>
              <w:t>Contrôle qualité</w:t>
            </w:r>
          </w:p>
        </w:tc>
        <w:tc>
          <w:tcPr>
            <w:tcW w:w="5241" w:type="dxa"/>
            <w:tcBorders>
              <w:top w:val="single" w:sz="4" w:space="0" w:color="D9DEE5"/>
              <w:start w:val="single" w:sz="4" w:space="0" w:color="D9DEE5"/>
              <w:bottom w:val="single" w:sz="4" w:space="0" w:color="D9DEE5"/>
              <w:end w:val="single" w:sz="4" w:space="0" w:color="D9DEE5"/>
            </w:tcBorders>
            <w:vAlign w:val="center"/>
          </w:tcPr>
          <w:p>
            <w:pPr>
              <w:pStyle w:val="Normal"/>
              <w:spacing w:lineRule="auto" w:line="240" w:before="0" w:after="0"/>
              <w:rPr/>
            </w:pPr>
            <w:r>
              <w:rPr>
                <w:rFonts w:eastAsia="Aptos" w:ascii="Aptos" w:hAnsi="Aptos"/>
                <w:b w:val="false"/>
                <w:i w:val="false"/>
                <w:color w:val="1F2D3D"/>
                <w:sz w:val="17"/>
              </w:rPr>
              <w:t>Repérer les écarts entre le contenu publié, les procédures internes et le fonctionnement réel.</w:t>
            </w:r>
          </w:p>
        </w:tc>
      </w:tr>
      <w:tr>
        <w:trPr>
          <w:cantSplit w:val="true"/>
        </w:trPr>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i w:val="false"/>
                <w:color w:val="0B3D91"/>
                <w:sz w:val="17"/>
              </w:rPr>
              <w:t>Mise à jour du site</w:t>
            </w:r>
          </w:p>
        </w:tc>
        <w:tc>
          <w:tcPr>
            <w:tcW w:w="5241" w:type="dxa"/>
            <w:tcBorders>
              <w:top w:val="single" w:sz="4" w:space="0" w:color="D9DEE5"/>
              <w:start w:val="single" w:sz="4" w:space="0" w:color="D9DEE5"/>
              <w:bottom w:val="single" w:sz="4" w:space="0" w:color="D9DEE5"/>
              <w:end w:val="single" w:sz="4" w:space="0" w:color="D9DEE5"/>
            </w:tcBorders>
            <w:shd w:fill="EAF1FB" w:val="clear"/>
            <w:vAlign w:val="center"/>
          </w:tcPr>
          <w:p>
            <w:pPr>
              <w:pStyle w:val="Normal"/>
              <w:spacing w:lineRule="auto" w:line="240" w:before="0" w:after="0"/>
              <w:rPr/>
            </w:pPr>
            <w:r>
              <w:rPr>
                <w:rFonts w:eastAsia="Aptos" w:ascii="Aptos" w:hAnsi="Aptos"/>
                <w:b w:val="false"/>
                <w:i w:val="false"/>
                <w:color w:val="1F2D3D"/>
                <w:sz w:val="17"/>
              </w:rPr>
              <w:t>Réviser la banque dès qu’un titre, une règle, une fonctionnalité ou une coordonnée officielle change.</w:t>
            </w:r>
          </w:p>
        </w:tc>
      </w:tr>
    </w:tbl>
    <w:p>
      <w:pPr>
        <w:pStyle w:val="Normal"/>
        <w:spacing w:lineRule="auto" w:line="240" w:before="320" w:after="0"/>
        <w:jc w:val="center"/>
        <w:rPr/>
      </w:pPr>
      <w:r>
        <w:rPr>
          <w:rFonts w:eastAsia="Aptos" w:ascii="Aptos" w:hAnsi="Aptos"/>
          <w:b/>
          <w:i w:val="false"/>
          <w:color w:val="D4AF37"/>
          <w:sz w:val="24"/>
        </w:rPr>
        <w:t>FIN DU DOCUMENT</w:t>
      </w:r>
    </w:p>
    <w:p>
      <w:pPr>
        <w:pStyle w:val="Normal"/>
        <w:rPr/>
      </w:pPr>
      <w:r>
        <w:rPr/>
      </w:r>
      <w:r>
        <w:br w:type="page"/>
      </w:r>
    </w:p>
    <w:p>
      <w:pPr>
        <w:pStyle w:val="Normal"/>
        <w:rPr/>
      </w:pPr>
      <w:r>
        <w:rPr/>
      </w:r>
    </w:p>
    <w:p>
      <w:pPr>
        <w:pStyle w:val="Normal"/>
        <w:jc w:val="center"/>
        <w:rPr/>
      </w:pPr>
      <w:r>
        <w:rPr/>
        <w:drawing>
          <wp:inline distT="0" distB="0" distL="0" distR="0">
            <wp:extent cx="1224280" cy="1273175"/>
            <wp:effectExtent l="0" t="0" r="0" b="0"/>
            <wp:docPr id="21"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title=""/>
                    <pic:cNvPicPr>
                      <a:picLocks noChangeAspect="1" noChangeArrowheads="1"/>
                    </pic:cNvPicPr>
                  </pic:nvPicPr>
                  <pic:blipFill>
                    <a:blip r:embed="rId49"/>
                    <a:stretch>
                      <a:fillRect/>
                    </a:stretch>
                  </pic:blipFill>
                  <pic:spPr bwMode="auto">
                    <a:xfrm>
                      <a:off x="0" y="0"/>
                      <a:ext cx="1224280" cy="1273175"/>
                    </a:xfrm>
                    <a:prstGeom prst="rect">
                      <a:avLst/>
                    </a:prstGeom>
                    <a:noFill/>
                  </pic:spPr>
                </pic:pic>
              </a:graphicData>
            </a:graphic>
          </wp:inline>
        </w:drawing>
      </w:r>
    </w:p>
    <w:p>
      <w:pPr>
        <w:pStyle w:val="Normal"/>
        <w:jc w:val="center"/>
        <w:rPr/>
      </w:pPr>
      <w:r>
        <w:rPr>
          <w:b/>
          <w:color w:val="0B3D91"/>
          <w:sz w:val="42"/>
        </w:rPr>
        <w:t>GROUPE SCOLAIRE</w:t>
        <w:br/>
        <w:t>LES ÉMINENTS</w:t>
      </w:r>
    </w:p>
    <w:p>
      <w:pPr>
        <w:pStyle w:val="Normal"/>
        <w:spacing w:before="160" w:after="60"/>
        <w:jc w:val="center"/>
        <w:rPr/>
      </w:pPr>
      <w:r>
        <w:rPr>
          <w:b/>
          <w:color w:val="0B3D91"/>
          <w:sz w:val="50"/>
        </w:rPr>
        <w:t>BANQUE EXHAUSTIVE DE QUESTIONS</w:t>
      </w:r>
    </w:p>
    <w:p>
      <w:pPr>
        <w:pStyle w:val="Normal"/>
        <w:jc w:val="center"/>
        <w:rPr/>
      </w:pPr>
      <w:r>
        <w:rPr>
          <w:b/>
          <w:color w:val="D4A017"/>
          <w:sz w:val="36"/>
        </w:rPr>
        <w:t>MENU « QUALITÉ ET ENGAGEMENTS »</w:t>
        <w:br/>
        <w:t>ET SOUS-MENUS</w:t>
      </w:r>
    </w:p>
    <w:tbl>
      <w:tblPr>
        <w:tblW w:w="8505"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02"/>
        <w:gridCol w:w="1701"/>
        <w:gridCol w:w="3402"/>
      </w:tblGrid>
      <w:tr>
        <w:trPr/>
        <w:tc>
          <w:tcPr>
            <w:tcW w:w="3402" w:type="dxa"/>
            <w:tcBorders/>
            <w:shd w:fill="0B3D91"/>
          </w:tcPr>
          <w:p>
            <w:pPr>
              <w:pStyle w:val="Normal"/>
              <w:spacing w:before="0" w:after="80"/>
              <w:rPr/>
            </w:pPr>
            <w:r>
              <w:rPr/>
            </w:r>
          </w:p>
        </w:tc>
        <w:tc>
          <w:tcPr>
            <w:tcW w:w="1701" w:type="dxa"/>
            <w:tcBorders/>
            <w:shd w:fill="D4A017"/>
          </w:tcPr>
          <w:p>
            <w:pPr>
              <w:pStyle w:val="Normal"/>
              <w:spacing w:before="0" w:after="80"/>
              <w:rPr/>
            </w:pPr>
            <w:r>
              <w:rPr/>
            </w:r>
          </w:p>
        </w:tc>
        <w:tc>
          <w:tcPr>
            <w:tcW w:w="3402" w:type="dxa"/>
            <w:tcBorders/>
            <w:shd w:fill="0B3D91"/>
          </w:tcPr>
          <w:p>
            <w:pPr>
              <w:pStyle w:val="Normal"/>
              <w:spacing w:before="0" w:after="80"/>
              <w:rPr/>
            </w:pPr>
            <w:r>
              <w:rPr/>
            </w:r>
          </w:p>
        </w:tc>
      </w:tr>
    </w:tbl>
    <w:p>
      <w:pPr>
        <w:pStyle w:val="Normal"/>
        <w:spacing w:before="240" w:after="60"/>
        <w:jc w:val="center"/>
        <w:rPr/>
      </w:pPr>
      <w:r>
        <w:rPr>
          <w:i/>
          <w:color w:val="1F2937"/>
          <w:sz w:val="22"/>
        </w:rPr>
        <w:t>Relevé des contenus publics • Analyse institutionnelle • Questions-réponses • Glossaire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Site contrôlé</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test.gsleseminents.com (forme technique sans accent)</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before="0" w:after="0"/>
              <w:rPr/>
            </w:pPr>
            <w:r>
              <w:rPr>
                <w:b/>
                <w:color w:val="0B3D91"/>
                <w:sz w:val="18"/>
              </w:rPr>
              <w:t>Périmètre</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Qualité et engagements, Assurance qualité, Documentation, Départements, ÉMINA et pages départementales reliées</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Date du relevé</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1er juillet 2026</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before="0" w:after="0"/>
              <w:rPr/>
            </w:pPr>
            <w:r>
              <w:rPr>
                <w:b/>
                <w:color w:val="0B3D91"/>
                <w:sz w:val="18"/>
              </w:rPr>
              <w:t>Fiches thématiques</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59</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Questions-réponses</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590</w:t>
            </w:r>
          </w:p>
        </w:tc>
      </w:tr>
    </w:tbl>
    <w:p>
      <w:pPr>
        <w:pStyle w:val="Normal"/>
        <w:spacing w:before="200" w:after="60"/>
        <w:jc w:val="center"/>
        <w:rPr/>
      </w:pPr>
      <w:r>
        <w:rPr>
          <w:color w:val="555555"/>
          <w:sz w:val="18"/>
        </w:rPr>
        <w:t>Document de référence destiné à la FAQ, à la formation du personnel, à l’accueil des familles et à la base publique de connaissances d’ÉMINA.</w:t>
      </w:r>
    </w:p>
    <w:p>
      <w:pPr>
        <w:pStyle w:val="Normal"/>
        <w:spacing w:before="200" w:after="60"/>
        <w:jc w:val="center"/>
        <w:rPr/>
      </w:pPr>
      <w:r>
        <w:rPr>
          <w:b/>
          <w:color w:val="0B3D91"/>
          <w:sz w:val="20"/>
        </w:rPr>
        <w:t>FOI • EXCELLENCE • INTÉGRITÉ • LEADERSHIP</w:t>
      </w:r>
    </w:p>
    <w:p>
      <w:pPr>
        <w:pStyle w:val="Normal"/>
        <w:rPr/>
      </w:pPr>
      <w:r>
        <w:rPr/>
      </w:r>
      <w:r>
        <w:br w:type="page"/>
      </w:r>
    </w:p>
    <w:p>
      <w:pPr>
        <w:pStyle w:val="Heading1"/>
        <w:spacing w:before="0" w:after="100"/>
        <w:rPr/>
      </w:pPr>
      <w:r>
        <w:rPr/>
        <w:t>1. Objet, méthode et limites du relevé</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Objet : </w:t>
            </w:r>
            <w:r>
              <w:rPr>
                <w:color w:val="1F2937"/>
                <w:sz w:val="18"/>
              </w:rPr>
              <w:t>Recenser les points développés dans le menu « Qualité et engagements », produire une banque de questions dont les réponses restent fidèles aux textes publics, expliquer la fonction de chaque titre et définir les termes difficiles.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Méthode : </w:t>
            </w:r>
            <w:r>
              <w:rPr>
                <w:color w:val="1F2937"/>
                <w:sz w:val="18"/>
              </w:rPr>
              <w:t>Lecture directe des pages publiques du site test, identification des titres, sous-titres, cartes, engagements, métadonnées documentaires, missions et limites publiées.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Principe de fidélité : </w:t>
            </w:r>
            <w:r>
              <w:rPr>
                <w:color w:val="1F2937"/>
                <w:sz w:val="18"/>
              </w:rPr>
              <w:t>Les réponses sont des synthèses fidèles des textes sous-jacents. Elles n’ajoutent ni décision, ni procédure protégée, ni donnée individuelle.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Limite : </w:t>
            </w:r>
            <w:r>
              <w:rPr>
                <w:color w:val="1F2937"/>
                <w:sz w:val="18"/>
              </w:rPr>
              <w:t>Le document décrit l’état visible du site au 1er juillet 2026. Une modification ultérieure du site peut nécessiter une nouvelle version de cette banque.</w:t>
            </w:r>
          </w:p>
        </w:tc>
      </w:tr>
    </w:tbl>
    <w:p>
      <w:pPr>
        <w:pStyle w:val="Normal"/>
        <w:rPr/>
      </w:pPr>
      <w:r>
        <w:rPr>
          <w:b/>
          <w:color w:val="0B3D91"/>
        </w:rPr>
        <w:t>Périmètre retenu</w:t>
      </w:r>
    </w:p>
    <w:p>
      <w:pPr>
        <w:pStyle w:val="ListBullet"/>
        <w:numPr>
          <w:ilvl w:val="0"/>
          <w:numId w:val="1"/>
        </w:numPr>
        <w:spacing w:before="0" w:after="20"/>
        <w:ind w:hanging="360" w:start="255"/>
        <w:contextualSpacing/>
        <w:rPr/>
      </w:pPr>
      <w:r>
        <w:rPr>
          <w:sz w:val="18"/>
        </w:rPr>
        <w:t>Page principale « Qualité et engagements ».</w:t>
      </w:r>
    </w:p>
    <w:p>
      <w:pPr>
        <w:pStyle w:val="ListBullet"/>
        <w:numPr>
          <w:ilvl w:val="0"/>
          <w:numId w:val="1"/>
        </w:numPr>
        <w:spacing w:before="0" w:after="20"/>
        <w:ind w:hanging="360" w:start="255"/>
        <w:contextualSpacing/>
        <w:rPr/>
      </w:pPr>
      <w:r>
        <w:rPr>
          <w:sz w:val="18"/>
        </w:rPr>
        <w:t>Sous-menu « Assurance qualité » et ses sections.</w:t>
      </w:r>
    </w:p>
    <w:p>
      <w:pPr>
        <w:pStyle w:val="ListBullet"/>
        <w:numPr>
          <w:ilvl w:val="0"/>
          <w:numId w:val="1"/>
        </w:numPr>
        <w:spacing w:before="0" w:after="20"/>
        <w:ind w:hanging="360" w:start="255"/>
        <w:contextualSpacing/>
        <w:rPr/>
      </w:pPr>
      <w:r>
        <w:rPr>
          <w:sz w:val="18"/>
        </w:rPr>
        <w:t>Sous-menu « Documentation » et les références publiques affichées.</w:t>
      </w:r>
    </w:p>
    <w:p>
      <w:pPr>
        <w:pStyle w:val="ListBullet"/>
        <w:numPr>
          <w:ilvl w:val="0"/>
          <w:numId w:val="1"/>
        </w:numPr>
        <w:spacing w:before="0" w:after="20"/>
        <w:ind w:hanging="360" w:start="255"/>
        <w:contextualSpacing/>
        <w:rPr/>
      </w:pPr>
      <w:r>
        <w:rPr>
          <w:sz w:val="18"/>
        </w:rPr>
        <w:t>Sous-menu « Départements » et les pages détaillées reliées.</w:t>
      </w:r>
    </w:p>
    <w:p>
      <w:pPr>
        <w:pStyle w:val="ListBullet"/>
        <w:numPr>
          <w:ilvl w:val="0"/>
          <w:numId w:val="1"/>
        </w:numPr>
        <w:spacing w:before="0" w:after="20"/>
        <w:ind w:hanging="360" w:start="255"/>
        <w:contextualSpacing/>
        <w:rPr/>
      </w:pPr>
      <w:r>
        <w:rPr>
          <w:sz w:val="18"/>
        </w:rPr>
        <w:t>Sous-menu « ÉMINA » et les règles publiques de fonctionnement.</w:t>
      </w:r>
    </w:p>
    <w:p>
      <w:pPr>
        <w:pStyle w:val="ListBullet"/>
        <w:numPr>
          <w:ilvl w:val="0"/>
          <w:numId w:val="1"/>
        </w:numPr>
        <w:spacing w:before="0" w:after="20"/>
        <w:ind w:hanging="360" w:start="255"/>
        <w:contextualSpacing/>
        <w:rPr/>
      </w:pPr>
      <w:r>
        <w:rPr>
          <w:sz w:val="18"/>
        </w:rPr>
        <w:t>Éléments communs uniquement lorsqu’ils éclairent le contenu de ces rubriques.</w:t>
      </w:r>
    </w:p>
    <w:p>
      <w:pPr>
        <w:pStyle w:val="Heading1"/>
        <w:rPr/>
      </w:pPr>
      <w:r>
        <w:rPr/>
        <w:t>2. Synthèse de l’architecture relevée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94"/>
        <w:gridCol w:w="3495"/>
        <w:gridCol w:w="3494"/>
      </w:tblGrid>
      <w:tr>
        <w:trPr>
          <w:tblHeader w:val="true"/>
        </w:trPr>
        <w:tc>
          <w:tcPr>
            <w:tcW w:w="3494" w:type="dxa"/>
            <w:tcBorders/>
            <w:shd w:fill="0B3D91"/>
          </w:tcPr>
          <w:p>
            <w:pPr>
              <w:pStyle w:val="Normal"/>
              <w:spacing w:before="0" w:after="80"/>
              <w:rPr/>
            </w:pPr>
            <w:r>
              <w:rPr>
                <w:b/>
                <w:color w:val="FFFFFF"/>
                <w:sz w:val="18"/>
              </w:rPr>
              <w:t>Rubrique</w:t>
            </w:r>
          </w:p>
        </w:tc>
        <w:tc>
          <w:tcPr>
            <w:tcW w:w="3495" w:type="dxa"/>
            <w:tcBorders/>
            <w:shd w:fill="0B3D91"/>
          </w:tcPr>
          <w:p>
            <w:pPr>
              <w:pStyle w:val="Normal"/>
              <w:spacing w:before="0" w:after="80"/>
              <w:rPr/>
            </w:pPr>
            <w:r>
              <w:rPr>
                <w:b/>
                <w:color w:val="FFFFFF"/>
                <w:sz w:val="18"/>
              </w:rPr>
              <w:t>Fonction publique</w:t>
            </w:r>
          </w:p>
        </w:tc>
        <w:tc>
          <w:tcPr>
            <w:tcW w:w="3494" w:type="dxa"/>
            <w:tcBorders/>
            <w:shd w:fill="0B3D91"/>
          </w:tcPr>
          <w:p>
            <w:pPr>
              <w:pStyle w:val="Normal"/>
              <w:spacing w:before="0" w:after="80"/>
              <w:rPr/>
            </w:pPr>
            <w:r>
              <w:rPr>
                <w:b/>
                <w:color w:val="FFFFFF"/>
                <w:sz w:val="18"/>
              </w:rPr>
              <w:t>Principaux contenus</w:t>
            </w:r>
          </w:p>
        </w:tc>
      </w:tr>
      <w:tr>
        <w:trPr/>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Qualité et engagements</w:t>
            </w:r>
          </w:p>
        </w:tc>
        <w:tc>
          <w:tcPr>
            <w:tcW w:w="3495"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Point d’entrée et engagements publics</w:t>
            </w:r>
          </w:p>
        </w:tc>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Conformité, protection, amélioration, redevabilité</w:t>
            </w:r>
          </w:p>
        </w:tc>
      </w:tr>
      <w:tr>
        <w:trPr/>
        <w:tc>
          <w:tcPr>
            <w:tcW w:w="3494"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Assurance qualité</w:t>
            </w:r>
          </w:p>
        </w:tc>
        <w:tc>
          <w:tcPr>
            <w:tcW w:w="3495"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Dispositif du DAQAC</w:t>
            </w:r>
          </w:p>
        </w:tc>
        <w:tc>
          <w:tcPr>
            <w:tcW w:w="3494"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12 domaines, cycle, écoute et réclamations</w:t>
            </w:r>
          </w:p>
        </w:tc>
      </w:tr>
      <w:tr>
        <w:trPr/>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Documentation</w:t>
            </w:r>
          </w:p>
        </w:tc>
        <w:tc>
          <w:tcPr>
            <w:tcW w:w="3495"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Bibliothèque de sources approuvées</w:t>
            </w:r>
          </w:p>
        </w:tc>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Codes, versions, propriétaires, langues et statuts</w:t>
            </w:r>
          </w:p>
        </w:tc>
      </w:tr>
      <w:tr>
        <w:trPr/>
        <w:tc>
          <w:tcPr>
            <w:tcW w:w="3494"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Départements</w:t>
            </w:r>
          </w:p>
        </w:tc>
        <w:tc>
          <w:tcPr>
            <w:tcW w:w="3495"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Répartition publique des responsabilités</w:t>
            </w:r>
          </w:p>
        </w:tc>
        <w:tc>
          <w:tcPr>
            <w:tcW w:w="3494"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7"/>
              </w:rPr>
              <w:t>DAQAC, DRH-GP, DBSPE, DAACIP, DLMT, DSI</w:t>
            </w:r>
          </w:p>
        </w:tc>
      </w:tr>
      <w:tr>
        <w:trPr/>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ÉMINA</w:t>
            </w:r>
          </w:p>
        </w:tc>
        <w:tc>
          <w:tcPr>
            <w:tcW w:w="3495"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Assistance institutionnelle encadrée</w:t>
            </w:r>
          </w:p>
        </w:tc>
        <w:tc>
          <w:tcPr>
            <w:tcW w:w="3494"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7"/>
              </w:rPr>
              <w:t>Expliquer, retrouver, guider, escalader, confidentialité</w:t>
            </w:r>
          </w:p>
        </w:tc>
      </w:tr>
    </w:tbl>
    <w:p>
      <w:pPr>
        <w:pStyle w:val="Heading1"/>
        <w:rPr/>
      </w:pPr>
      <w:r>
        <w:rPr/>
        <w:t>3. Sommaire analytique</w:t>
      </w:r>
    </w:p>
    <w:p>
      <w:pPr>
        <w:pStyle w:val="Normal"/>
        <w:rPr/>
      </w:pPr>
      <w:r>
        <w:rPr>
          <w:b/>
          <w:color w:val="0B3D91"/>
          <w:sz w:val="20"/>
        </w:rPr>
        <w:t>PARTIE I — Menu principal « Qualité et engagements »</w:t>
      </w:r>
    </w:p>
    <w:p>
      <w:pPr>
        <w:pStyle w:val="Normal"/>
        <w:spacing w:before="0" w:after="0"/>
        <w:ind w:start="340"/>
        <w:rPr/>
      </w:pPr>
      <w:r>
        <w:rPr>
          <w:sz w:val="17"/>
        </w:rPr>
        <w:t>1. Architecture du menu « Qualité et engagements »</w:t>
      </w:r>
    </w:p>
    <w:p>
      <w:pPr>
        <w:pStyle w:val="Normal"/>
        <w:spacing w:before="0" w:after="0"/>
        <w:ind w:start="340"/>
        <w:rPr/>
      </w:pPr>
      <w:r>
        <w:rPr>
          <w:sz w:val="17"/>
        </w:rPr>
        <w:t>2. Qualité et engagements — présentation générale</w:t>
      </w:r>
    </w:p>
    <w:p>
      <w:pPr>
        <w:pStyle w:val="Normal"/>
        <w:spacing w:before="0" w:after="0"/>
        <w:ind w:start="340"/>
        <w:rPr/>
      </w:pPr>
      <w:r>
        <w:rPr>
          <w:sz w:val="17"/>
        </w:rPr>
        <w:t>3. Une qualité visible, mesurable et améliorée en continu</w:t>
      </w:r>
    </w:p>
    <w:p>
      <w:pPr>
        <w:pStyle w:val="Normal"/>
        <w:spacing w:before="0" w:after="0"/>
        <w:ind w:start="340"/>
        <w:rPr/>
      </w:pPr>
      <w:r>
        <w:rPr>
          <w:sz w:val="17"/>
        </w:rPr>
        <w:t>4. Accès 01 — Assurance qualité</w:t>
      </w:r>
    </w:p>
    <w:p>
      <w:pPr>
        <w:pStyle w:val="Normal"/>
        <w:spacing w:before="0" w:after="0"/>
        <w:ind w:start="340"/>
        <w:rPr/>
      </w:pPr>
      <w:r>
        <w:rPr>
          <w:sz w:val="17"/>
        </w:rPr>
        <w:t>5. Accès 02 — Documentation publique</w:t>
      </w:r>
    </w:p>
    <w:p>
      <w:pPr>
        <w:pStyle w:val="Normal"/>
        <w:spacing w:before="0" w:after="0"/>
        <w:ind w:start="340"/>
        <w:rPr/>
      </w:pPr>
      <w:r>
        <w:rPr>
          <w:sz w:val="17"/>
        </w:rPr>
        <w:t>6. Accès 03 — Départements</w:t>
      </w:r>
    </w:p>
    <w:p>
      <w:pPr>
        <w:pStyle w:val="Normal"/>
        <w:spacing w:before="0" w:after="0"/>
        <w:ind w:start="340"/>
        <w:rPr/>
      </w:pPr>
      <w:r>
        <w:rPr>
          <w:sz w:val="17"/>
        </w:rPr>
        <w:t>7. Accès 04 — ÉMINA</w:t>
      </w:r>
    </w:p>
    <w:p>
      <w:pPr>
        <w:pStyle w:val="Normal"/>
        <w:spacing w:before="0" w:after="0"/>
        <w:ind w:start="340"/>
        <w:rPr/>
      </w:pPr>
      <w:r>
        <w:rPr>
          <w:sz w:val="17"/>
        </w:rPr>
        <w:t>8. Nos engagements publics</w:t>
      </w:r>
    </w:p>
    <w:p>
      <w:pPr>
        <w:pStyle w:val="Normal"/>
        <w:spacing w:before="0" w:after="0"/>
        <w:ind w:start="340"/>
        <w:rPr/>
      </w:pPr>
      <w:r>
        <w:rPr>
          <w:sz w:val="17"/>
        </w:rPr>
        <w:t>9. Conformité</w:t>
      </w:r>
    </w:p>
    <w:p>
      <w:pPr>
        <w:pStyle w:val="Normal"/>
        <w:spacing w:before="0" w:after="0"/>
        <w:ind w:start="340"/>
        <w:rPr/>
      </w:pPr>
      <w:r>
        <w:rPr>
          <w:sz w:val="17"/>
        </w:rPr>
        <w:t>10. Protection</w:t>
      </w:r>
    </w:p>
    <w:p>
      <w:pPr>
        <w:pStyle w:val="Normal"/>
        <w:spacing w:before="0" w:after="0"/>
        <w:ind w:start="340"/>
        <w:rPr/>
      </w:pPr>
      <w:r>
        <w:rPr>
          <w:sz w:val="17"/>
        </w:rPr>
        <w:t>11. Amélioration</w:t>
      </w:r>
    </w:p>
    <w:p>
      <w:pPr>
        <w:pStyle w:val="Normal"/>
        <w:spacing w:before="0" w:after="0"/>
        <w:ind w:start="340"/>
        <w:rPr/>
      </w:pPr>
      <w:r>
        <w:rPr>
          <w:sz w:val="17"/>
        </w:rPr>
        <w:t>12. Redevabilité</w:t>
      </w:r>
    </w:p>
    <w:p>
      <w:pPr>
        <w:pStyle w:val="Normal"/>
        <w:spacing w:before="0" w:after="0"/>
        <w:ind w:start="340"/>
        <w:rPr/>
      </w:pPr>
      <w:r>
        <w:rPr>
          <w:sz w:val="17"/>
        </w:rPr>
        <w:t>13. Documentation associée — page Qualité et engagements</w:t>
      </w:r>
    </w:p>
    <w:p>
      <w:pPr>
        <w:pStyle w:val="Normal"/>
        <w:rPr/>
      </w:pPr>
      <w:r>
        <w:rPr>
          <w:b/>
          <w:color w:val="0B3D91"/>
          <w:sz w:val="20"/>
        </w:rPr>
        <w:t>PARTIE II — Assurance qualité et amélioration continue</w:t>
      </w:r>
    </w:p>
    <w:p>
      <w:pPr>
        <w:pStyle w:val="Normal"/>
        <w:spacing w:before="0" w:after="0"/>
        <w:ind w:start="340"/>
        <w:rPr/>
      </w:pPr>
      <w:r>
        <w:rPr>
          <w:sz w:val="17"/>
        </w:rPr>
        <w:t>14. Assurance qualité et amélioration continue — présentation</w:t>
      </w:r>
    </w:p>
    <w:p>
      <w:pPr>
        <w:pStyle w:val="Normal"/>
        <w:spacing w:before="0" w:after="0"/>
        <w:ind w:start="340"/>
        <w:rPr/>
      </w:pPr>
      <w:r>
        <w:rPr>
          <w:sz w:val="17"/>
        </w:rPr>
        <w:t>15. Une démarche structurée et vérifiable</w:t>
      </w:r>
    </w:p>
    <w:p>
      <w:pPr>
        <w:pStyle w:val="Normal"/>
        <w:spacing w:before="0" w:after="0"/>
        <w:ind w:start="340"/>
        <w:rPr/>
      </w:pPr>
      <w:r>
        <w:rPr>
          <w:sz w:val="17"/>
        </w:rPr>
        <w:t>16. Mission du DAQAC</w:t>
      </w:r>
    </w:p>
    <w:p>
      <w:pPr>
        <w:pStyle w:val="Normal"/>
        <w:spacing w:before="0" w:after="0"/>
        <w:ind w:start="340"/>
        <w:rPr/>
      </w:pPr>
      <w:r>
        <w:rPr>
          <w:sz w:val="17"/>
        </w:rPr>
        <w:t>17. Les 12 domaines du référentiel qualité</w:t>
      </w:r>
    </w:p>
    <w:p>
      <w:pPr>
        <w:pStyle w:val="Normal"/>
        <w:spacing w:before="0" w:after="0"/>
        <w:ind w:start="340"/>
        <w:rPr/>
      </w:pPr>
      <w:r>
        <w:rPr>
          <w:sz w:val="17"/>
        </w:rPr>
        <w:t>18. Cycle d’amélioration</w:t>
      </w:r>
    </w:p>
    <w:p>
      <w:pPr>
        <w:pStyle w:val="Normal"/>
        <w:spacing w:before="0" w:after="0"/>
        <w:ind w:start="340"/>
        <w:rPr/>
      </w:pPr>
      <w:r>
        <w:rPr>
          <w:sz w:val="17"/>
        </w:rPr>
        <w:t>19. Planifier</w:t>
      </w:r>
    </w:p>
    <w:p>
      <w:pPr>
        <w:pStyle w:val="Normal"/>
        <w:spacing w:before="0" w:after="0"/>
        <w:ind w:start="340"/>
        <w:rPr/>
      </w:pPr>
      <w:r>
        <w:rPr>
          <w:sz w:val="17"/>
        </w:rPr>
        <w:t>20. Mettre en œuvre</w:t>
      </w:r>
    </w:p>
    <w:p>
      <w:pPr>
        <w:pStyle w:val="Normal"/>
        <w:spacing w:before="0" w:after="0"/>
        <w:ind w:start="340"/>
        <w:rPr/>
      </w:pPr>
      <w:r>
        <w:rPr>
          <w:sz w:val="17"/>
        </w:rPr>
        <w:t>21. Vérifier</w:t>
      </w:r>
    </w:p>
    <w:p>
      <w:pPr>
        <w:pStyle w:val="Normal"/>
        <w:spacing w:before="0" w:after="0"/>
        <w:ind w:start="340"/>
        <w:rPr/>
      </w:pPr>
      <w:r>
        <w:rPr>
          <w:sz w:val="17"/>
        </w:rPr>
        <w:t>22. Améliorer — étape du cycle</w:t>
      </w:r>
    </w:p>
    <w:p>
      <w:pPr>
        <w:pStyle w:val="Normal"/>
        <w:spacing w:before="0" w:after="0"/>
        <w:ind w:start="340"/>
        <w:rPr/>
      </w:pPr>
      <w:r>
        <w:rPr>
          <w:sz w:val="17"/>
        </w:rPr>
        <w:t>23. Écoute, réclamations et suggestions</w:t>
      </w:r>
    </w:p>
    <w:p>
      <w:pPr>
        <w:pStyle w:val="Normal"/>
        <w:spacing w:before="0" w:after="0"/>
        <w:ind w:start="340"/>
        <w:rPr/>
      </w:pPr>
      <w:r>
        <w:rPr>
          <w:sz w:val="17"/>
        </w:rPr>
        <w:t>24. Documentation associée — Assurance qualité</w:t>
      </w:r>
    </w:p>
    <w:p>
      <w:pPr>
        <w:pStyle w:val="Normal"/>
        <w:rPr/>
      </w:pPr>
      <w:r>
        <w:rPr>
          <w:b/>
          <w:color w:val="0B3D91"/>
          <w:sz w:val="20"/>
        </w:rPr>
        <w:t>PARTIE III — Documentation publique</w:t>
      </w:r>
    </w:p>
    <w:p>
      <w:pPr>
        <w:pStyle w:val="Normal"/>
        <w:spacing w:before="0" w:after="0"/>
        <w:ind w:start="340"/>
        <w:rPr/>
      </w:pPr>
      <w:r>
        <w:rPr>
          <w:sz w:val="17"/>
        </w:rPr>
        <w:t>25. Documentation publique — présentation</w:t>
      </w:r>
    </w:p>
    <w:p>
      <w:pPr>
        <w:pStyle w:val="Normal"/>
        <w:spacing w:before="0" w:after="0"/>
        <w:ind w:start="340"/>
        <w:rPr/>
      </w:pPr>
      <w:r>
        <w:rPr>
          <w:sz w:val="17"/>
        </w:rPr>
        <w:t>26. Une source officielle, sans doublon ni confusion</w:t>
      </w:r>
    </w:p>
    <w:p>
      <w:pPr>
        <w:pStyle w:val="Normal"/>
        <w:spacing w:before="0" w:after="0"/>
        <w:ind w:start="340"/>
        <w:rPr/>
      </w:pPr>
      <w:r>
        <w:rPr>
          <w:sz w:val="17"/>
        </w:rPr>
        <w:t>27. Filtrer les documents publics</w:t>
      </w:r>
    </w:p>
    <w:p>
      <w:pPr>
        <w:pStyle w:val="Normal"/>
        <w:spacing w:before="0" w:after="0"/>
        <w:ind w:start="340"/>
        <w:rPr/>
      </w:pPr>
      <w:r>
        <w:rPr>
          <w:sz w:val="17"/>
        </w:rPr>
        <w:t>28. Agrément et reconnaissance officielle — GSE-PUB-AGR-001</w:t>
      </w:r>
    </w:p>
    <w:p>
      <w:pPr>
        <w:pStyle w:val="Normal"/>
        <w:spacing w:before="0" w:after="0"/>
        <w:ind w:start="340"/>
        <w:rPr/>
      </w:pPr>
      <w:r>
        <w:rPr>
          <w:sz w:val="17"/>
        </w:rPr>
        <w:t>29. Assurance qualité et amélioration continue — GSE-PUB-QUA-001</w:t>
      </w:r>
    </w:p>
    <w:p>
      <w:pPr>
        <w:pStyle w:val="Normal"/>
        <w:spacing w:before="0" w:after="0"/>
        <w:ind w:start="340"/>
        <w:rPr/>
      </w:pPr>
      <w:r>
        <w:rPr>
          <w:sz w:val="17"/>
        </w:rPr>
        <w:t>30. Veille officielle et système d’alerte gradué — GSE-PUB-VEI-001</w:t>
      </w:r>
    </w:p>
    <w:p>
      <w:pPr>
        <w:pStyle w:val="Normal"/>
        <w:spacing w:before="0" w:after="0"/>
        <w:ind w:start="340"/>
        <w:rPr/>
      </w:pPr>
      <w:r>
        <w:rPr>
          <w:sz w:val="17"/>
        </w:rPr>
        <w:t>31. Bien-être, sécurité et protection de l’enfant — GSE-PUB-PRO-001</w:t>
      </w:r>
    </w:p>
    <w:p>
      <w:pPr>
        <w:pStyle w:val="Normal"/>
        <w:spacing w:before="0" w:after="0"/>
        <w:ind w:start="340"/>
        <w:rPr/>
      </w:pPr>
      <w:r>
        <w:rPr>
          <w:sz w:val="17"/>
        </w:rPr>
        <w:t>32. Admissions 2026-2027 — GSE-PUB-ADM-001</w:t>
      </w:r>
    </w:p>
    <w:p>
      <w:pPr>
        <w:pStyle w:val="Normal"/>
        <w:spacing w:before="0" w:after="0"/>
        <w:ind w:start="340"/>
        <w:rPr/>
      </w:pPr>
      <w:r>
        <w:rPr>
          <w:sz w:val="17"/>
        </w:rPr>
        <w:t>33. Confidentialité et protection des données — GSE-PUB-PRI-001</w:t>
      </w:r>
    </w:p>
    <w:p>
      <w:pPr>
        <w:pStyle w:val="Normal"/>
        <w:spacing w:before="0" w:after="0"/>
        <w:ind w:start="340"/>
        <w:rPr/>
      </w:pPr>
      <w:r>
        <w:rPr>
          <w:sz w:val="17"/>
        </w:rPr>
        <w:t>34. ÉMINA — Assistante institutionnelle — GSE-PUB-EMI-001</w:t>
      </w:r>
    </w:p>
    <w:p>
      <w:pPr>
        <w:pStyle w:val="Normal"/>
        <w:rPr/>
      </w:pPr>
      <w:r>
        <w:rPr>
          <w:b/>
          <w:color w:val="0B3D91"/>
          <w:sz w:val="20"/>
        </w:rPr>
        <w:t>PARTIE IV — Départements institutionnels et pages détaillées</w:t>
      </w:r>
    </w:p>
    <w:p>
      <w:pPr>
        <w:pStyle w:val="Normal"/>
        <w:spacing w:before="0" w:after="0"/>
        <w:ind w:start="340"/>
        <w:rPr/>
      </w:pPr>
      <w:r>
        <w:rPr>
          <w:sz w:val="17"/>
        </w:rPr>
        <w:t>35. Départements institutionnels — présentation</w:t>
      </w:r>
    </w:p>
    <w:p>
      <w:pPr>
        <w:pStyle w:val="Normal"/>
        <w:spacing w:before="0" w:after="0"/>
        <w:ind w:start="340"/>
        <w:rPr/>
      </w:pPr>
      <w:r>
        <w:rPr>
          <w:sz w:val="17"/>
        </w:rPr>
        <w:t>36. Des responsabilités distinctes, une même mission</w:t>
      </w:r>
    </w:p>
    <w:p>
      <w:pPr>
        <w:pStyle w:val="Normal"/>
        <w:spacing w:before="0" w:after="0"/>
        <w:ind w:start="340"/>
        <w:rPr/>
      </w:pPr>
      <w:r>
        <w:rPr>
          <w:sz w:val="17"/>
        </w:rPr>
        <w:t>37. DAQAC — Assurance qualité</w:t>
      </w:r>
    </w:p>
    <w:p>
      <w:pPr>
        <w:pStyle w:val="Normal"/>
        <w:spacing w:before="0" w:after="0"/>
        <w:ind w:start="340"/>
        <w:rPr/>
      </w:pPr>
      <w:r>
        <w:rPr>
          <w:sz w:val="17"/>
        </w:rPr>
        <w:t>38. DRH-GP — Ressources humaines</w:t>
      </w:r>
    </w:p>
    <w:p>
      <w:pPr>
        <w:pStyle w:val="Normal"/>
        <w:spacing w:before="0" w:after="0"/>
        <w:ind w:start="340"/>
        <w:rPr/>
      </w:pPr>
      <w:r>
        <w:rPr>
          <w:sz w:val="17"/>
        </w:rPr>
        <w:t>39. DBSPE — Bien-être et protection</w:t>
      </w:r>
    </w:p>
    <w:p>
      <w:pPr>
        <w:pStyle w:val="Normal"/>
        <w:spacing w:before="0" w:after="0"/>
        <w:ind w:start="340"/>
        <w:rPr/>
      </w:pPr>
      <w:r>
        <w:rPr>
          <w:sz w:val="17"/>
        </w:rPr>
        <w:t>40. DAACIP — Affaires académiques</w:t>
      </w:r>
    </w:p>
    <w:p>
      <w:pPr>
        <w:pStyle w:val="Normal"/>
        <w:spacing w:before="0" w:after="0"/>
        <w:ind w:start="340"/>
        <w:rPr/>
      </w:pPr>
      <w:r>
        <w:rPr>
          <w:sz w:val="17"/>
        </w:rPr>
        <w:t>41. DLMT — Logistique et maintenance</w:t>
      </w:r>
    </w:p>
    <w:p>
      <w:pPr>
        <w:pStyle w:val="Normal"/>
        <w:spacing w:before="0" w:after="0"/>
        <w:ind w:start="340"/>
        <w:rPr/>
      </w:pPr>
      <w:r>
        <w:rPr>
          <w:sz w:val="17"/>
        </w:rPr>
        <w:t>42. DSI — Systèmes d’information</w:t>
      </w:r>
    </w:p>
    <w:p>
      <w:pPr>
        <w:pStyle w:val="Normal"/>
        <w:spacing w:before="0" w:after="0"/>
        <w:ind w:start="340"/>
        <w:rPr/>
      </w:pPr>
      <w:r>
        <w:rPr>
          <w:sz w:val="17"/>
        </w:rPr>
        <w:t>43. Documentation associée — Départements</w:t>
      </w:r>
    </w:p>
    <w:p>
      <w:pPr>
        <w:pStyle w:val="Normal"/>
        <w:spacing w:before="0" w:after="0"/>
        <w:ind w:start="340"/>
        <w:rPr/>
      </w:pPr>
      <w:r>
        <w:rPr>
          <w:sz w:val="17"/>
        </w:rPr>
        <w:t>44. DRH-GP — Mission, engagements et collaboration</w:t>
      </w:r>
    </w:p>
    <w:p>
      <w:pPr>
        <w:pStyle w:val="Normal"/>
        <w:spacing w:before="0" w:after="0"/>
        <w:ind w:start="340"/>
        <w:rPr/>
      </w:pPr>
      <w:r>
        <w:rPr>
          <w:sz w:val="17"/>
        </w:rPr>
        <w:t>45. DBSPE — Mission, engagements et collaboration</w:t>
      </w:r>
    </w:p>
    <w:p>
      <w:pPr>
        <w:pStyle w:val="Normal"/>
        <w:spacing w:before="0" w:after="0"/>
        <w:ind w:start="340"/>
        <w:rPr/>
      </w:pPr>
      <w:r>
        <w:rPr>
          <w:sz w:val="17"/>
        </w:rPr>
        <w:t>46. DAACIP — Mission, engagements et collaboration</w:t>
      </w:r>
    </w:p>
    <w:p>
      <w:pPr>
        <w:pStyle w:val="Normal"/>
        <w:spacing w:before="0" w:after="0"/>
        <w:ind w:start="340"/>
        <w:rPr/>
      </w:pPr>
      <w:r>
        <w:rPr>
          <w:sz w:val="17"/>
        </w:rPr>
        <w:t>47. DLMT — Mission, engagements et collaboration</w:t>
      </w:r>
    </w:p>
    <w:p>
      <w:pPr>
        <w:pStyle w:val="Normal"/>
        <w:spacing w:before="0" w:after="0"/>
        <w:ind w:start="340"/>
        <w:rPr/>
      </w:pPr>
      <w:r>
        <w:rPr>
          <w:sz w:val="17"/>
        </w:rPr>
        <w:t>48. DSI — Mission, engagements et collaboration</w:t>
      </w:r>
    </w:p>
    <w:p>
      <w:pPr>
        <w:pStyle w:val="Normal"/>
        <w:spacing w:before="0" w:after="0"/>
        <w:ind w:start="340"/>
        <w:rPr/>
      </w:pPr>
      <w:r>
        <w:rPr>
          <w:sz w:val="17"/>
        </w:rPr>
        <w:t>49. ÉMINA — présentation générale</w:t>
      </w:r>
    </w:p>
    <w:p>
      <w:pPr>
        <w:pStyle w:val="Normal"/>
        <w:rPr/>
      </w:pPr>
      <w:r>
        <w:rPr>
          <w:b/>
          <w:color w:val="0B3D91"/>
          <w:sz w:val="20"/>
        </w:rPr>
        <w:t>PARTIE V — ÉMINA — Assistante institutionnelle</w:t>
      </w:r>
    </w:p>
    <w:p>
      <w:pPr>
        <w:pStyle w:val="Normal"/>
        <w:spacing w:before="0" w:after="0"/>
        <w:ind w:start="340"/>
        <w:rPr/>
      </w:pPr>
      <w:r>
        <w:rPr>
          <w:sz w:val="17"/>
        </w:rPr>
        <w:t>50. Une assistante unique, encadrée et transparente</w:t>
      </w:r>
    </w:p>
    <w:p>
      <w:pPr>
        <w:pStyle w:val="Normal"/>
        <w:spacing w:before="0" w:after="0"/>
        <w:ind w:start="340"/>
        <w:rPr/>
      </w:pPr>
      <w:r>
        <w:rPr>
          <w:sz w:val="17"/>
        </w:rPr>
        <w:t>51. Une identité unique</w:t>
      </w:r>
    </w:p>
    <w:p>
      <w:pPr>
        <w:pStyle w:val="Normal"/>
        <w:spacing w:before="0" w:after="0"/>
        <w:ind w:start="340"/>
        <w:rPr/>
      </w:pPr>
      <w:r>
        <w:rPr>
          <w:sz w:val="17"/>
        </w:rPr>
        <w:t>52. Voici l’aide qu’ÉMINA peut vous apporter</w:t>
      </w:r>
    </w:p>
    <w:p>
      <w:pPr>
        <w:pStyle w:val="Normal"/>
        <w:spacing w:before="0" w:after="0"/>
        <w:ind w:start="340"/>
        <w:rPr/>
      </w:pPr>
      <w:r>
        <w:rPr>
          <w:sz w:val="17"/>
        </w:rPr>
        <w:t>53. Expliquer</w:t>
      </w:r>
    </w:p>
    <w:p>
      <w:pPr>
        <w:pStyle w:val="Normal"/>
        <w:spacing w:before="0" w:after="0"/>
        <w:ind w:start="340"/>
        <w:rPr/>
      </w:pPr>
      <w:r>
        <w:rPr>
          <w:sz w:val="17"/>
        </w:rPr>
        <w:t>54. Retrouver</w:t>
      </w:r>
    </w:p>
    <w:p>
      <w:pPr>
        <w:pStyle w:val="Normal"/>
        <w:spacing w:before="0" w:after="0"/>
        <w:ind w:start="340"/>
        <w:rPr/>
      </w:pPr>
      <w:r>
        <w:rPr>
          <w:sz w:val="17"/>
        </w:rPr>
        <w:t>55. Guider</w:t>
      </w:r>
    </w:p>
    <w:p>
      <w:pPr>
        <w:pStyle w:val="Normal"/>
        <w:spacing w:before="0" w:after="0"/>
        <w:ind w:start="340"/>
        <w:rPr/>
      </w:pPr>
      <w:r>
        <w:rPr>
          <w:sz w:val="17"/>
        </w:rPr>
        <w:t>56. Escalader</w:t>
      </w:r>
    </w:p>
    <w:p>
      <w:pPr>
        <w:pStyle w:val="Normal"/>
        <w:spacing w:before="0" w:after="0"/>
        <w:ind w:start="340"/>
        <w:rPr/>
      </w:pPr>
      <w:r>
        <w:rPr>
          <w:sz w:val="17"/>
        </w:rPr>
        <w:t>57. Sources et transparence</w:t>
      </w:r>
    </w:p>
    <w:p>
      <w:pPr>
        <w:pStyle w:val="Normal"/>
        <w:spacing w:before="0" w:after="0"/>
        <w:ind w:start="340"/>
        <w:rPr/>
      </w:pPr>
      <w:r>
        <w:rPr>
          <w:sz w:val="17"/>
        </w:rPr>
        <w:t>58. Confidentialité et conversation</w:t>
      </w:r>
    </w:p>
    <w:p>
      <w:pPr>
        <w:pStyle w:val="Normal"/>
        <w:spacing w:before="0" w:after="0"/>
        <w:ind w:start="340"/>
        <w:rPr/>
      </w:pPr>
      <w:r>
        <w:rPr>
          <w:sz w:val="17"/>
        </w:rPr>
        <w:t>59. Documentation associée — ÉMINA</w:t>
      </w:r>
    </w:p>
    <w:p>
      <w:pPr>
        <w:pStyle w:val="Normal"/>
        <w:rPr/>
      </w:pPr>
      <w:r>
        <w:rPr/>
      </w:r>
      <w:r>
        <w:br w:type="page"/>
      </w:r>
    </w:p>
    <w:p>
      <w:pPr>
        <w:pStyle w:val="Normal"/>
        <w:spacing w:before="0" w:after="60"/>
        <w:jc w:val="center"/>
        <w:rPr/>
      </w:pPr>
      <w:r>
        <w:rPr>
          <w:b/>
          <w:color w:val="D4A017"/>
          <w:sz w:val="28"/>
        </w:rPr>
        <w:t>PARTIE I</w:t>
      </w:r>
    </w:p>
    <w:p>
      <w:pPr>
        <w:pStyle w:val="Normal"/>
        <w:jc w:val="center"/>
        <w:rPr/>
      </w:pPr>
      <w:r>
        <w:rPr>
          <w:b/>
          <w:color w:val="0B3D91"/>
          <w:sz w:val="44"/>
        </w:rPr>
        <w:t>MENU PRINCIPAL « QUALITÉ ET ENGAGEMENTS »</w:t>
      </w:r>
    </w:p>
    <w:p>
      <w:pPr>
        <w:pStyle w:val="Normal"/>
        <w:jc w:val="center"/>
        <w:rPr/>
      </w:pPr>
      <w:r>
        <w:rPr>
          <w:i/>
          <w:color w:val="1F2937"/>
          <w:sz w:val="20"/>
        </w:rPr>
        <w:t>Relevé • Analyse • Banque de questions-réponses</w:t>
      </w:r>
    </w:p>
    <w:p>
      <w:pPr>
        <w:pStyle w:val="Normal"/>
        <w:rPr/>
      </w:pPr>
      <w:r>
        <w:rPr/>
      </w:r>
      <w:r>
        <w:br w:type="page"/>
      </w:r>
    </w:p>
    <w:p>
      <w:pPr>
        <w:pStyle w:val="Heading2"/>
        <w:spacing w:before="0" w:after="80"/>
        <w:rPr/>
      </w:pPr>
      <w:r>
        <w:rPr/>
        <w:t>FICHE 01 — Architecture du menu « Qualité et engagements »</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menu réunit quatre accès directs : Assurance qualité, Documentation, Départements et ÉMINA.</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rassemble les mécanismes par lesquels l’école démontre sa qualité et formalise ses engagements.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rend visibles la responsabilité, la transparence et l’amélioration continue dans l’ensemble du projet scolaire.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directs avec Assurance qualité, Documentation publique, Départements institutionnels et ÉMINA.</w:t>
            </w:r>
          </w:p>
        </w:tc>
      </w:tr>
    </w:tbl>
    <w:p>
      <w:pPr>
        <w:pStyle w:val="Heading3"/>
        <w:rPr/>
      </w:pPr>
      <w:r>
        <w:rPr/>
        <w:t>Points développés</w:t>
      </w:r>
    </w:p>
    <w:p>
      <w:pPr>
        <w:pStyle w:val="ListBullet"/>
        <w:numPr>
          <w:ilvl w:val="0"/>
          <w:numId w:val="1"/>
        </w:numPr>
        <w:spacing w:before="0" w:after="20"/>
        <w:ind w:hanging="360" w:start="255"/>
        <w:contextualSpacing/>
        <w:rPr/>
      </w:pPr>
      <w:r>
        <w:rPr>
          <w:sz w:val="18"/>
        </w:rPr>
        <w:t>Sous-menu Assurance qualité</w:t>
      </w:r>
    </w:p>
    <w:p>
      <w:pPr>
        <w:pStyle w:val="ListBullet"/>
        <w:numPr>
          <w:ilvl w:val="0"/>
          <w:numId w:val="1"/>
        </w:numPr>
        <w:spacing w:before="0" w:after="20"/>
        <w:ind w:hanging="360" w:start="255"/>
        <w:contextualSpacing/>
        <w:rPr/>
      </w:pPr>
      <w:r>
        <w:rPr>
          <w:sz w:val="18"/>
        </w:rPr>
        <w:t>Sous-menu Documentation</w:t>
      </w:r>
    </w:p>
    <w:p>
      <w:pPr>
        <w:pStyle w:val="ListBullet"/>
        <w:numPr>
          <w:ilvl w:val="0"/>
          <w:numId w:val="1"/>
        </w:numPr>
        <w:spacing w:before="0" w:after="20"/>
        <w:ind w:hanging="360" w:start="255"/>
        <w:contextualSpacing/>
        <w:rPr/>
      </w:pPr>
      <w:r>
        <w:rPr>
          <w:sz w:val="18"/>
        </w:rPr>
        <w:t>Sous-menu Départements</w:t>
      </w:r>
    </w:p>
    <w:p>
      <w:pPr>
        <w:pStyle w:val="ListBullet"/>
        <w:numPr>
          <w:ilvl w:val="0"/>
          <w:numId w:val="1"/>
        </w:numPr>
        <w:spacing w:before="0" w:after="20"/>
        <w:ind w:hanging="360" w:start="255"/>
        <w:contextualSpacing/>
        <w:rPr/>
      </w:pPr>
      <w:r>
        <w:rPr>
          <w:sz w:val="18"/>
        </w:rPr>
        <w:t>Sous-menu ÉMINA</w:t>
      </w:r>
    </w:p>
    <w:p>
      <w:pPr>
        <w:pStyle w:val="Heading3"/>
        <w:rPr/>
      </w:pPr>
      <w:r>
        <w:rPr/>
        <w:t>Banque de questions-réponses</w:t>
      </w:r>
    </w:p>
    <w:p>
      <w:pPr>
        <w:pStyle w:val="Normal"/>
        <w:keepNext w:val="true"/>
        <w:spacing w:before="40" w:after="0"/>
        <w:ind w:start="85" w:end="85"/>
        <w:rPr/>
      </w:pPr>
      <w:r>
        <w:rPr>
          <w:b/>
          <w:color w:val="0B3D91"/>
          <w:sz w:val="17"/>
        </w:rPr>
        <w:t>Q1. Que présente la section « Architecture du menu « Qualité et engagements » » ?</w:t>
      </w:r>
    </w:p>
    <w:p>
      <w:pPr>
        <w:pStyle w:val="Normal"/>
        <w:spacing w:before="0" w:after="40"/>
        <w:ind w:start="255" w:end="85"/>
        <w:rPr/>
      </w:pPr>
      <w:r>
        <w:rPr>
          <w:b/>
          <w:color w:val="D4A017"/>
          <w:sz w:val="17"/>
        </w:rPr>
        <w:t xml:space="preserve">Réponse : </w:t>
      </w:r>
      <w:r>
        <w:rPr>
          <w:color w:val="1F2937"/>
          <w:sz w:val="17"/>
        </w:rPr>
        <w:t>Le menu réunit quatre accès directs : Assurance qualité, Documentation, Départements et ÉMINA.</w:t>
      </w:r>
    </w:p>
    <w:p>
      <w:pPr>
        <w:pStyle w:val="Normal"/>
        <w:keepNext w:val="true"/>
        <w:spacing w:before="40" w:after="0"/>
        <w:ind w:start="85" w:end="85"/>
        <w:rPr/>
      </w:pPr>
      <w:r>
        <w:rPr>
          <w:b/>
          <w:color w:val="0B3D91"/>
          <w:sz w:val="17"/>
        </w:rPr>
        <w:t>Q2. Quel est l’objectif principal exposé dans « Architecture du menu « Qualité et engagements » » ?</w:t>
      </w:r>
    </w:p>
    <w:p>
      <w:pPr>
        <w:pStyle w:val="Normal"/>
        <w:spacing w:before="0" w:after="40"/>
        <w:ind w:start="255" w:end="85"/>
        <w:rPr/>
      </w:pPr>
      <w:r>
        <w:rPr>
          <w:b/>
          <w:color w:val="D4A017"/>
          <w:sz w:val="17"/>
        </w:rPr>
        <w:t xml:space="preserve">Réponse : </w:t>
      </w:r>
      <w:r>
        <w:rPr>
          <w:color w:val="1F2937"/>
          <w:sz w:val="17"/>
        </w:rPr>
        <w:t>Donner au public un point d’entrée unique vers les engagements institutionnels et les services de référence.</w:t>
      </w:r>
    </w:p>
    <w:p>
      <w:pPr>
        <w:pStyle w:val="Normal"/>
        <w:keepNext w:val="true"/>
        <w:spacing w:before="40" w:after="0"/>
        <w:ind w:start="85" w:end="85"/>
        <w:rPr/>
      </w:pPr>
      <w:r>
        <w:rPr>
          <w:b/>
          <w:color w:val="0B3D91"/>
          <w:sz w:val="17"/>
        </w:rPr>
        <w:t>Q3. Quels éléments ou domaines sont couverts par « Architecture du menu « Qualité et engagements » » ?</w:t>
      </w:r>
    </w:p>
    <w:p>
      <w:pPr>
        <w:pStyle w:val="Normal"/>
        <w:spacing w:before="0" w:after="40"/>
        <w:ind w:start="255" w:end="85"/>
        <w:rPr/>
      </w:pPr>
      <w:r>
        <w:rPr>
          <w:b/>
          <w:color w:val="D4A017"/>
          <w:sz w:val="17"/>
        </w:rPr>
        <w:t xml:space="preserve">Réponse : </w:t>
      </w:r>
      <w:r>
        <w:rPr>
          <w:color w:val="1F2937"/>
          <w:sz w:val="17"/>
        </w:rPr>
        <w:t>Assurance qualité, documentation publique, missions des départements et rôle de l’assistante institutionnelle.</w:t>
      </w:r>
    </w:p>
    <w:p>
      <w:pPr>
        <w:pStyle w:val="Normal"/>
        <w:keepNext w:val="true"/>
        <w:spacing w:before="40" w:after="0"/>
        <w:ind w:start="85" w:end="85"/>
        <w:rPr/>
      </w:pPr>
      <w:r>
        <w:rPr>
          <w:b/>
          <w:color w:val="0B3D91"/>
          <w:sz w:val="17"/>
        </w:rPr>
        <w:t>Q4. Qui porte, coordonne ou garantit les éléments présentés dans « Architecture du menu « Qualité et engagements » » ?</w:t>
      </w:r>
    </w:p>
    <w:p>
      <w:pPr>
        <w:pStyle w:val="Normal"/>
        <w:spacing w:before="0" w:after="40"/>
        <w:ind w:start="255" w:end="85"/>
        <w:rPr/>
      </w:pPr>
      <w:r>
        <w:rPr>
          <w:b/>
          <w:color w:val="D4A017"/>
          <w:sz w:val="17"/>
        </w:rPr>
        <w:t xml:space="preserve">Réponse : </w:t>
      </w:r>
      <w:r>
        <w:rPr>
          <w:color w:val="1F2937"/>
          <w:sz w:val="17"/>
        </w:rPr>
        <w:t>Le GROUPE SCOLAIRE LES ÉMINENTS organise cette architecture publique.</w:t>
      </w:r>
    </w:p>
    <w:p>
      <w:pPr>
        <w:pStyle w:val="Normal"/>
        <w:keepNext w:val="true"/>
        <w:spacing w:before="40" w:after="0"/>
        <w:ind w:start="85" w:end="85"/>
        <w:rPr/>
      </w:pPr>
      <w:r>
        <w:rPr>
          <w:b/>
          <w:color w:val="0B3D91"/>
          <w:sz w:val="17"/>
        </w:rPr>
        <w:t>Q5. Comment la section « Architecture du menu « Qualité et engagements » » prévoit-elle la mise en œuvre ou le suivi ?</w:t>
      </w:r>
    </w:p>
    <w:p>
      <w:pPr>
        <w:pStyle w:val="Normal"/>
        <w:spacing w:before="0" w:after="40"/>
        <w:ind w:start="255" w:end="85"/>
        <w:rPr/>
      </w:pPr>
      <w:r>
        <w:rPr>
          <w:b/>
          <w:color w:val="D4A017"/>
          <w:sz w:val="17"/>
        </w:rPr>
        <w:t xml:space="preserve">Réponse : </w:t>
      </w:r>
      <w:r>
        <w:rPr>
          <w:color w:val="1F2937"/>
          <w:sz w:val="17"/>
        </w:rPr>
        <w:t>Le visiteur choisit la rubrique correspondant à son besoin puis accède à la page spécialisée.</w:t>
      </w:r>
    </w:p>
    <w:p>
      <w:pPr>
        <w:pStyle w:val="Normal"/>
        <w:keepNext w:val="true"/>
        <w:spacing w:before="40" w:after="0"/>
        <w:ind w:start="85" w:end="85"/>
        <w:rPr/>
      </w:pPr>
      <w:r>
        <w:rPr>
          <w:b/>
          <w:color w:val="0B3D91"/>
          <w:sz w:val="17"/>
        </w:rPr>
        <w:t>Q6. Quelle preuve, référence, règle ou information de statut accompagne « Architecture du menu « Qualité et engagements » » ?</w:t>
      </w:r>
    </w:p>
    <w:p>
      <w:pPr>
        <w:pStyle w:val="Normal"/>
        <w:spacing w:before="0" w:after="40"/>
        <w:ind w:start="255" w:end="85"/>
        <w:rPr/>
      </w:pPr>
      <w:r>
        <w:rPr>
          <w:b/>
          <w:color w:val="D4A017"/>
          <w:sz w:val="17"/>
        </w:rPr>
        <w:t xml:space="preserve">Réponse : </w:t>
      </w:r>
      <w:r>
        <w:rPr>
          <w:color w:val="1F2937"/>
          <w:sz w:val="17"/>
        </w:rPr>
        <w:t>Les quatre sous-menus sont visibles dans la navigation principale du site test.</w:t>
      </w:r>
    </w:p>
    <w:p>
      <w:pPr>
        <w:pStyle w:val="Normal"/>
        <w:keepNext w:val="true"/>
        <w:spacing w:before="40" w:after="0"/>
        <w:ind w:start="85" w:end="85"/>
        <w:rPr/>
      </w:pPr>
      <w:r>
        <w:rPr>
          <w:b/>
          <w:color w:val="0B3D91"/>
          <w:sz w:val="17"/>
        </w:rPr>
        <w:t>Q7. Quelles limites de diffusion, de décision ou d’accès sont précisées pour « Architecture du menu « Qualité et engagements » » ?</w:t>
      </w:r>
    </w:p>
    <w:p>
      <w:pPr>
        <w:pStyle w:val="Normal"/>
        <w:spacing w:before="0" w:after="40"/>
        <w:ind w:start="255" w:end="85"/>
        <w:rPr/>
      </w:pPr>
      <w:r>
        <w:rPr>
          <w:b/>
          <w:color w:val="D4A017"/>
          <w:sz w:val="17"/>
        </w:rPr>
        <w:t xml:space="preserve">Réponse : </w:t>
      </w:r>
      <w:r>
        <w:rPr>
          <w:color w:val="1F2937"/>
          <w:sz w:val="17"/>
        </w:rPr>
        <w:t>Les procédures internes, dossiers individuels et contrôles détaillés restent hors de l’espace public.</w:t>
      </w:r>
    </w:p>
    <w:p>
      <w:pPr>
        <w:pStyle w:val="Normal"/>
        <w:keepNext w:val="true"/>
        <w:spacing w:before="40" w:after="0"/>
        <w:ind w:start="85" w:end="85"/>
        <w:rPr/>
      </w:pPr>
      <w:r>
        <w:rPr>
          <w:b/>
          <w:color w:val="0B3D91"/>
          <w:sz w:val="17"/>
        </w:rPr>
        <w:t>Q8. À quels publics ou bénéficiaires la section « Architecture du menu « Qualité et engagements » » est-elle principalement destinée ?</w:t>
      </w:r>
    </w:p>
    <w:p>
      <w:pPr>
        <w:pStyle w:val="Normal"/>
        <w:spacing w:before="0" w:after="40"/>
        <w:ind w:start="255" w:end="85"/>
        <w:rPr/>
      </w:pPr>
      <w:r>
        <w:rPr>
          <w:b/>
          <w:color w:val="D4A017"/>
          <w:sz w:val="17"/>
        </w:rPr>
        <w:t xml:space="preserve">Réponse : </w:t>
      </w:r>
      <w:r>
        <w:rPr>
          <w:color w:val="1F2937"/>
          <w:sz w:val="17"/>
        </w:rPr>
        <w:t>Familles, partenaires, visiteurs, agents et personnes recherchant une information officielle.</w:t>
      </w:r>
    </w:p>
    <w:p>
      <w:pPr>
        <w:pStyle w:val="Normal"/>
        <w:keepNext w:val="true"/>
        <w:spacing w:before="40" w:after="0"/>
        <w:ind w:start="85" w:end="85"/>
        <w:rPr/>
      </w:pPr>
      <w:r>
        <w:rPr>
          <w:b/>
          <w:color w:val="0B3D91"/>
          <w:sz w:val="17"/>
        </w:rPr>
        <w:t>Q9. À quelles autres rubriques ou fonctions du site « Architecture du menu « Qualité et engagements » » est-il relié ?</w:t>
      </w:r>
    </w:p>
    <w:p>
      <w:pPr>
        <w:pStyle w:val="Normal"/>
        <w:spacing w:before="0" w:after="40"/>
        <w:ind w:start="255" w:end="85"/>
        <w:rPr/>
      </w:pPr>
      <w:r>
        <w:rPr>
          <w:b/>
          <w:color w:val="D4A017"/>
          <w:sz w:val="17"/>
        </w:rPr>
        <w:t xml:space="preserve">Réponse : </w:t>
      </w:r>
      <w:r>
        <w:rPr>
          <w:color w:val="1F2937"/>
          <w:sz w:val="17"/>
        </w:rPr>
        <w:t>Ce menu relie la gouvernance, la qualité, la documentation, les départements, la confidentialité et l’assistance humaine.</w:t>
      </w:r>
    </w:p>
    <w:p>
      <w:pPr>
        <w:pStyle w:val="Normal"/>
        <w:keepNext w:val="true"/>
        <w:spacing w:before="40" w:after="0"/>
        <w:ind w:start="85" w:end="85"/>
        <w:rPr/>
      </w:pPr>
      <w:r>
        <w:rPr>
          <w:b/>
          <w:color w:val="0B3D91"/>
          <w:sz w:val="17"/>
        </w:rPr>
        <w:t>Q10. Quelle action, orientation ou résultat concret le lecteur peut-il retenir de « Architecture du menu « Qualité et engagements » » ?</w:t>
      </w:r>
    </w:p>
    <w:p>
      <w:pPr>
        <w:pStyle w:val="Normal"/>
        <w:spacing w:before="0" w:after="40"/>
        <w:ind w:start="255" w:end="85"/>
        <w:rPr/>
      </w:pPr>
      <w:r>
        <w:rPr>
          <w:b/>
          <w:color w:val="D4A017"/>
          <w:sz w:val="17"/>
        </w:rPr>
        <w:t xml:space="preserve">Réponse : </w:t>
      </w:r>
      <w:r>
        <w:rPr>
          <w:color w:val="1F2937"/>
          <w:sz w:val="17"/>
        </w:rPr>
        <w:t>Identifier rapidement la bonne source ou le bon service sans confondre information publique et données protégées.</w:t>
      </w:r>
    </w:p>
    <w:p>
      <w:pPr>
        <w:pStyle w:val="Normal"/>
        <w:rPr/>
      </w:pPr>
      <w:r>
        <w:rPr/>
      </w:r>
      <w:r>
        <w:br w:type="page"/>
      </w:r>
    </w:p>
    <w:p>
      <w:pPr>
        <w:pStyle w:val="Heading2"/>
        <w:spacing w:before="0" w:after="80"/>
        <w:rPr/>
      </w:pPr>
      <w:r>
        <w:rPr/>
        <w:t>FICHE 02 — Qualité et engagements — présentation générale</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est le point d’entrée public vers l’assurance qualité, la documentation, les départements et les engagements de service du GSE.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associe la qualité mesurée aux promesses de service assumées par l’établissement.</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page renforce la confiance en montrant que l’école ne se limite pas à des déclarations générales.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Elle sert de carrefour vers toutes les pages de gouvernance et de responsabilité institutionnelle.</w:t>
            </w:r>
          </w:p>
        </w:tc>
      </w:tr>
    </w:tbl>
    <w:p>
      <w:pPr>
        <w:pStyle w:val="Heading3"/>
        <w:rPr/>
      </w:pPr>
      <w:r>
        <w:rPr/>
        <w:t>Points développés</w:t>
      </w:r>
    </w:p>
    <w:p>
      <w:pPr>
        <w:pStyle w:val="ListBullet"/>
        <w:numPr>
          <w:ilvl w:val="0"/>
          <w:numId w:val="1"/>
        </w:numPr>
        <w:spacing w:before="0" w:after="20"/>
        <w:ind w:hanging="360" w:start="255"/>
        <w:contextualSpacing/>
        <w:rPr/>
      </w:pPr>
      <w:r>
        <w:rPr>
          <w:sz w:val="18"/>
        </w:rPr>
        <w:t>Point d’entrée public</w:t>
      </w:r>
    </w:p>
    <w:p>
      <w:pPr>
        <w:pStyle w:val="ListBullet"/>
        <w:numPr>
          <w:ilvl w:val="0"/>
          <w:numId w:val="1"/>
        </w:numPr>
        <w:spacing w:before="0" w:after="20"/>
        <w:ind w:hanging="360" w:start="255"/>
        <w:contextualSpacing/>
        <w:rPr/>
      </w:pPr>
      <w:r>
        <w:rPr>
          <w:sz w:val="18"/>
        </w:rPr>
        <w:t>Engagements de service</w:t>
      </w:r>
    </w:p>
    <w:p>
      <w:pPr>
        <w:pStyle w:val="ListBullet"/>
        <w:numPr>
          <w:ilvl w:val="0"/>
          <w:numId w:val="1"/>
        </w:numPr>
        <w:spacing w:before="0" w:after="20"/>
        <w:ind w:hanging="360" w:start="255"/>
        <w:contextualSpacing/>
        <w:rPr/>
      </w:pPr>
      <w:r>
        <w:rPr>
          <w:sz w:val="18"/>
        </w:rPr>
        <w:t>Orientation vers quatre rubriques</w:t>
      </w:r>
    </w:p>
    <w:p>
      <w:pPr>
        <w:pStyle w:val="ListBullet"/>
        <w:numPr>
          <w:ilvl w:val="0"/>
          <w:numId w:val="1"/>
        </w:numPr>
        <w:spacing w:before="0" w:after="20"/>
        <w:ind w:hanging="360" w:start="255"/>
        <w:contextualSpacing/>
        <w:rPr/>
      </w:pPr>
      <w:r>
        <w:rPr>
          <w:sz w:val="18"/>
        </w:rPr>
        <w:t>Séparation public/interne</w:t>
      </w:r>
    </w:p>
    <w:p>
      <w:pPr>
        <w:pStyle w:val="Heading3"/>
        <w:rPr/>
      </w:pPr>
      <w:r>
        <w:rPr/>
        <w:t>Banque de questions-réponses</w:t>
      </w:r>
    </w:p>
    <w:p>
      <w:pPr>
        <w:pStyle w:val="Normal"/>
        <w:keepNext w:val="true"/>
        <w:spacing w:before="40" w:after="0"/>
        <w:ind w:start="85" w:end="85"/>
        <w:rPr/>
      </w:pPr>
      <w:r>
        <w:rPr>
          <w:b/>
          <w:color w:val="0B3D91"/>
          <w:sz w:val="17"/>
        </w:rPr>
        <w:t>Q1. Que présente la section « Qualité et engagements — présentation générale » ?</w:t>
      </w:r>
    </w:p>
    <w:p>
      <w:pPr>
        <w:pStyle w:val="Normal"/>
        <w:spacing w:before="0" w:after="40"/>
        <w:ind w:start="255" w:end="85"/>
        <w:rPr/>
      </w:pPr>
      <w:r>
        <w:rPr>
          <w:b/>
          <w:color w:val="D4A017"/>
          <w:sz w:val="17"/>
        </w:rPr>
        <w:t xml:space="preserve">Réponse : </w:t>
      </w:r>
      <w:r>
        <w:rPr>
          <w:color w:val="1F2937"/>
          <w:sz w:val="17"/>
        </w:rPr>
        <w:t>La page est le point d’entrée public vers l’assurance qualité, la documentation, les départements et les engagements de service du GSE.</w:t>
      </w:r>
    </w:p>
    <w:p>
      <w:pPr>
        <w:pStyle w:val="Normal"/>
        <w:keepNext w:val="true"/>
        <w:spacing w:before="40" w:after="0"/>
        <w:ind w:start="85" w:end="85"/>
        <w:rPr/>
      </w:pPr>
      <w:r>
        <w:rPr>
          <w:b/>
          <w:color w:val="0B3D91"/>
          <w:sz w:val="17"/>
        </w:rPr>
        <w:t>Q2. Quel est l’objectif principal exposé dans « Qualité et engagements — présentation générale » ?</w:t>
      </w:r>
    </w:p>
    <w:p>
      <w:pPr>
        <w:pStyle w:val="Normal"/>
        <w:spacing w:before="0" w:after="40"/>
        <w:ind w:start="255" w:end="85"/>
        <w:rPr/>
      </w:pPr>
      <w:r>
        <w:rPr>
          <w:b/>
          <w:color w:val="D4A017"/>
          <w:sz w:val="17"/>
        </w:rPr>
        <w:t xml:space="preserve">Réponse : </w:t>
      </w:r>
      <w:r>
        <w:rPr>
          <w:color w:val="1F2937"/>
          <w:sz w:val="17"/>
        </w:rPr>
        <w:t>Présenter la politique de qualité comme un ensemble cohérent, accessible et vérifiable.</w:t>
      </w:r>
    </w:p>
    <w:p>
      <w:pPr>
        <w:pStyle w:val="Normal"/>
        <w:keepNext w:val="true"/>
        <w:spacing w:before="40" w:after="0"/>
        <w:ind w:start="85" w:end="85"/>
        <w:rPr/>
      </w:pPr>
      <w:r>
        <w:rPr>
          <w:b/>
          <w:color w:val="0B3D91"/>
          <w:sz w:val="17"/>
        </w:rPr>
        <w:t>Q3. Quels éléments ou domaines sont couverts par « Qualité et engagements — présentation générale » ?</w:t>
      </w:r>
    </w:p>
    <w:p>
      <w:pPr>
        <w:pStyle w:val="Normal"/>
        <w:spacing w:before="0" w:after="40"/>
        <w:ind w:start="255" w:end="85"/>
        <w:rPr/>
      </w:pPr>
      <w:r>
        <w:rPr>
          <w:b/>
          <w:color w:val="D4A017"/>
          <w:sz w:val="17"/>
        </w:rPr>
        <w:t xml:space="preserve">Réponse : </w:t>
      </w:r>
      <w:r>
        <w:rPr>
          <w:color w:val="1F2937"/>
          <w:sz w:val="17"/>
        </w:rPr>
        <w:t>Engagements publics, preuves, responsabilités, documents approuvés et orientation vers les services.</w:t>
      </w:r>
    </w:p>
    <w:p>
      <w:pPr>
        <w:pStyle w:val="Normal"/>
        <w:keepNext w:val="true"/>
        <w:spacing w:before="40" w:after="0"/>
        <w:ind w:start="85" w:end="85"/>
        <w:rPr/>
      </w:pPr>
      <w:r>
        <w:rPr>
          <w:b/>
          <w:color w:val="0B3D91"/>
          <w:sz w:val="17"/>
        </w:rPr>
        <w:t>Q4. Qui porte, coordonne ou garantit les éléments présentés dans « Qualité et engagements — présentation générale » ?</w:t>
      </w:r>
    </w:p>
    <w:p>
      <w:pPr>
        <w:pStyle w:val="Normal"/>
        <w:spacing w:before="0" w:after="40"/>
        <w:ind w:start="255" w:end="85"/>
        <w:rPr/>
      </w:pPr>
      <w:r>
        <w:rPr>
          <w:b/>
          <w:color w:val="D4A017"/>
          <w:sz w:val="17"/>
        </w:rPr>
        <w:t xml:space="preserve">Réponse : </w:t>
      </w:r>
      <w:r>
        <w:rPr>
          <w:color w:val="1F2937"/>
          <w:sz w:val="17"/>
        </w:rPr>
        <w:t>Le GSE porte la présentation générale et répartit l’exécution entre ses services.</w:t>
      </w:r>
    </w:p>
    <w:p>
      <w:pPr>
        <w:pStyle w:val="Normal"/>
        <w:keepNext w:val="true"/>
        <w:spacing w:before="40" w:after="0"/>
        <w:ind w:start="85" w:end="85"/>
        <w:rPr/>
      </w:pPr>
      <w:r>
        <w:rPr>
          <w:b/>
          <w:color w:val="0B3D91"/>
          <w:sz w:val="17"/>
        </w:rPr>
        <w:t>Q5. Comment la section « Qualité et engagements — présentation générale » prévoit-elle la mise en œuvre ou le suivi ?</w:t>
      </w:r>
    </w:p>
    <w:p>
      <w:pPr>
        <w:pStyle w:val="Normal"/>
        <w:spacing w:before="0" w:after="40"/>
        <w:ind w:start="255" w:end="85"/>
        <w:rPr/>
      </w:pPr>
      <w:r>
        <w:rPr>
          <w:b/>
          <w:color w:val="D4A017"/>
          <w:sz w:val="17"/>
        </w:rPr>
        <w:t xml:space="preserve">Réponse : </w:t>
      </w:r>
      <w:r>
        <w:rPr>
          <w:color w:val="1F2937"/>
          <w:sz w:val="17"/>
        </w:rPr>
        <w:t>La page expose les grands principes puis redirige vers des pages de détail.</w:t>
      </w:r>
    </w:p>
    <w:p>
      <w:pPr>
        <w:pStyle w:val="Normal"/>
        <w:keepNext w:val="true"/>
        <w:spacing w:before="40" w:after="0"/>
        <w:ind w:start="85" w:end="85"/>
        <w:rPr/>
      </w:pPr>
      <w:r>
        <w:rPr>
          <w:b/>
          <w:color w:val="0B3D91"/>
          <w:sz w:val="17"/>
        </w:rPr>
        <w:t>Q6. Quelle preuve, référence, règle ou information de statut accompagne « Qualité et engagements — présentation générale » ?</w:t>
      </w:r>
    </w:p>
    <w:p>
      <w:pPr>
        <w:pStyle w:val="Normal"/>
        <w:spacing w:before="0" w:after="40"/>
        <w:ind w:start="255" w:end="85"/>
        <w:rPr/>
      </w:pPr>
      <w:r>
        <w:rPr>
          <w:b/>
          <w:color w:val="D4A017"/>
          <w:sz w:val="17"/>
        </w:rPr>
        <w:t xml:space="preserve">Réponse : </w:t>
      </w:r>
      <w:r>
        <w:rPr>
          <w:color w:val="1F2937"/>
          <w:sz w:val="17"/>
        </w:rPr>
        <w:t>Les contenus approuvés et les références documentaires publiques servent de base vérifiable.</w:t>
      </w:r>
    </w:p>
    <w:p>
      <w:pPr>
        <w:pStyle w:val="Normal"/>
        <w:keepNext w:val="true"/>
        <w:spacing w:before="40" w:after="0"/>
        <w:ind w:start="85" w:end="85"/>
        <w:rPr/>
      </w:pPr>
      <w:r>
        <w:rPr>
          <w:b/>
          <w:color w:val="0B3D91"/>
          <w:sz w:val="17"/>
        </w:rPr>
        <w:t>Q7. Quelles limites de diffusion, de décision ou d’accès sont précisées pour « Qualité et engagements — présentation générale » ?</w:t>
      </w:r>
    </w:p>
    <w:p>
      <w:pPr>
        <w:pStyle w:val="Normal"/>
        <w:spacing w:before="0" w:after="40"/>
        <w:ind w:start="255" w:end="85"/>
        <w:rPr/>
      </w:pPr>
      <w:r>
        <w:rPr>
          <w:b/>
          <w:color w:val="D4A017"/>
          <w:sz w:val="17"/>
        </w:rPr>
        <w:t xml:space="preserve">Réponse : </w:t>
      </w:r>
      <w:r>
        <w:rPr>
          <w:color w:val="1F2937"/>
          <w:sz w:val="17"/>
        </w:rPr>
        <w:t>Les rapports d’audit détaillés et les procédures sensibles ne sont pas publiés.</w:t>
      </w:r>
    </w:p>
    <w:p>
      <w:pPr>
        <w:pStyle w:val="Normal"/>
        <w:keepNext w:val="true"/>
        <w:spacing w:before="40" w:after="0"/>
        <w:ind w:start="85" w:end="85"/>
        <w:rPr/>
      </w:pPr>
      <w:r>
        <w:rPr>
          <w:b/>
          <w:color w:val="0B3D91"/>
          <w:sz w:val="17"/>
        </w:rPr>
        <w:t>Q8. À quels publics ou bénéficiaires la section « Qualité et engagements — présentation générale » est-elle principalement destinée ?</w:t>
      </w:r>
    </w:p>
    <w:p>
      <w:pPr>
        <w:pStyle w:val="Normal"/>
        <w:spacing w:before="0" w:after="40"/>
        <w:ind w:start="255" w:end="85"/>
        <w:rPr/>
      </w:pPr>
      <w:r>
        <w:rPr>
          <w:b/>
          <w:color w:val="D4A017"/>
          <w:sz w:val="17"/>
        </w:rPr>
        <w:t xml:space="preserve">Réponse : </w:t>
      </w:r>
      <w:r>
        <w:rPr>
          <w:color w:val="1F2937"/>
          <w:sz w:val="17"/>
        </w:rPr>
        <w:t>Tout public souhaitant comprendre comment l’école organise et rend compte de la qualité.</w:t>
      </w:r>
    </w:p>
    <w:p>
      <w:pPr>
        <w:pStyle w:val="Normal"/>
        <w:keepNext w:val="true"/>
        <w:spacing w:before="40" w:after="0"/>
        <w:ind w:start="85" w:end="85"/>
        <w:rPr/>
      </w:pPr>
      <w:r>
        <w:rPr>
          <w:b/>
          <w:color w:val="0B3D91"/>
          <w:sz w:val="17"/>
        </w:rPr>
        <w:t>Q9. À quelles autres rubriques ou fonctions du site « Qualité et engagements — présentation générale » est-il relié ?</w:t>
      </w:r>
    </w:p>
    <w:p>
      <w:pPr>
        <w:pStyle w:val="Normal"/>
        <w:spacing w:before="0" w:after="40"/>
        <w:ind w:start="255" w:end="85"/>
        <w:rPr/>
      </w:pPr>
      <w:r>
        <w:rPr>
          <w:b/>
          <w:color w:val="D4A017"/>
          <w:sz w:val="17"/>
        </w:rPr>
        <w:t xml:space="preserve">Réponse : </w:t>
      </w:r>
      <w:r>
        <w:rPr>
          <w:color w:val="1F2937"/>
          <w:sz w:val="17"/>
        </w:rPr>
        <w:t>La page est reliée aux programmes, à la vie scolaire, aux admissions, à la gouvernance et aux systèmes numériques.</w:t>
      </w:r>
    </w:p>
    <w:p>
      <w:pPr>
        <w:pStyle w:val="Normal"/>
        <w:keepNext w:val="true"/>
        <w:spacing w:before="40" w:after="0"/>
        <w:ind w:start="85" w:end="85"/>
        <w:rPr/>
      </w:pPr>
      <w:r>
        <w:rPr>
          <w:b/>
          <w:color w:val="0B3D91"/>
          <w:sz w:val="17"/>
        </w:rPr>
        <w:t>Q10. Quelle action, orientation ou résultat concret le lecteur peut-il retenir de « Qualité et engagements — présentation générale » ?</w:t>
      </w:r>
    </w:p>
    <w:p>
      <w:pPr>
        <w:pStyle w:val="Normal"/>
        <w:spacing w:before="0" w:after="40"/>
        <w:ind w:start="255" w:end="85"/>
        <w:rPr/>
      </w:pPr>
      <w:r>
        <w:rPr>
          <w:b/>
          <w:color w:val="D4A017"/>
          <w:sz w:val="17"/>
        </w:rPr>
        <w:t xml:space="preserve">Réponse : </w:t>
      </w:r>
      <w:r>
        <w:rPr>
          <w:color w:val="1F2937"/>
          <w:sz w:val="17"/>
        </w:rPr>
        <w:t>Accéder à la rubrique spécialisée et comprendre les engagements que l’école rend publics.</w:t>
      </w:r>
    </w:p>
    <w:p>
      <w:pPr>
        <w:pStyle w:val="Normal"/>
        <w:rPr/>
      </w:pPr>
      <w:r>
        <w:rPr/>
      </w:r>
      <w:r>
        <w:br w:type="page"/>
      </w:r>
    </w:p>
    <w:p>
      <w:pPr>
        <w:pStyle w:val="Heading2"/>
        <w:spacing w:before="0" w:after="80"/>
        <w:rPr/>
      </w:pPr>
      <w:r>
        <w:rPr/>
        <w:t>FICHE 03 — Une qualité visible, mesurable et améliorée en continu</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qualité est organisée autour de preuves, de responsabilités claires, de l’écoute des familles et d’actions correctives suivies.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insiste sur trois exigences : visibilité, mesure et progression continue.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transforme la qualité en pratique collective plutôt qu’en slogan.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12 domaines qualité, le cycle d’amélioration et les engagements publics.</w:t>
            </w:r>
          </w:p>
        </w:tc>
      </w:tr>
    </w:tbl>
    <w:p>
      <w:pPr>
        <w:pStyle w:val="Heading3"/>
        <w:rPr/>
      </w:pPr>
      <w:r>
        <w:rPr/>
        <w:t>Points développés</w:t>
      </w:r>
    </w:p>
    <w:p>
      <w:pPr>
        <w:pStyle w:val="ListBullet"/>
        <w:numPr>
          <w:ilvl w:val="0"/>
          <w:numId w:val="1"/>
        </w:numPr>
        <w:spacing w:before="0" w:after="20"/>
        <w:ind w:hanging="360" w:start="255"/>
        <w:contextualSpacing/>
        <w:rPr/>
      </w:pPr>
      <w:r>
        <w:rPr>
          <w:sz w:val="18"/>
        </w:rPr>
        <w:t>Preuves</w:t>
      </w:r>
    </w:p>
    <w:p>
      <w:pPr>
        <w:pStyle w:val="ListBullet"/>
        <w:numPr>
          <w:ilvl w:val="0"/>
          <w:numId w:val="1"/>
        </w:numPr>
        <w:spacing w:before="0" w:after="20"/>
        <w:ind w:hanging="360" w:start="255"/>
        <w:contextualSpacing/>
        <w:rPr/>
      </w:pPr>
      <w:r>
        <w:rPr>
          <w:sz w:val="18"/>
        </w:rPr>
        <w:t>Responsabilités claires</w:t>
      </w:r>
    </w:p>
    <w:p>
      <w:pPr>
        <w:pStyle w:val="ListBullet"/>
        <w:numPr>
          <w:ilvl w:val="0"/>
          <w:numId w:val="1"/>
        </w:numPr>
        <w:spacing w:before="0" w:after="20"/>
        <w:ind w:hanging="360" w:start="255"/>
        <w:contextualSpacing/>
        <w:rPr/>
      </w:pPr>
      <w:r>
        <w:rPr>
          <w:sz w:val="18"/>
        </w:rPr>
        <w:t>Écoute des familles</w:t>
      </w:r>
    </w:p>
    <w:p>
      <w:pPr>
        <w:pStyle w:val="ListBullet"/>
        <w:numPr>
          <w:ilvl w:val="0"/>
          <w:numId w:val="1"/>
        </w:numPr>
        <w:spacing w:before="0" w:after="20"/>
        <w:ind w:hanging="360" w:start="255"/>
        <w:contextualSpacing/>
        <w:rPr/>
      </w:pPr>
      <w:r>
        <w:rPr>
          <w:sz w:val="18"/>
        </w:rPr>
        <w:t>Actions correctives suivies</w:t>
      </w:r>
    </w:p>
    <w:p>
      <w:pPr>
        <w:pStyle w:val="ListBullet"/>
        <w:numPr>
          <w:ilvl w:val="0"/>
          <w:numId w:val="1"/>
        </w:numPr>
        <w:spacing w:before="0" w:after="20"/>
        <w:ind w:hanging="360" w:start="255"/>
        <w:contextualSpacing/>
        <w:rPr/>
      </w:pPr>
      <w:r>
        <w:rPr>
          <w:sz w:val="18"/>
        </w:rPr>
        <w:t>Périmètre institutionnel étendu</w:t>
      </w:r>
    </w:p>
    <w:p>
      <w:pPr>
        <w:pStyle w:val="Heading3"/>
        <w:rPr/>
      </w:pPr>
      <w:r>
        <w:rPr/>
        <w:t>Banque de questions-réponses</w:t>
      </w:r>
    </w:p>
    <w:p>
      <w:pPr>
        <w:pStyle w:val="Normal"/>
        <w:keepNext w:val="true"/>
        <w:spacing w:before="40" w:after="0"/>
        <w:ind w:start="85" w:end="85"/>
        <w:rPr/>
      </w:pPr>
      <w:r>
        <w:rPr>
          <w:b/>
          <w:color w:val="0B3D91"/>
          <w:sz w:val="17"/>
        </w:rPr>
        <w:t>Q1. Que présente la section « Une qualité visible, mesurable et améliorée en continu » ?</w:t>
      </w:r>
    </w:p>
    <w:p>
      <w:pPr>
        <w:pStyle w:val="Normal"/>
        <w:spacing w:before="0" w:after="40"/>
        <w:ind w:start="255" w:end="85"/>
        <w:rPr/>
      </w:pPr>
      <w:r>
        <w:rPr>
          <w:b/>
          <w:color w:val="D4A017"/>
          <w:sz w:val="17"/>
        </w:rPr>
        <w:t xml:space="preserve">Réponse : </w:t>
      </w:r>
      <w:r>
        <w:rPr>
          <w:color w:val="1F2937"/>
          <w:sz w:val="17"/>
        </w:rPr>
        <w:t>La qualité est organisée autour de preuves, de responsabilités claires, de l’écoute des familles et d’actions correctives suivies.</w:t>
      </w:r>
    </w:p>
    <w:p>
      <w:pPr>
        <w:pStyle w:val="Normal"/>
        <w:keepNext w:val="true"/>
        <w:spacing w:before="40" w:after="0"/>
        <w:ind w:start="85" w:end="85"/>
        <w:rPr/>
      </w:pPr>
      <w:r>
        <w:rPr>
          <w:b/>
          <w:color w:val="0B3D91"/>
          <w:sz w:val="17"/>
        </w:rPr>
        <w:t>Q2. Quel est l’objectif principal exposé dans « Une qualité visible, mesurable et améliorée en continu » ?</w:t>
      </w:r>
    </w:p>
    <w:p>
      <w:pPr>
        <w:pStyle w:val="Normal"/>
        <w:spacing w:before="0" w:after="40"/>
        <w:ind w:start="255" w:end="85"/>
        <w:rPr/>
      </w:pPr>
      <w:r>
        <w:rPr>
          <w:b/>
          <w:color w:val="D4A017"/>
          <w:sz w:val="17"/>
        </w:rPr>
        <w:t xml:space="preserve">Réponse : </w:t>
      </w:r>
      <w:r>
        <w:rPr>
          <w:color w:val="1F2937"/>
          <w:sz w:val="17"/>
        </w:rPr>
        <w:t>Montrer que la qualité peut être observée, mesurée, corrigée et améliorée.</w:t>
      </w:r>
    </w:p>
    <w:p>
      <w:pPr>
        <w:pStyle w:val="Normal"/>
        <w:keepNext w:val="true"/>
        <w:spacing w:before="40" w:after="0"/>
        <w:ind w:start="85" w:end="85"/>
        <w:rPr/>
      </w:pPr>
      <w:r>
        <w:rPr>
          <w:b/>
          <w:color w:val="0B3D91"/>
          <w:sz w:val="17"/>
        </w:rPr>
        <w:t>Q3. Quels éléments ou domaines sont couverts par « Une qualité visible, mesurable et améliorée en continu » ?</w:t>
      </w:r>
    </w:p>
    <w:p>
      <w:pPr>
        <w:pStyle w:val="Normal"/>
        <w:spacing w:before="0" w:after="40"/>
        <w:ind w:start="255" w:end="85"/>
        <w:rPr/>
      </w:pPr>
      <w:r>
        <w:rPr>
          <w:b/>
          <w:color w:val="D4A017"/>
          <w:sz w:val="17"/>
        </w:rPr>
        <w:t xml:space="preserve">Réponse : </w:t>
      </w:r>
      <w:r>
        <w:rPr>
          <w:color w:val="1F2937"/>
          <w:sz w:val="17"/>
        </w:rPr>
        <w:t>Apprentissages, sécurité, administration, ressources humaines, infrastructures, numérique et relation école-famille.</w:t>
      </w:r>
    </w:p>
    <w:p>
      <w:pPr>
        <w:pStyle w:val="Normal"/>
        <w:keepNext w:val="true"/>
        <w:spacing w:before="40" w:after="0"/>
        <w:ind w:start="85" w:end="85"/>
        <w:rPr/>
      </w:pPr>
      <w:r>
        <w:rPr>
          <w:b/>
          <w:color w:val="0B3D91"/>
          <w:sz w:val="17"/>
        </w:rPr>
        <w:t>Q4. Qui porte, coordonne ou garantit les éléments présentés dans « Une qualité visible, mesurable et améliorée en continu » ?</w:t>
      </w:r>
    </w:p>
    <w:p>
      <w:pPr>
        <w:pStyle w:val="Normal"/>
        <w:spacing w:before="0" w:after="40"/>
        <w:ind w:start="255" w:end="85"/>
        <w:rPr/>
      </w:pPr>
      <w:r>
        <w:rPr>
          <w:b/>
          <w:color w:val="D4A017"/>
          <w:sz w:val="17"/>
        </w:rPr>
        <w:t xml:space="preserve">Réponse : </w:t>
      </w:r>
      <w:r>
        <w:rPr>
          <w:color w:val="1F2937"/>
          <w:sz w:val="17"/>
        </w:rPr>
        <w:t>Tous les services du GSE contribuent, avec coordination du dispositif qualité.</w:t>
      </w:r>
    </w:p>
    <w:p>
      <w:pPr>
        <w:pStyle w:val="Normal"/>
        <w:keepNext w:val="true"/>
        <w:spacing w:before="40" w:after="0"/>
        <w:ind w:start="85" w:end="85"/>
        <w:rPr/>
      </w:pPr>
      <w:r>
        <w:rPr>
          <w:b/>
          <w:color w:val="0B3D91"/>
          <w:sz w:val="17"/>
        </w:rPr>
        <w:t>Q5. Comment la section « Une qualité visible, mesurable et améliorée en continu » prévoit-elle la mise en œuvre ou le suivi ?</w:t>
      </w:r>
    </w:p>
    <w:p>
      <w:pPr>
        <w:pStyle w:val="Normal"/>
        <w:spacing w:before="0" w:after="40"/>
        <w:ind w:start="255" w:end="85"/>
        <w:rPr/>
      </w:pPr>
      <w:r>
        <w:rPr>
          <w:b/>
          <w:color w:val="D4A017"/>
          <w:sz w:val="17"/>
        </w:rPr>
        <w:t xml:space="preserve">Réponse : </w:t>
      </w:r>
      <w:r>
        <w:rPr>
          <w:color w:val="1F2937"/>
          <w:sz w:val="17"/>
        </w:rPr>
        <w:t>Les preuves sont examinées, les responsabilités sont identifiées et les corrections font l’objet d’un suivi.</w:t>
      </w:r>
    </w:p>
    <w:p>
      <w:pPr>
        <w:pStyle w:val="Normal"/>
        <w:keepNext w:val="true"/>
        <w:spacing w:before="40" w:after="0"/>
        <w:ind w:start="85" w:end="85"/>
        <w:rPr/>
      </w:pPr>
      <w:r>
        <w:rPr>
          <w:b/>
          <w:color w:val="0B3D91"/>
          <w:sz w:val="17"/>
        </w:rPr>
        <w:t>Q6. Quelle preuve, référence, règle ou information de statut accompagne « Une qualité visible, mesurable et améliorée en continu » ?</w:t>
      </w:r>
    </w:p>
    <w:p>
      <w:pPr>
        <w:pStyle w:val="Normal"/>
        <w:spacing w:before="0" w:after="40"/>
        <w:ind w:start="255" w:end="85"/>
        <w:rPr/>
      </w:pPr>
      <w:r>
        <w:rPr>
          <w:b/>
          <w:color w:val="D4A017"/>
          <w:sz w:val="17"/>
        </w:rPr>
        <w:t xml:space="preserve">Réponse : </w:t>
      </w:r>
      <w:r>
        <w:rPr>
          <w:color w:val="1F2937"/>
          <w:sz w:val="17"/>
        </w:rPr>
        <w:t>Les documents approuvés, les indicateurs et les traces d’actions servent d’éléments vérifiables.</w:t>
      </w:r>
    </w:p>
    <w:p>
      <w:pPr>
        <w:pStyle w:val="Normal"/>
        <w:keepNext w:val="true"/>
        <w:spacing w:before="40" w:after="0"/>
        <w:ind w:start="85" w:end="85"/>
        <w:rPr/>
      </w:pPr>
      <w:r>
        <w:rPr>
          <w:b/>
          <w:color w:val="0B3D91"/>
          <w:sz w:val="17"/>
        </w:rPr>
        <w:t>Q7. Quelles limites de diffusion, de décision ou d’accès sont précisées pour « Une qualité visible, mesurable et améliorée en continu » ?</w:t>
      </w:r>
    </w:p>
    <w:p>
      <w:pPr>
        <w:pStyle w:val="Normal"/>
        <w:spacing w:before="0" w:after="40"/>
        <w:ind w:start="255" w:end="85"/>
        <w:rPr/>
      </w:pPr>
      <w:r>
        <w:rPr>
          <w:b/>
          <w:color w:val="D4A017"/>
          <w:sz w:val="17"/>
        </w:rPr>
        <w:t xml:space="preserve">Réponse : </w:t>
      </w:r>
      <w:r>
        <w:rPr>
          <w:color w:val="1F2937"/>
          <w:sz w:val="17"/>
        </w:rPr>
        <w:t>Les dossiers individuels, rapports détaillés et contrôles de sécurité restent protégés.</w:t>
      </w:r>
    </w:p>
    <w:p>
      <w:pPr>
        <w:pStyle w:val="Normal"/>
        <w:keepNext w:val="true"/>
        <w:spacing w:before="40" w:after="0"/>
        <w:ind w:start="85" w:end="85"/>
        <w:rPr/>
      </w:pPr>
      <w:r>
        <w:rPr>
          <w:b/>
          <w:color w:val="0B3D91"/>
          <w:sz w:val="17"/>
        </w:rPr>
        <w:t>Q8. À quels publics ou bénéficiaires la section « Une qualité visible, mesurable et améliorée en continu » est-elle principalement destinée ?</w:t>
      </w:r>
    </w:p>
    <w:p>
      <w:pPr>
        <w:pStyle w:val="Normal"/>
        <w:spacing w:before="0" w:after="40"/>
        <w:ind w:start="255" w:end="85"/>
        <w:rPr/>
      </w:pPr>
      <w:r>
        <w:rPr>
          <w:b/>
          <w:color w:val="D4A017"/>
          <w:sz w:val="17"/>
        </w:rPr>
        <w:t xml:space="preserve">Réponse : </w:t>
      </w:r>
      <w:r>
        <w:rPr>
          <w:color w:val="1F2937"/>
          <w:sz w:val="17"/>
        </w:rPr>
        <w:t>Élèves, familles, personnels, partenaires et responsables institutionnels.</w:t>
      </w:r>
    </w:p>
    <w:p>
      <w:pPr>
        <w:pStyle w:val="Normal"/>
        <w:keepNext w:val="true"/>
        <w:spacing w:before="40" w:after="0"/>
        <w:ind w:start="85" w:end="85"/>
        <w:rPr/>
      </w:pPr>
      <w:r>
        <w:rPr>
          <w:b/>
          <w:color w:val="0B3D91"/>
          <w:sz w:val="17"/>
        </w:rPr>
        <w:t>Q9. À quelles autres rubriques ou fonctions du site « Une qualité visible, mesurable et améliorée en continu » est-il relié ?</w:t>
      </w:r>
    </w:p>
    <w:p>
      <w:pPr>
        <w:pStyle w:val="Normal"/>
        <w:spacing w:before="0" w:after="40"/>
        <w:ind w:start="255" w:end="85"/>
        <w:rPr/>
      </w:pPr>
      <w:r>
        <w:rPr>
          <w:b/>
          <w:color w:val="D4A017"/>
          <w:sz w:val="17"/>
        </w:rPr>
        <w:t xml:space="preserve">Réponse : </w:t>
      </w:r>
      <w:r>
        <w:rPr>
          <w:color w:val="1F2937"/>
          <w:sz w:val="17"/>
        </w:rPr>
        <w:t>Cette section relie tous les domaines opérationnels à l’assurance qualité et au DAQAC.</w:t>
      </w:r>
    </w:p>
    <w:p>
      <w:pPr>
        <w:pStyle w:val="Normal"/>
        <w:keepNext w:val="true"/>
        <w:spacing w:before="40" w:after="0"/>
        <w:ind w:start="85" w:end="85"/>
        <w:rPr/>
      </w:pPr>
      <w:r>
        <w:rPr>
          <w:b/>
          <w:color w:val="0B3D91"/>
          <w:sz w:val="17"/>
        </w:rPr>
        <w:t>Q10. Quelle action, orientation ou résultat concret le lecteur peut-il retenir de « Une qualité visible, mesurable et améliorée en continu » ?</w:t>
      </w:r>
    </w:p>
    <w:p>
      <w:pPr>
        <w:pStyle w:val="Normal"/>
        <w:spacing w:before="0" w:after="40"/>
        <w:ind w:start="255" w:end="85"/>
        <w:rPr/>
      </w:pPr>
      <w:r>
        <w:rPr>
          <w:b/>
          <w:color w:val="D4A017"/>
          <w:sz w:val="17"/>
        </w:rPr>
        <w:t xml:space="preserve">Réponse : </w:t>
      </w:r>
      <w:r>
        <w:rPr>
          <w:color w:val="1F2937"/>
          <w:sz w:val="17"/>
        </w:rPr>
        <w:t>Comprendre que chaque activité de l’école peut être évaluée et améliorée.</w:t>
      </w:r>
    </w:p>
    <w:p>
      <w:pPr>
        <w:pStyle w:val="Normal"/>
        <w:rPr/>
      </w:pPr>
      <w:r>
        <w:rPr/>
      </w:r>
      <w:r>
        <w:br w:type="page"/>
      </w:r>
    </w:p>
    <w:p>
      <w:pPr>
        <w:pStyle w:val="Heading2"/>
        <w:spacing w:before="0" w:after="80"/>
        <w:rPr/>
      </w:pPr>
      <w:r>
        <w:rPr/>
        <w:t>FICHE 04 — Accès 01 — Assurance qualité</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 accès présente le référentiel, le cycle d’amélioration, les audits et le suivi des engagements.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numéro 01 place l’assurance qualité au premier rang des engagements institutionnels.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fournit le cadre commun permettant de vérifier tous les autres engagements.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Documentation, Départements et la page de veille officielle.</w:t>
            </w:r>
          </w:p>
        </w:tc>
      </w:tr>
    </w:tbl>
    <w:p>
      <w:pPr>
        <w:pStyle w:val="Heading3"/>
        <w:rPr/>
      </w:pPr>
      <w:r>
        <w:rPr/>
        <w:t>Points développés</w:t>
      </w:r>
    </w:p>
    <w:p>
      <w:pPr>
        <w:pStyle w:val="ListBullet"/>
        <w:numPr>
          <w:ilvl w:val="0"/>
          <w:numId w:val="1"/>
        </w:numPr>
        <w:spacing w:before="0" w:after="20"/>
        <w:ind w:hanging="360" w:start="255"/>
        <w:contextualSpacing/>
        <w:rPr/>
      </w:pPr>
      <w:r>
        <w:rPr>
          <w:sz w:val="18"/>
        </w:rPr>
        <w:t>Référentiel</w:t>
      </w:r>
    </w:p>
    <w:p>
      <w:pPr>
        <w:pStyle w:val="ListBullet"/>
        <w:numPr>
          <w:ilvl w:val="0"/>
          <w:numId w:val="1"/>
        </w:numPr>
        <w:spacing w:before="0" w:after="20"/>
        <w:ind w:hanging="360" w:start="255"/>
        <w:contextualSpacing/>
        <w:rPr/>
      </w:pPr>
      <w:r>
        <w:rPr>
          <w:sz w:val="18"/>
        </w:rPr>
        <w:t>Cycle d’amélioration</w:t>
      </w:r>
    </w:p>
    <w:p>
      <w:pPr>
        <w:pStyle w:val="ListBullet"/>
        <w:numPr>
          <w:ilvl w:val="0"/>
          <w:numId w:val="1"/>
        </w:numPr>
        <w:spacing w:before="0" w:after="20"/>
        <w:ind w:hanging="360" w:start="255"/>
        <w:contextualSpacing/>
        <w:rPr/>
      </w:pPr>
      <w:r>
        <w:rPr>
          <w:sz w:val="18"/>
        </w:rPr>
        <w:t>Audits</w:t>
      </w:r>
    </w:p>
    <w:p>
      <w:pPr>
        <w:pStyle w:val="ListBullet"/>
        <w:numPr>
          <w:ilvl w:val="0"/>
          <w:numId w:val="1"/>
        </w:numPr>
        <w:spacing w:before="0" w:after="20"/>
        <w:ind w:hanging="360" w:start="255"/>
        <w:contextualSpacing/>
        <w:rPr/>
      </w:pPr>
      <w:r>
        <w:rPr>
          <w:sz w:val="18"/>
        </w:rPr>
        <w:t>Suivi des engagements</w:t>
      </w:r>
    </w:p>
    <w:p>
      <w:pPr>
        <w:pStyle w:val="Heading3"/>
        <w:rPr/>
      </w:pPr>
      <w:r>
        <w:rPr/>
        <w:t>Banque de questions-réponses</w:t>
      </w:r>
    </w:p>
    <w:p>
      <w:pPr>
        <w:pStyle w:val="Normal"/>
        <w:keepNext w:val="true"/>
        <w:spacing w:before="40" w:after="0"/>
        <w:ind w:start="85" w:end="85"/>
        <w:rPr/>
      </w:pPr>
      <w:r>
        <w:rPr>
          <w:b/>
          <w:color w:val="0B3D91"/>
          <w:sz w:val="17"/>
        </w:rPr>
        <w:t>Q1. Que présente la section « Accès 01 — Assurance qualité » ?</w:t>
      </w:r>
    </w:p>
    <w:p>
      <w:pPr>
        <w:pStyle w:val="Normal"/>
        <w:spacing w:before="0" w:after="40"/>
        <w:ind w:start="255" w:end="85"/>
        <w:rPr/>
      </w:pPr>
      <w:r>
        <w:rPr>
          <w:b/>
          <w:color w:val="D4A017"/>
          <w:sz w:val="17"/>
        </w:rPr>
        <w:t xml:space="preserve">Réponse : </w:t>
      </w:r>
      <w:r>
        <w:rPr>
          <w:color w:val="1F2937"/>
          <w:sz w:val="17"/>
        </w:rPr>
        <w:t>Cet accès présente le référentiel, le cycle d’amélioration, les audits et le suivi des engagements.</w:t>
      </w:r>
    </w:p>
    <w:p>
      <w:pPr>
        <w:pStyle w:val="Normal"/>
        <w:keepNext w:val="true"/>
        <w:spacing w:before="40" w:after="0"/>
        <w:ind w:start="85" w:end="85"/>
        <w:rPr/>
      </w:pPr>
      <w:r>
        <w:rPr>
          <w:b/>
          <w:color w:val="0B3D91"/>
          <w:sz w:val="17"/>
        </w:rPr>
        <w:t>Q2. Quel est l’objectif principal exposé dans « Accès 01 — Assurance qualité » ?</w:t>
      </w:r>
    </w:p>
    <w:p>
      <w:pPr>
        <w:pStyle w:val="Normal"/>
        <w:spacing w:before="0" w:after="40"/>
        <w:ind w:start="255" w:end="85"/>
        <w:rPr/>
      </w:pPr>
      <w:r>
        <w:rPr>
          <w:b/>
          <w:color w:val="D4A017"/>
          <w:sz w:val="17"/>
        </w:rPr>
        <w:t xml:space="preserve">Réponse : </w:t>
      </w:r>
      <w:r>
        <w:rPr>
          <w:color w:val="1F2937"/>
          <w:sz w:val="17"/>
        </w:rPr>
        <w:t>Orienter le lecteur vers le dispositif formel d’assurance qualité.</w:t>
      </w:r>
    </w:p>
    <w:p>
      <w:pPr>
        <w:pStyle w:val="Normal"/>
        <w:keepNext w:val="true"/>
        <w:spacing w:before="40" w:after="0"/>
        <w:ind w:start="85" w:end="85"/>
        <w:rPr/>
      </w:pPr>
      <w:r>
        <w:rPr>
          <w:b/>
          <w:color w:val="0B3D91"/>
          <w:sz w:val="17"/>
        </w:rPr>
        <w:t>Q3. Quels éléments ou domaines sont couverts par « Accès 01 — Assurance qualité » ?</w:t>
      </w:r>
    </w:p>
    <w:p>
      <w:pPr>
        <w:pStyle w:val="Normal"/>
        <w:spacing w:before="0" w:after="40"/>
        <w:ind w:start="255" w:end="85"/>
        <w:rPr/>
      </w:pPr>
      <w:r>
        <w:rPr>
          <w:b/>
          <w:color w:val="D4A017"/>
          <w:sz w:val="17"/>
        </w:rPr>
        <w:t xml:space="preserve">Réponse : </w:t>
      </w:r>
      <w:r>
        <w:rPr>
          <w:color w:val="1F2937"/>
          <w:sz w:val="17"/>
        </w:rPr>
        <w:t>Référentiel, audits, cycle d’amélioration et engagements suivis.</w:t>
      </w:r>
    </w:p>
    <w:p>
      <w:pPr>
        <w:pStyle w:val="Normal"/>
        <w:keepNext w:val="true"/>
        <w:spacing w:before="40" w:after="0"/>
        <w:ind w:start="85" w:end="85"/>
        <w:rPr/>
      </w:pPr>
      <w:r>
        <w:rPr>
          <w:b/>
          <w:color w:val="0B3D91"/>
          <w:sz w:val="17"/>
        </w:rPr>
        <w:t>Q4. Qui porte, coordonne ou garantit les éléments présentés dans « Accès 01 — Assurance qualité » ?</w:t>
      </w:r>
    </w:p>
    <w:p>
      <w:pPr>
        <w:pStyle w:val="Normal"/>
        <w:spacing w:before="0" w:after="40"/>
        <w:ind w:start="255" w:end="85"/>
        <w:rPr/>
      </w:pPr>
      <w:r>
        <w:rPr>
          <w:b/>
          <w:color w:val="D4A017"/>
          <w:sz w:val="17"/>
        </w:rPr>
        <w:t xml:space="preserve">Réponse : </w:t>
      </w:r>
      <w:r>
        <w:rPr>
          <w:color w:val="1F2937"/>
          <w:sz w:val="17"/>
        </w:rPr>
        <w:t>Le DAQAC coordonne le dispositif qualité.</w:t>
      </w:r>
    </w:p>
    <w:p>
      <w:pPr>
        <w:pStyle w:val="Normal"/>
        <w:keepNext w:val="true"/>
        <w:spacing w:before="40" w:after="0"/>
        <w:ind w:start="85" w:end="85"/>
        <w:rPr/>
      </w:pPr>
      <w:r>
        <w:rPr>
          <w:b/>
          <w:color w:val="0B3D91"/>
          <w:sz w:val="17"/>
        </w:rPr>
        <w:t>Q5. Comment la section « Accès 01 — Assurance qualité » prévoit-elle la mise en œuvre ou le suivi ?</w:t>
      </w:r>
    </w:p>
    <w:p>
      <w:pPr>
        <w:pStyle w:val="Normal"/>
        <w:spacing w:before="0" w:after="40"/>
        <w:ind w:start="255" w:end="85"/>
        <w:rPr/>
      </w:pPr>
      <w:r>
        <w:rPr>
          <w:b/>
          <w:color w:val="D4A017"/>
          <w:sz w:val="17"/>
        </w:rPr>
        <w:t xml:space="preserve">Réponse : </w:t>
      </w:r>
      <w:r>
        <w:rPr>
          <w:color w:val="1F2937"/>
          <w:sz w:val="17"/>
        </w:rPr>
        <w:t>La page spécialisée explique les domaines, les étapes du cycle et les voies d’écoute.</w:t>
      </w:r>
    </w:p>
    <w:p>
      <w:pPr>
        <w:pStyle w:val="Normal"/>
        <w:keepNext w:val="true"/>
        <w:spacing w:before="40" w:after="0"/>
        <w:ind w:start="85" w:end="85"/>
        <w:rPr/>
      </w:pPr>
      <w:r>
        <w:rPr>
          <w:b/>
          <w:color w:val="0B3D91"/>
          <w:sz w:val="17"/>
        </w:rPr>
        <w:t>Q6. Quelle preuve, référence, règle ou information de statut accompagne « Accès 01 — Assurance qualité » ?</w:t>
      </w:r>
    </w:p>
    <w:p>
      <w:pPr>
        <w:pStyle w:val="Normal"/>
        <w:spacing w:before="0" w:after="40"/>
        <w:ind w:start="255" w:end="85"/>
        <w:rPr/>
      </w:pPr>
      <w:r>
        <w:rPr>
          <w:b/>
          <w:color w:val="D4A017"/>
          <w:sz w:val="17"/>
        </w:rPr>
        <w:t xml:space="preserve">Réponse : </w:t>
      </w:r>
      <w:r>
        <w:rPr>
          <w:color w:val="1F2937"/>
          <w:sz w:val="17"/>
        </w:rPr>
        <w:t>La référence publique GSE-PUB-QUA-001 identifie le contenu associé.</w:t>
      </w:r>
    </w:p>
    <w:p>
      <w:pPr>
        <w:pStyle w:val="Normal"/>
        <w:keepNext w:val="true"/>
        <w:spacing w:before="40" w:after="0"/>
        <w:ind w:start="85" w:end="85"/>
        <w:rPr/>
      </w:pPr>
      <w:r>
        <w:rPr>
          <w:b/>
          <w:color w:val="0B3D91"/>
          <w:sz w:val="17"/>
        </w:rPr>
        <w:t>Q7. Quelles limites de diffusion, de décision ou d’accès sont précisées pour « Accès 01 — Assurance qualité » ?</w:t>
      </w:r>
    </w:p>
    <w:p>
      <w:pPr>
        <w:pStyle w:val="Normal"/>
        <w:spacing w:before="0" w:after="40"/>
        <w:ind w:start="255" w:end="85"/>
        <w:rPr/>
      </w:pPr>
      <w:r>
        <w:rPr>
          <w:b/>
          <w:color w:val="D4A017"/>
          <w:sz w:val="17"/>
        </w:rPr>
        <w:t xml:space="preserve">Réponse : </w:t>
      </w:r>
      <w:r>
        <w:rPr>
          <w:color w:val="1F2937"/>
          <w:sz w:val="17"/>
        </w:rPr>
        <w:t>Les détails d’audit et les contrôles internes ne sont pas diffusés publiquement.</w:t>
      </w:r>
    </w:p>
    <w:p>
      <w:pPr>
        <w:pStyle w:val="Normal"/>
        <w:keepNext w:val="true"/>
        <w:spacing w:before="40" w:after="0"/>
        <w:ind w:start="85" w:end="85"/>
        <w:rPr/>
      </w:pPr>
      <w:r>
        <w:rPr>
          <w:b/>
          <w:color w:val="0B3D91"/>
          <w:sz w:val="17"/>
        </w:rPr>
        <w:t>Q8. À quels publics ou bénéficiaires la section « Accès 01 — Assurance qualité » est-elle principalement destinée ?</w:t>
      </w:r>
    </w:p>
    <w:p>
      <w:pPr>
        <w:pStyle w:val="Normal"/>
        <w:spacing w:before="0" w:after="40"/>
        <w:ind w:start="255" w:end="85"/>
        <w:rPr/>
      </w:pPr>
      <w:r>
        <w:rPr>
          <w:b/>
          <w:color w:val="D4A017"/>
          <w:sz w:val="17"/>
        </w:rPr>
        <w:t xml:space="preserve">Réponse : </w:t>
      </w:r>
      <w:r>
        <w:rPr>
          <w:color w:val="1F2937"/>
          <w:sz w:val="17"/>
        </w:rPr>
        <w:t>Familles, partenaires, personnels et responsables qui veulent comprendre le système qualité.</w:t>
      </w:r>
    </w:p>
    <w:p>
      <w:pPr>
        <w:pStyle w:val="Normal"/>
        <w:keepNext w:val="true"/>
        <w:spacing w:before="40" w:after="0"/>
        <w:ind w:start="85" w:end="85"/>
        <w:rPr/>
      </w:pPr>
      <w:r>
        <w:rPr>
          <w:b/>
          <w:color w:val="0B3D91"/>
          <w:sz w:val="17"/>
        </w:rPr>
        <w:t>Q9. À quelles autres rubriques ou fonctions du site « Accès 01 — Assurance qualité » est-il relié ?</w:t>
      </w:r>
    </w:p>
    <w:p>
      <w:pPr>
        <w:pStyle w:val="Normal"/>
        <w:spacing w:before="0" w:after="40"/>
        <w:ind w:start="255" w:end="85"/>
        <w:rPr/>
      </w:pPr>
      <w:r>
        <w:rPr>
          <w:b/>
          <w:color w:val="D4A017"/>
          <w:sz w:val="17"/>
        </w:rPr>
        <w:t xml:space="preserve">Réponse : </w:t>
      </w:r>
      <w:r>
        <w:rPr>
          <w:color w:val="1F2937"/>
          <w:sz w:val="17"/>
        </w:rPr>
        <w:t>Lien direct avec les domaines qualité, les plans d’action, les réclamations et la documentation.</w:t>
      </w:r>
    </w:p>
    <w:p>
      <w:pPr>
        <w:pStyle w:val="Normal"/>
        <w:keepNext w:val="true"/>
        <w:spacing w:before="40" w:after="0"/>
        <w:ind w:start="85" w:end="85"/>
        <w:rPr/>
      </w:pPr>
      <w:r>
        <w:rPr>
          <w:b/>
          <w:color w:val="0B3D91"/>
          <w:sz w:val="17"/>
        </w:rPr>
        <w:t>Q10. Quelle action, orientation ou résultat concret le lecteur peut-il retenir de « Accès 01 — Assurance qualité » ?</w:t>
      </w:r>
    </w:p>
    <w:p>
      <w:pPr>
        <w:pStyle w:val="Normal"/>
        <w:spacing w:before="0" w:after="40"/>
        <w:ind w:start="255" w:end="85"/>
        <w:rPr/>
      </w:pPr>
      <w:r>
        <w:rPr>
          <w:b/>
          <w:color w:val="D4A017"/>
          <w:sz w:val="17"/>
        </w:rPr>
        <w:t xml:space="preserve">Réponse : </w:t>
      </w:r>
      <w:r>
        <w:rPr>
          <w:color w:val="1F2937"/>
          <w:sz w:val="17"/>
        </w:rPr>
        <w:t>Ouvrir la page Assurance qualité pour consulter le dispositif public du DAQAC.</w:t>
      </w:r>
    </w:p>
    <w:p>
      <w:pPr>
        <w:pStyle w:val="Normal"/>
        <w:rPr/>
      </w:pPr>
      <w:r>
        <w:rPr/>
      </w:r>
      <w:r>
        <w:br w:type="page"/>
      </w:r>
    </w:p>
    <w:p>
      <w:pPr>
        <w:pStyle w:val="Heading2"/>
        <w:spacing w:before="0" w:after="80"/>
        <w:rPr/>
      </w:pPr>
      <w:r>
        <w:rPr/>
        <w:t>FICHE 05 — Accès 02 — Documentation publique</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 accès regroupe les pages et références officielles publiées, classées par domaine.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numéro 02 distingue la preuve documentaire de la description générale du dispositif.</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réduit les doublons, les versions contradictoires et les informations non autorisées.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Agrément, Qualité, Veille, Protection, Admissions, Confidentialité et ÉMINA.</w:t>
            </w:r>
          </w:p>
        </w:tc>
      </w:tr>
    </w:tbl>
    <w:p>
      <w:pPr>
        <w:pStyle w:val="Heading3"/>
        <w:rPr/>
      </w:pPr>
      <w:r>
        <w:rPr/>
        <w:t>Points développés</w:t>
      </w:r>
    </w:p>
    <w:p>
      <w:pPr>
        <w:pStyle w:val="ListBullet"/>
        <w:numPr>
          <w:ilvl w:val="0"/>
          <w:numId w:val="1"/>
        </w:numPr>
        <w:spacing w:before="0" w:after="20"/>
        <w:ind w:hanging="360" w:start="255"/>
        <w:contextualSpacing/>
        <w:rPr/>
      </w:pPr>
      <w:r>
        <w:rPr>
          <w:sz w:val="18"/>
        </w:rPr>
        <w:t>Références officielles</w:t>
      </w:r>
    </w:p>
    <w:p>
      <w:pPr>
        <w:pStyle w:val="ListBullet"/>
        <w:numPr>
          <w:ilvl w:val="0"/>
          <w:numId w:val="1"/>
        </w:numPr>
        <w:spacing w:before="0" w:after="20"/>
        <w:ind w:hanging="360" w:start="255"/>
        <w:contextualSpacing/>
        <w:rPr/>
      </w:pPr>
      <w:r>
        <w:rPr>
          <w:sz w:val="18"/>
        </w:rPr>
        <w:t>Classement par domaine</w:t>
      </w:r>
    </w:p>
    <w:p>
      <w:pPr>
        <w:pStyle w:val="ListBullet"/>
        <w:numPr>
          <w:ilvl w:val="0"/>
          <w:numId w:val="1"/>
        </w:numPr>
        <w:spacing w:before="0" w:after="20"/>
        <w:ind w:hanging="360" w:start="255"/>
        <w:contextualSpacing/>
        <w:rPr/>
      </w:pPr>
      <w:r>
        <w:rPr>
          <w:sz w:val="18"/>
        </w:rPr>
        <w:t>Version active</w:t>
      </w:r>
    </w:p>
    <w:p>
      <w:pPr>
        <w:pStyle w:val="ListBullet"/>
        <w:numPr>
          <w:ilvl w:val="0"/>
          <w:numId w:val="1"/>
        </w:numPr>
        <w:spacing w:before="0" w:after="20"/>
        <w:ind w:hanging="360" w:start="255"/>
        <w:contextualSpacing/>
        <w:rPr/>
      </w:pPr>
      <w:r>
        <w:rPr>
          <w:sz w:val="18"/>
        </w:rPr>
        <w:t>Propriétaire identifié</w:t>
      </w:r>
    </w:p>
    <w:p>
      <w:pPr>
        <w:pStyle w:val="Heading3"/>
        <w:rPr/>
      </w:pPr>
      <w:r>
        <w:rPr/>
        <w:t>Banque de questions-réponses</w:t>
      </w:r>
    </w:p>
    <w:p>
      <w:pPr>
        <w:pStyle w:val="Normal"/>
        <w:keepNext w:val="true"/>
        <w:spacing w:before="40" w:after="0"/>
        <w:ind w:start="85" w:end="85"/>
        <w:rPr/>
      </w:pPr>
      <w:r>
        <w:rPr>
          <w:b/>
          <w:color w:val="0B3D91"/>
          <w:sz w:val="17"/>
        </w:rPr>
        <w:t>Q1. Que présente la section « Accès 02 — Documentation publique » ?</w:t>
      </w:r>
    </w:p>
    <w:p>
      <w:pPr>
        <w:pStyle w:val="Normal"/>
        <w:spacing w:before="0" w:after="40"/>
        <w:ind w:start="255" w:end="85"/>
        <w:rPr/>
      </w:pPr>
      <w:r>
        <w:rPr>
          <w:b/>
          <w:color w:val="D4A017"/>
          <w:sz w:val="17"/>
        </w:rPr>
        <w:t xml:space="preserve">Réponse : </w:t>
      </w:r>
      <w:r>
        <w:rPr>
          <w:color w:val="1F2937"/>
          <w:sz w:val="17"/>
        </w:rPr>
        <w:t>Cet accès regroupe les pages et références officielles publiées, classées par domaine.</w:t>
      </w:r>
    </w:p>
    <w:p>
      <w:pPr>
        <w:pStyle w:val="Normal"/>
        <w:keepNext w:val="true"/>
        <w:spacing w:before="40" w:after="0"/>
        <w:ind w:start="85" w:end="85"/>
        <w:rPr/>
      </w:pPr>
      <w:r>
        <w:rPr>
          <w:b/>
          <w:color w:val="0B3D91"/>
          <w:sz w:val="17"/>
        </w:rPr>
        <w:t>Q2. Quel est l’objectif principal exposé dans « Accès 02 — Documentation publique » ?</w:t>
      </w:r>
    </w:p>
    <w:p>
      <w:pPr>
        <w:pStyle w:val="Normal"/>
        <w:spacing w:before="0" w:after="40"/>
        <w:ind w:start="255" w:end="85"/>
        <w:rPr/>
      </w:pPr>
      <w:r>
        <w:rPr>
          <w:b/>
          <w:color w:val="D4A017"/>
          <w:sz w:val="17"/>
        </w:rPr>
        <w:t xml:space="preserve">Réponse : </w:t>
      </w:r>
      <w:r>
        <w:rPr>
          <w:color w:val="1F2937"/>
          <w:sz w:val="17"/>
        </w:rPr>
        <w:t>Permettre au public de retrouver une source approuvée et identifiable.</w:t>
      </w:r>
    </w:p>
    <w:p>
      <w:pPr>
        <w:pStyle w:val="Normal"/>
        <w:keepNext w:val="true"/>
        <w:spacing w:before="40" w:after="0"/>
        <w:ind w:start="85" w:end="85"/>
        <w:rPr/>
      </w:pPr>
      <w:r>
        <w:rPr>
          <w:b/>
          <w:color w:val="0B3D91"/>
          <w:sz w:val="17"/>
        </w:rPr>
        <w:t>Q3. Quels éléments ou domaines sont couverts par « Accès 02 — Documentation publique » ?</w:t>
      </w:r>
    </w:p>
    <w:p>
      <w:pPr>
        <w:pStyle w:val="Normal"/>
        <w:spacing w:before="0" w:after="40"/>
        <w:ind w:start="255" w:end="85"/>
        <w:rPr/>
      </w:pPr>
      <w:r>
        <w:rPr>
          <w:b/>
          <w:color w:val="D4A017"/>
          <w:sz w:val="17"/>
        </w:rPr>
        <w:t xml:space="preserve">Réponse : </w:t>
      </w:r>
      <w:r>
        <w:rPr>
          <w:color w:val="1F2937"/>
          <w:sz w:val="17"/>
        </w:rPr>
        <w:t>Codes documentaires, versions, propriétaires, langues, statuts et liens vers les sources actives.</w:t>
      </w:r>
    </w:p>
    <w:p>
      <w:pPr>
        <w:pStyle w:val="Normal"/>
        <w:keepNext w:val="true"/>
        <w:spacing w:before="40" w:after="0"/>
        <w:ind w:start="85" w:end="85"/>
        <w:rPr/>
      </w:pPr>
      <w:r>
        <w:rPr>
          <w:b/>
          <w:color w:val="0B3D91"/>
          <w:sz w:val="17"/>
        </w:rPr>
        <w:t>Q4. Qui porte, coordonne ou garantit les éléments présentés dans « Accès 02 — Documentation publique » ?</w:t>
      </w:r>
    </w:p>
    <w:p>
      <w:pPr>
        <w:pStyle w:val="Normal"/>
        <w:spacing w:before="0" w:after="40"/>
        <w:ind w:start="255" w:end="85"/>
        <w:rPr/>
      </w:pPr>
      <w:r>
        <w:rPr>
          <w:b/>
          <w:color w:val="D4A017"/>
          <w:sz w:val="17"/>
        </w:rPr>
        <w:t xml:space="preserve">Réponse : </w:t>
      </w:r>
      <w:r>
        <w:rPr>
          <w:color w:val="1F2937"/>
          <w:sz w:val="17"/>
        </w:rPr>
        <w:t>Chaque propriétaire institutionnel répond du document relevant de son domaine.</w:t>
      </w:r>
    </w:p>
    <w:p>
      <w:pPr>
        <w:pStyle w:val="Normal"/>
        <w:keepNext w:val="true"/>
        <w:spacing w:before="40" w:after="0"/>
        <w:ind w:start="85" w:end="85"/>
        <w:rPr/>
      </w:pPr>
      <w:r>
        <w:rPr>
          <w:b/>
          <w:color w:val="0B3D91"/>
          <w:sz w:val="17"/>
        </w:rPr>
        <w:t>Q5. Comment la section « Accès 02 — Documentation publique » prévoit-elle la mise en œuvre ou le suivi ?</w:t>
      </w:r>
    </w:p>
    <w:p>
      <w:pPr>
        <w:pStyle w:val="Normal"/>
        <w:spacing w:before="0" w:after="40"/>
        <w:ind w:start="255" w:end="85"/>
        <w:rPr/>
      </w:pPr>
      <w:r>
        <w:rPr>
          <w:b/>
          <w:color w:val="D4A017"/>
          <w:sz w:val="17"/>
        </w:rPr>
        <w:t xml:space="preserve">Réponse : </w:t>
      </w:r>
      <w:r>
        <w:rPr>
          <w:color w:val="1F2937"/>
          <w:sz w:val="17"/>
        </w:rPr>
        <w:t>La bibliothèque n’affiche que les contenus validés pour diffusion publique.</w:t>
      </w:r>
    </w:p>
    <w:p>
      <w:pPr>
        <w:pStyle w:val="Normal"/>
        <w:keepNext w:val="true"/>
        <w:spacing w:before="40" w:after="0"/>
        <w:ind w:start="85" w:end="85"/>
        <w:rPr/>
      </w:pPr>
      <w:r>
        <w:rPr>
          <w:b/>
          <w:color w:val="0B3D91"/>
          <w:sz w:val="17"/>
        </w:rPr>
        <w:t>Q6. Quelle preuve, référence, règle ou information de statut accompagne « Accès 02 — Documentation publique » ?</w:t>
      </w:r>
    </w:p>
    <w:p>
      <w:pPr>
        <w:pStyle w:val="Normal"/>
        <w:spacing w:before="0" w:after="40"/>
        <w:ind w:start="255" w:end="85"/>
        <w:rPr/>
      </w:pPr>
      <w:r>
        <w:rPr>
          <w:b/>
          <w:color w:val="D4A017"/>
          <w:sz w:val="17"/>
        </w:rPr>
        <w:t xml:space="preserve">Réponse : </w:t>
      </w:r>
      <w:r>
        <w:rPr>
          <w:color w:val="1F2937"/>
          <w:sz w:val="17"/>
        </w:rPr>
        <w:t>Chaque ressource porte un code, un statut, une version et un propriétaire.</w:t>
      </w:r>
    </w:p>
    <w:p>
      <w:pPr>
        <w:pStyle w:val="Normal"/>
        <w:keepNext w:val="true"/>
        <w:spacing w:before="40" w:after="0"/>
        <w:ind w:start="85" w:end="85"/>
        <w:rPr/>
      </w:pPr>
      <w:r>
        <w:rPr>
          <w:b/>
          <w:color w:val="0B3D91"/>
          <w:sz w:val="17"/>
        </w:rPr>
        <w:t>Q7. Quelles limites de diffusion, de décision ou d’accès sont précisées pour « Accès 02 — Documentation publique » ?</w:t>
      </w:r>
    </w:p>
    <w:p>
      <w:pPr>
        <w:pStyle w:val="Normal"/>
        <w:spacing w:before="0" w:after="40"/>
        <w:ind w:start="255" w:end="85"/>
        <w:rPr/>
      </w:pPr>
      <w:r>
        <w:rPr>
          <w:b/>
          <w:color w:val="D4A017"/>
          <w:sz w:val="17"/>
        </w:rPr>
        <w:t xml:space="preserve">Réponse : </w:t>
      </w:r>
      <w:r>
        <w:rPr>
          <w:color w:val="1F2937"/>
          <w:sz w:val="17"/>
        </w:rPr>
        <w:t>Les documents internes, dossiers parentaux et données sensibles sont exclus.</w:t>
      </w:r>
    </w:p>
    <w:p>
      <w:pPr>
        <w:pStyle w:val="Normal"/>
        <w:keepNext w:val="true"/>
        <w:spacing w:before="40" w:after="0"/>
        <w:ind w:start="85" w:end="85"/>
        <w:rPr/>
      </w:pPr>
      <w:r>
        <w:rPr>
          <w:b/>
          <w:color w:val="0B3D91"/>
          <w:sz w:val="17"/>
        </w:rPr>
        <w:t>Q8. À quels publics ou bénéficiaires la section « Accès 02 — Documentation publique » est-elle principalement destinée ?</w:t>
      </w:r>
    </w:p>
    <w:p>
      <w:pPr>
        <w:pStyle w:val="Normal"/>
        <w:spacing w:before="0" w:after="40"/>
        <w:ind w:start="255" w:end="85"/>
        <w:rPr/>
      </w:pPr>
      <w:r>
        <w:rPr>
          <w:b/>
          <w:color w:val="D4A017"/>
          <w:sz w:val="17"/>
        </w:rPr>
        <w:t xml:space="preserve">Réponse : </w:t>
      </w:r>
      <w:r>
        <w:rPr>
          <w:color w:val="1F2937"/>
          <w:sz w:val="17"/>
        </w:rPr>
        <w:t>Visiteurs, parents, partenaires et agents recherchant une référence fiable.</w:t>
      </w:r>
    </w:p>
    <w:p>
      <w:pPr>
        <w:pStyle w:val="Normal"/>
        <w:keepNext w:val="true"/>
        <w:spacing w:before="40" w:after="0"/>
        <w:ind w:start="85" w:end="85"/>
        <w:rPr/>
      </w:pPr>
      <w:r>
        <w:rPr>
          <w:b/>
          <w:color w:val="0B3D91"/>
          <w:sz w:val="17"/>
        </w:rPr>
        <w:t>Q9. À quelles autres rubriques ou fonctions du site « Accès 02 — Documentation publique » est-il relié ?</w:t>
      </w:r>
    </w:p>
    <w:p>
      <w:pPr>
        <w:pStyle w:val="Normal"/>
        <w:spacing w:before="0" w:after="40"/>
        <w:ind w:start="255" w:end="85"/>
        <w:rPr/>
      </w:pPr>
      <w:r>
        <w:rPr>
          <w:b/>
          <w:color w:val="D4A017"/>
          <w:sz w:val="17"/>
        </w:rPr>
        <w:t xml:space="preserve">Réponse : </w:t>
      </w:r>
      <w:r>
        <w:rPr>
          <w:color w:val="1F2937"/>
          <w:sz w:val="17"/>
        </w:rPr>
        <w:t>Lien avec ÉMINA, qui privilégie les versions actives, et avec chaque service propriétaire.</w:t>
      </w:r>
    </w:p>
    <w:p>
      <w:pPr>
        <w:pStyle w:val="Normal"/>
        <w:keepNext w:val="true"/>
        <w:spacing w:before="40" w:after="0"/>
        <w:ind w:start="85" w:end="85"/>
        <w:rPr/>
      </w:pPr>
      <w:r>
        <w:rPr>
          <w:b/>
          <w:color w:val="0B3D91"/>
          <w:sz w:val="17"/>
        </w:rPr>
        <w:t>Q10. Quelle action, orientation ou résultat concret le lecteur peut-il retenir de « Accès 02 — Documentation publique » ?</w:t>
      </w:r>
    </w:p>
    <w:p>
      <w:pPr>
        <w:pStyle w:val="Normal"/>
        <w:spacing w:before="0" w:after="40"/>
        <w:ind w:start="255" w:end="85"/>
        <w:rPr/>
      </w:pPr>
      <w:r>
        <w:rPr>
          <w:b/>
          <w:color w:val="D4A017"/>
          <w:sz w:val="17"/>
        </w:rPr>
        <w:t xml:space="preserve">Réponse : </w:t>
      </w:r>
      <w:r>
        <w:rPr>
          <w:color w:val="1F2937"/>
          <w:sz w:val="17"/>
        </w:rPr>
        <w:t>Consulter la bibliothèque et ouvrir la source publique approuvée.</w:t>
      </w:r>
    </w:p>
    <w:p>
      <w:pPr>
        <w:pStyle w:val="Normal"/>
        <w:rPr/>
      </w:pPr>
      <w:r>
        <w:rPr/>
      </w:r>
      <w:r>
        <w:br w:type="page"/>
      </w:r>
    </w:p>
    <w:p>
      <w:pPr>
        <w:pStyle w:val="Heading2"/>
        <w:spacing w:before="0" w:after="80"/>
        <w:rPr/>
      </w:pPr>
      <w:r>
        <w:rPr/>
        <w:t>FICHE 06 — Accès 03 — Départements</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 accès présente les missions publiques, les engagements et l’orientation vers les services institutionnels.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numéro 03 situe l’organisation des responsabilités après le cadre qualité et les sources documentaires.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évite les confusions de rôle et renforce la redevabilité.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chacune des pages départementales et le portail interne sécurisé.</w:t>
            </w:r>
          </w:p>
        </w:tc>
      </w:tr>
    </w:tbl>
    <w:p>
      <w:pPr>
        <w:pStyle w:val="Heading3"/>
        <w:rPr/>
      </w:pPr>
      <w:r>
        <w:rPr/>
        <w:t>Points développés</w:t>
      </w:r>
    </w:p>
    <w:p>
      <w:pPr>
        <w:pStyle w:val="ListBullet"/>
        <w:numPr>
          <w:ilvl w:val="0"/>
          <w:numId w:val="1"/>
        </w:numPr>
        <w:spacing w:before="0" w:after="20"/>
        <w:ind w:hanging="360" w:start="255"/>
        <w:contextualSpacing/>
        <w:rPr/>
      </w:pPr>
      <w:r>
        <w:rPr>
          <w:sz w:val="18"/>
        </w:rPr>
        <w:t>Missions publiques</w:t>
      </w:r>
    </w:p>
    <w:p>
      <w:pPr>
        <w:pStyle w:val="ListBullet"/>
        <w:numPr>
          <w:ilvl w:val="0"/>
          <w:numId w:val="1"/>
        </w:numPr>
        <w:spacing w:before="0" w:after="20"/>
        <w:ind w:hanging="360" w:start="255"/>
        <w:contextualSpacing/>
        <w:rPr/>
      </w:pPr>
      <w:r>
        <w:rPr>
          <w:sz w:val="18"/>
        </w:rPr>
        <w:t>Engagements</w:t>
      </w:r>
    </w:p>
    <w:p>
      <w:pPr>
        <w:pStyle w:val="ListBullet"/>
        <w:numPr>
          <w:ilvl w:val="0"/>
          <w:numId w:val="1"/>
        </w:numPr>
        <w:spacing w:before="0" w:after="20"/>
        <w:ind w:hanging="360" w:start="255"/>
        <w:contextualSpacing/>
        <w:rPr/>
      </w:pPr>
      <w:r>
        <w:rPr>
          <w:sz w:val="18"/>
        </w:rPr>
        <w:t>Orientation</w:t>
      </w:r>
    </w:p>
    <w:p>
      <w:pPr>
        <w:pStyle w:val="ListBullet"/>
        <w:numPr>
          <w:ilvl w:val="0"/>
          <w:numId w:val="1"/>
        </w:numPr>
        <w:spacing w:before="0" w:after="20"/>
        <w:ind w:hanging="360" w:start="255"/>
        <w:contextualSpacing/>
        <w:rPr/>
      </w:pPr>
      <w:r>
        <w:rPr>
          <w:sz w:val="18"/>
        </w:rPr>
        <w:t>Responsables distincts</w:t>
      </w:r>
    </w:p>
    <w:p>
      <w:pPr>
        <w:pStyle w:val="Heading3"/>
        <w:rPr/>
      </w:pPr>
      <w:r>
        <w:rPr/>
        <w:t>Banque de questions-réponses</w:t>
      </w:r>
    </w:p>
    <w:p>
      <w:pPr>
        <w:pStyle w:val="Normal"/>
        <w:keepNext w:val="true"/>
        <w:spacing w:before="40" w:after="0"/>
        <w:ind w:start="85" w:end="85"/>
        <w:rPr/>
      </w:pPr>
      <w:r>
        <w:rPr>
          <w:b/>
          <w:color w:val="0B3D91"/>
          <w:sz w:val="17"/>
        </w:rPr>
        <w:t>Q1. Que présente la section « Accès 03 — Départements » ?</w:t>
      </w:r>
    </w:p>
    <w:p>
      <w:pPr>
        <w:pStyle w:val="Normal"/>
        <w:spacing w:before="0" w:after="40"/>
        <w:ind w:start="255" w:end="85"/>
        <w:rPr/>
      </w:pPr>
      <w:r>
        <w:rPr>
          <w:b/>
          <w:color w:val="D4A017"/>
          <w:sz w:val="17"/>
        </w:rPr>
        <w:t xml:space="preserve">Réponse : </w:t>
      </w:r>
      <w:r>
        <w:rPr>
          <w:color w:val="1F2937"/>
          <w:sz w:val="17"/>
        </w:rPr>
        <w:t>Cet accès présente les missions publiques, les engagements et l’orientation vers les services institutionnels.</w:t>
      </w:r>
    </w:p>
    <w:p>
      <w:pPr>
        <w:pStyle w:val="Normal"/>
        <w:keepNext w:val="true"/>
        <w:spacing w:before="40" w:after="0"/>
        <w:ind w:start="85" w:end="85"/>
        <w:rPr/>
      </w:pPr>
      <w:r>
        <w:rPr>
          <w:b/>
          <w:color w:val="0B3D91"/>
          <w:sz w:val="17"/>
        </w:rPr>
        <w:t>Q2. Quel est l’objectif principal exposé dans « Accès 03 — Départements » ?</w:t>
      </w:r>
    </w:p>
    <w:p>
      <w:pPr>
        <w:pStyle w:val="Normal"/>
        <w:spacing w:before="0" w:after="40"/>
        <w:ind w:start="255" w:end="85"/>
        <w:rPr/>
      </w:pPr>
      <w:r>
        <w:rPr>
          <w:b/>
          <w:color w:val="D4A017"/>
          <w:sz w:val="17"/>
        </w:rPr>
        <w:t xml:space="preserve">Réponse : </w:t>
      </w:r>
      <w:r>
        <w:rPr>
          <w:color w:val="1F2937"/>
          <w:sz w:val="17"/>
        </w:rPr>
        <w:t>Aider le public à comprendre qui fait quoi dans l’établissement.</w:t>
      </w:r>
    </w:p>
    <w:p>
      <w:pPr>
        <w:pStyle w:val="Normal"/>
        <w:keepNext w:val="true"/>
        <w:spacing w:before="40" w:after="0"/>
        <w:ind w:start="85" w:end="85"/>
        <w:rPr/>
      </w:pPr>
      <w:r>
        <w:rPr>
          <w:b/>
          <w:color w:val="0B3D91"/>
          <w:sz w:val="17"/>
        </w:rPr>
        <w:t>Q3. Quels éléments ou domaines sont couverts par « Accès 03 — Départements » ?</w:t>
      </w:r>
    </w:p>
    <w:p>
      <w:pPr>
        <w:pStyle w:val="Normal"/>
        <w:spacing w:before="0" w:after="40"/>
        <w:ind w:start="255" w:end="85"/>
        <w:rPr/>
      </w:pPr>
      <w:r>
        <w:rPr>
          <w:b/>
          <w:color w:val="D4A017"/>
          <w:sz w:val="17"/>
        </w:rPr>
        <w:t xml:space="preserve">Réponse : </w:t>
      </w:r>
      <w:r>
        <w:rPr>
          <w:color w:val="1F2937"/>
          <w:sz w:val="17"/>
        </w:rPr>
        <w:t>DAQAC, ressources humaines, protection de l’enfant, affaires académiques, logistique et systèmes d’information.</w:t>
      </w:r>
    </w:p>
    <w:p>
      <w:pPr>
        <w:pStyle w:val="Normal"/>
        <w:keepNext w:val="true"/>
        <w:spacing w:before="40" w:after="0"/>
        <w:ind w:start="85" w:end="85"/>
        <w:rPr/>
      </w:pPr>
      <w:r>
        <w:rPr>
          <w:b/>
          <w:color w:val="0B3D91"/>
          <w:sz w:val="17"/>
        </w:rPr>
        <w:t>Q4. Qui porte, coordonne ou garantit les éléments présentés dans « Accès 03 — Départements » ?</w:t>
      </w:r>
    </w:p>
    <w:p>
      <w:pPr>
        <w:pStyle w:val="Normal"/>
        <w:spacing w:before="0" w:after="40"/>
        <w:ind w:start="255" w:end="85"/>
        <w:rPr/>
      </w:pPr>
      <w:r>
        <w:rPr>
          <w:b/>
          <w:color w:val="D4A017"/>
          <w:sz w:val="17"/>
        </w:rPr>
        <w:t xml:space="preserve">Réponse : </w:t>
      </w:r>
      <w:r>
        <w:rPr>
          <w:color w:val="1F2937"/>
          <w:sz w:val="17"/>
        </w:rPr>
        <w:t>Chaque département possède un champ d’action et un responsable.</w:t>
      </w:r>
    </w:p>
    <w:p>
      <w:pPr>
        <w:pStyle w:val="Normal"/>
        <w:keepNext w:val="true"/>
        <w:spacing w:before="40" w:after="0"/>
        <w:ind w:start="85" w:end="85"/>
        <w:rPr/>
      </w:pPr>
      <w:r>
        <w:rPr>
          <w:b/>
          <w:color w:val="0B3D91"/>
          <w:sz w:val="17"/>
        </w:rPr>
        <w:t>Q5. Comment la section « Accès 03 — Départements » prévoit-elle la mise en œuvre ou le suivi ?</w:t>
      </w:r>
    </w:p>
    <w:p>
      <w:pPr>
        <w:pStyle w:val="Normal"/>
        <w:spacing w:before="0" w:after="40"/>
        <w:ind w:start="255" w:end="85"/>
        <w:rPr/>
      </w:pPr>
      <w:r>
        <w:rPr>
          <w:b/>
          <w:color w:val="D4A017"/>
          <w:sz w:val="17"/>
        </w:rPr>
        <w:t xml:space="preserve">Réponse : </w:t>
      </w:r>
      <w:r>
        <w:rPr>
          <w:color w:val="1F2937"/>
          <w:sz w:val="17"/>
        </w:rPr>
        <w:t>Le site décrit les missions utiles au public tandis que le portail sécurisé conserve les processus détaillés.</w:t>
      </w:r>
    </w:p>
    <w:p>
      <w:pPr>
        <w:pStyle w:val="Normal"/>
        <w:keepNext w:val="true"/>
        <w:spacing w:before="40" w:after="0"/>
        <w:ind w:start="85" w:end="85"/>
        <w:rPr/>
      </w:pPr>
      <w:r>
        <w:rPr>
          <w:b/>
          <w:color w:val="0B3D91"/>
          <w:sz w:val="17"/>
        </w:rPr>
        <w:t>Q6. Quelle preuve, référence, règle ou information de statut accompagne « Accès 03 — Départements » ?</w:t>
      </w:r>
    </w:p>
    <w:p>
      <w:pPr>
        <w:pStyle w:val="Normal"/>
        <w:spacing w:before="0" w:after="40"/>
        <w:ind w:start="255" w:end="85"/>
        <w:rPr/>
      </w:pPr>
      <w:r>
        <w:rPr>
          <w:b/>
          <w:color w:val="D4A017"/>
          <w:sz w:val="17"/>
        </w:rPr>
        <w:t xml:space="preserve">Réponse : </w:t>
      </w:r>
      <w:r>
        <w:rPr>
          <w:color w:val="1F2937"/>
          <w:sz w:val="17"/>
        </w:rPr>
        <w:t>La page Départements et la documentation de gouvernance servent de références.</w:t>
      </w:r>
    </w:p>
    <w:p>
      <w:pPr>
        <w:pStyle w:val="Normal"/>
        <w:keepNext w:val="true"/>
        <w:spacing w:before="40" w:after="0"/>
        <w:ind w:start="85" w:end="85"/>
        <w:rPr/>
      </w:pPr>
      <w:r>
        <w:rPr>
          <w:b/>
          <w:color w:val="0B3D91"/>
          <w:sz w:val="17"/>
        </w:rPr>
        <w:t>Q7. Quelles limites de diffusion, de décision ou d’accès sont précisées pour « Accès 03 — Départements » ?</w:t>
      </w:r>
    </w:p>
    <w:p>
      <w:pPr>
        <w:pStyle w:val="Normal"/>
        <w:spacing w:before="0" w:after="40"/>
        <w:ind w:start="255" w:end="85"/>
        <w:rPr/>
      </w:pPr>
      <w:r>
        <w:rPr>
          <w:b/>
          <w:color w:val="D4A017"/>
          <w:sz w:val="17"/>
        </w:rPr>
        <w:t xml:space="preserve">Réponse : </w:t>
      </w:r>
      <w:r>
        <w:rPr>
          <w:color w:val="1F2937"/>
          <w:sz w:val="17"/>
        </w:rPr>
        <w:t>Les workflows, habilitations, contrôles et dossiers individuels restent protégés.</w:t>
      </w:r>
    </w:p>
    <w:p>
      <w:pPr>
        <w:pStyle w:val="Normal"/>
        <w:keepNext w:val="true"/>
        <w:spacing w:before="40" w:after="0"/>
        <w:ind w:start="85" w:end="85"/>
        <w:rPr/>
      </w:pPr>
      <w:r>
        <w:rPr>
          <w:b/>
          <w:color w:val="0B3D91"/>
          <w:sz w:val="17"/>
        </w:rPr>
        <w:t>Q8. À quels publics ou bénéficiaires la section « Accès 03 — Départements » est-elle principalement destinée ?</w:t>
      </w:r>
    </w:p>
    <w:p>
      <w:pPr>
        <w:pStyle w:val="Normal"/>
        <w:spacing w:before="0" w:after="40"/>
        <w:ind w:start="255" w:end="85"/>
        <w:rPr/>
      </w:pPr>
      <w:r>
        <w:rPr>
          <w:b/>
          <w:color w:val="D4A017"/>
          <w:sz w:val="17"/>
        </w:rPr>
        <w:t xml:space="preserve">Réponse : </w:t>
      </w:r>
      <w:r>
        <w:rPr>
          <w:color w:val="1F2937"/>
          <w:sz w:val="17"/>
        </w:rPr>
        <w:t>Familles, partenaires, candidats, personnels et personnes recherchant le service compétent.</w:t>
      </w:r>
    </w:p>
    <w:p>
      <w:pPr>
        <w:pStyle w:val="Normal"/>
        <w:keepNext w:val="true"/>
        <w:spacing w:before="40" w:after="0"/>
        <w:ind w:start="85" w:end="85"/>
        <w:rPr/>
      </w:pPr>
      <w:r>
        <w:rPr>
          <w:b/>
          <w:color w:val="0B3D91"/>
          <w:sz w:val="17"/>
        </w:rPr>
        <w:t>Q9. À quelles autres rubriques ou fonctions du site « Accès 03 — Départements » est-il relié ?</w:t>
      </w:r>
    </w:p>
    <w:p>
      <w:pPr>
        <w:pStyle w:val="Normal"/>
        <w:spacing w:before="0" w:after="40"/>
        <w:ind w:start="255" w:end="85"/>
        <w:rPr/>
      </w:pPr>
      <w:r>
        <w:rPr>
          <w:b/>
          <w:color w:val="D4A017"/>
          <w:sz w:val="17"/>
        </w:rPr>
        <w:t xml:space="preserve">Réponse : </w:t>
      </w:r>
      <w:r>
        <w:rPr>
          <w:color w:val="1F2937"/>
          <w:sz w:val="17"/>
        </w:rPr>
        <w:t>Lien avec la gouvernance, l’assurance qualité, ÉMINA et l’assistance humaine.</w:t>
      </w:r>
    </w:p>
    <w:p>
      <w:pPr>
        <w:pStyle w:val="Normal"/>
        <w:keepNext w:val="true"/>
        <w:spacing w:before="40" w:after="0"/>
        <w:ind w:start="85" w:end="85"/>
        <w:rPr/>
      </w:pPr>
      <w:r>
        <w:rPr>
          <w:b/>
          <w:color w:val="0B3D91"/>
          <w:sz w:val="17"/>
        </w:rPr>
        <w:t>Q10. Quelle action, orientation ou résultat concret le lecteur peut-il retenir de « Accès 03 — Départements » ?</w:t>
      </w:r>
    </w:p>
    <w:p>
      <w:pPr>
        <w:pStyle w:val="Normal"/>
        <w:spacing w:before="0" w:after="40"/>
        <w:ind w:start="255" w:end="85"/>
        <w:rPr/>
      </w:pPr>
      <w:r>
        <w:rPr>
          <w:b/>
          <w:color w:val="D4A017"/>
          <w:sz w:val="17"/>
        </w:rPr>
        <w:t xml:space="preserve">Réponse : </w:t>
      </w:r>
      <w:r>
        <w:rPr>
          <w:color w:val="1F2937"/>
          <w:sz w:val="17"/>
        </w:rPr>
        <w:t>Explorer les missions puis contacter ou interroger le service approprié.</w:t>
      </w:r>
    </w:p>
    <w:p>
      <w:pPr>
        <w:pStyle w:val="Normal"/>
        <w:rPr/>
      </w:pPr>
      <w:r>
        <w:rPr/>
      </w:r>
      <w:r>
        <w:br w:type="page"/>
      </w:r>
    </w:p>
    <w:p>
      <w:pPr>
        <w:pStyle w:val="Heading2"/>
        <w:spacing w:before="0" w:after="80"/>
        <w:rPr/>
      </w:pPr>
      <w:r>
        <w:rPr/>
        <w:t>FICHE 07 — Accès 04 — ÉMINA</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 accès explique les capacités d’ÉMINA, ses sources, ses limites et l’escalade vers une personne habilitée.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numéro 04 positionne ÉMINA comme outil de service, après les règles et les propriétaires institutionnels.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protège les usagers contre une confiance excessive dans l’automatisation.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toutes les pages publiques que l’assistante peut expliquer ou retrouver.</w:t>
            </w:r>
          </w:p>
        </w:tc>
      </w:tr>
    </w:tbl>
    <w:p>
      <w:pPr>
        <w:pStyle w:val="Heading3"/>
        <w:rPr/>
      </w:pPr>
      <w:r>
        <w:rPr/>
        <w:t>Points développés</w:t>
      </w:r>
    </w:p>
    <w:p>
      <w:pPr>
        <w:pStyle w:val="ListBullet"/>
        <w:numPr>
          <w:ilvl w:val="0"/>
          <w:numId w:val="1"/>
        </w:numPr>
        <w:spacing w:before="0" w:after="20"/>
        <w:ind w:hanging="360" w:start="255"/>
        <w:contextualSpacing/>
        <w:rPr/>
      </w:pPr>
      <w:r>
        <w:rPr>
          <w:sz w:val="18"/>
        </w:rPr>
        <w:t>Capacités</w:t>
      </w:r>
    </w:p>
    <w:p>
      <w:pPr>
        <w:pStyle w:val="ListBullet"/>
        <w:numPr>
          <w:ilvl w:val="0"/>
          <w:numId w:val="1"/>
        </w:numPr>
        <w:spacing w:before="0" w:after="20"/>
        <w:ind w:hanging="360" w:start="255"/>
        <w:contextualSpacing/>
        <w:rPr/>
      </w:pPr>
      <w:r>
        <w:rPr>
          <w:sz w:val="18"/>
        </w:rPr>
        <w:t>Sources</w:t>
      </w:r>
    </w:p>
    <w:p>
      <w:pPr>
        <w:pStyle w:val="ListBullet"/>
        <w:numPr>
          <w:ilvl w:val="0"/>
          <w:numId w:val="1"/>
        </w:numPr>
        <w:spacing w:before="0" w:after="20"/>
        <w:ind w:hanging="360" w:start="255"/>
        <w:contextualSpacing/>
        <w:rPr/>
      </w:pPr>
      <w:r>
        <w:rPr>
          <w:sz w:val="18"/>
        </w:rPr>
        <w:t>Limites</w:t>
      </w:r>
    </w:p>
    <w:p>
      <w:pPr>
        <w:pStyle w:val="ListBullet"/>
        <w:numPr>
          <w:ilvl w:val="0"/>
          <w:numId w:val="1"/>
        </w:numPr>
        <w:spacing w:before="0" w:after="20"/>
        <w:ind w:hanging="360" w:start="255"/>
        <w:contextualSpacing/>
        <w:rPr/>
      </w:pPr>
      <w:r>
        <w:rPr>
          <w:sz w:val="18"/>
        </w:rPr>
        <w:t>Escalade humaine</w:t>
      </w:r>
    </w:p>
    <w:p>
      <w:pPr>
        <w:pStyle w:val="Heading3"/>
        <w:rPr/>
      </w:pPr>
      <w:r>
        <w:rPr/>
        <w:t>Banque de questions-réponses</w:t>
      </w:r>
    </w:p>
    <w:p>
      <w:pPr>
        <w:pStyle w:val="Normal"/>
        <w:keepNext w:val="true"/>
        <w:spacing w:before="40" w:after="0"/>
        <w:ind w:start="85" w:end="85"/>
        <w:rPr/>
      </w:pPr>
      <w:r>
        <w:rPr>
          <w:b/>
          <w:color w:val="0B3D91"/>
          <w:sz w:val="17"/>
        </w:rPr>
        <w:t>Q1. Que présente la section « Accès 04 — ÉMINA » ?</w:t>
      </w:r>
    </w:p>
    <w:p>
      <w:pPr>
        <w:pStyle w:val="Normal"/>
        <w:spacing w:before="0" w:after="40"/>
        <w:ind w:start="255" w:end="85"/>
        <w:rPr/>
      </w:pPr>
      <w:r>
        <w:rPr>
          <w:b/>
          <w:color w:val="D4A017"/>
          <w:sz w:val="17"/>
        </w:rPr>
        <w:t xml:space="preserve">Réponse : </w:t>
      </w:r>
      <w:r>
        <w:rPr>
          <w:color w:val="1F2937"/>
          <w:sz w:val="17"/>
        </w:rPr>
        <w:t>Cet accès explique les capacités d’ÉMINA, ses sources, ses limites et l’escalade vers une personne habilitée.</w:t>
      </w:r>
    </w:p>
    <w:p>
      <w:pPr>
        <w:pStyle w:val="Normal"/>
        <w:keepNext w:val="true"/>
        <w:spacing w:before="40" w:after="0"/>
        <w:ind w:start="85" w:end="85"/>
        <w:rPr/>
      </w:pPr>
      <w:r>
        <w:rPr>
          <w:b/>
          <w:color w:val="0B3D91"/>
          <w:sz w:val="17"/>
        </w:rPr>
        <w:t>Q2. Quel est l’objectif principal exposé dans « Accès 04 — ÉMINA » ?</w:t>
      </w:r>
    </w:p>
    <w:p>
      <w:pPr>
        <w:pStyle w:val="Normal"/>
        <w:spacing w:before="0" w:after="40"/>
        <w:ind w:start="255" w:end="85"/>
        <w:rPr/>
      </w:pPr>
      <w:r>
        <w:rPr>
          <w:b/>
          <w:color w:val="D4A017"/>
          <w:sz w:val="17"/>
        </w:rPr>
        <w:t xml:space="preserve">Réponse : </w:t>
      </w:r>
      <w:r>
        <w:rPr>
          <w:color w:val="1F2937"/>
          <w:sz w:val="17"/>
        </w:rPr>
        <w:t>Rendre l’assistance numérique transparente et encadrée.</w:t>
      </w:r>
    </w:p>
    <w:p>
      <w:pPr>
        <w:pStyle w:val="Normal"/>
        <w:keepNext w:val="true"/>
        <w:spacing w:before="40" w:after="0"/>
        <w:ind w:start="85" w:end="85"/>
        <w:rPr/>
      </w:pPr>
      <w:r>
        <w:rPr>
          <w:b/>
          <w:color w:val="0B3D91"/>
          <w:sz w:val="17"/>
        </w:rPr>
        <w:t>Q3. Quels éléments ou domaines sont couverts par « Accès 04 — ÉMINA » ?</w:t>
      </w:r>
    </w:p>
    <w:p>
      <w:pPr>
        <w:pStyle w:val="Normal"/>
        <w:spacing w:before="0" w:after="40"/>
        <w:ind w:start="255" w:end="85"/>
        <w:rPr/>
      </w:pPr>
      <w:r>
        <w:rPr>
          <w:b/>
          <w:color w:val="D4A017"/>
          <w:sz w:val="17"/>
        </w:rPr>
        <w:t xml:space="preserve">Réponse : </w:t>
      </w:r>
      <w:r>
        <w:rPr>
          <w:color w:val="1F2937"/>
          <w:sz w:val="17"/>
        </w:rPr>
        <w:t>Explication, recherche de sources, guidage, escalade humaine, confidentialité et limites décisionnelles.</w:t>
      </w:r>
    </w:p>
    <w:p>
      <w:pPr>
        <w:pStyle w:val="Normal"/>
        <w:keepNext w:val="true"/>
        <w:spacing w:before="40" w:after="0"/>
        <w:ind w:start="85" w:end="85"/>
        <w:rPr/>
      </w:pPr>
      <w:r>
        <w:rPr>
          <w:b/>
          <w:color w:val="0B3D91"/>
          <w:sz w:val="17"/>
        </w:rPr>
        <w:t>Q4. Qui porte, coordonne ou garantit les éléments présentés dans « Accès 04 — ÉMINA » ?</w:t>
      </w:r>
    </w:p>
    <w:p>
      <w:pPr>
        <w:pStyle w:val="Normal"/>
        <w:spacing w:before="0" w:after="40"/>
        <w:ind w:start="255" w:end="85"/>
        <w:rPr/>
      </w:pPr>
      <w:r>
        <w:rPr>
          <w:b/>
          <w:color w:val="D4A017"/>
          <w:sz w:val="17"/>
        </w:rPr>
        <w:t xml:space="preserve">Réponse : </w:t>
      </w:r>
      <w:r>
        <w:rPr>
          <w:color w:val="1F2937"/>
          <w:sz w:val="17"/>
        </w:rPr>
        <w:t>ÉMINA appartient au GROUPE SCOLAIRE LES ÉMINENTS et agit dans les limites définies par l’institution.</w:t>
      </w:r>
    </w:p>
    <w:p>
      <w:pPr>
        <w:pStyle w:val="Normal"/>
        <w:keepNext w:val="true"/>
        <w:spacing w:before="40" w:after="0"/>
        <w:ind w:start="85" w:end="85"/>
        <w:rPr/>
      </w:pPr>
      <w:r>
        <w:rPr>
          <w:b/>
          <w:color w:val="0B3D91"/>
          <w:sz w:val="17"/>
        </w:rPr>
        <w:t>Q5. Comment la section « Accès 04 — ÉMINA » prévoit-elle la mise en œuvre ou le suivi ?</w:t>
      </w:r>
    </w:p>
    <w:p>
      <w:pPr>
        <w:pStyle w:val="Normal"/>
        <w:spacing w:before="0" w:after="40"/>
        <w:ind w:start="255" w:end="85"/>
        <w:rPr/>
      </w:pPr>
      <w:r>
        <w:rPr>
          <w:b/>
          <w:color w:val="D4A017"/>
          <w:sz w:val="17"/>
        </w:rPr>
        <w:t xml:space="preserve">Réponse : </w:t>
      </w:r>
      <w:r>
        <w:rPr>
          <w:color w:val="1F2937"/>
          <w:sz w:val="17"/>
        </w:rPr>
        <w:t>Elle s’appuie sur la base publique validée et oriente vers les pages ou personnes compétentes.</w:t>
      </w:r>
    </w:p>
    <w:p>
      <w:pPr>
        <w:pStyle w:val="Normal"/>
        <w:keepNext w:val="true"/>
        <w:spacing w:before="40" w:after="0"/>
        <w:ind w:start="85" w:end="85"/>
        <w:rPr/>
      </w:pPr>
      <w:r>
        <w:rPr>
          <w:b/>
          <w:color w:val="0B3D91"/>
          <w:sz w:val="17"/>
        </w:rPr>
        <w:t>Q6. Quelle preuve, référence, règle ou information de statut accompagne « Accès 04 — ÉMINA » ?</w:t>
      </w:r>
    </w:p>
    <w:p>
      <w:pPr>
        <w:pStyle w:val="Normal"/>
        <w:spacing w:before="0" w:after="40"/>
        <w:ind w:start="255" w:end="85"/>
        <w:rPr/>
      </w:pPr>
      <w:r>
        <w:rPr>
          <w:b/>
          <w:color w:val="D4A017"/>
          <w:sz w:val="17"/>
        </w:rPr>
        <w:t xml:space="preserve">Réponse : </w:t>
      </w:r>
      <w:r>
        <w:rPr>
          <w:color w:val="1F2937"/>
          <w:sz w:val="17"/>
        </w:rPr>
        <w:t>La référence GSE-PUB-EMI-001 identifie la page publique relative à ÉMINA.</w:t>
      </w:r>
    </w:p>
    <w:p>
      <w:pPr>
        <w:pStyle w:val="Normal"/>
        <w:keepNext w:val="true"/>
        <w:spacing w:before="40" w:after="0"/>
        <w:ind w:start="85" w:end="85"/>
        <w:rPr/>
      </w:pPr>
      <w:r>
        <w:rPr>
          <w:b/>
          <w:color w:val="0B3D91"/>
          <w:sz w:val="17"/>
        </w:rPr>
        <w:t>Q7. Quelles limites de diffusion, de décision ou d’accès sont précisées pour « Accès 04 — ÉMINA » ?</w:t>
      </w:r>
    </w:p>
    <w:p>
      <w:pPr>
        <w:pStyle w:val="Normal"/>
        <w:spacing w:before="0" w:after="40"/>
        <w:ind w:start="255" w:end="85"/>
        <w:rPr/>
      </w:pPr>
      <w:r>
        <w:rPr>
          <w:b/>
          <w:color w:val="D4A017"/>
          <w:sz w:val="17"/>
        </w:rPr>
        <w:t xml:space="preserve">Réponse : </w:t>
      </w:r>
      <w:r>
        <w:rPr>
          <w:color w:val="1F2937"/>
          <w:sz w:val="17"/>
        </w:rPr>
        <w:t>ÉMINA ne prend pas de décision d’admission, pédagogique, médicale, disciplinaire, financière ou d’accès.</w:t>
      </w:r>
    </w:p>
    <w:p>
      <w:pPr>
        <w:pStyle w:val="Normal"/>
        <w:keepNext w:val="true"/>
        <w:spacing w:before="40" w:after="0"/>
        <w:ind w:start="85" w:end="85"/>
        <w:rPr/>
      </w:pPr>
      <w:r>
        <w:rPr>
          <w:b/>
          <w:color w:val="0B3D91"/>
          <w:sz w:val="17"/>
        </w:rPr>
        <w:t>Q8. À quels publics ou bénéficiaires la section « Accès 04 — ÉMINA » est-elle principalement destinée ?</w:t>
      </w:r>
    </w:p>
    <w:p>
      <w:pPr>
        <w:pStyle w:val="Normal"/>
        <w:spacing w:before="0" w:after="40"/>
        <w:ind w:start="255" w:end="85"/>
        <w:rPr/>
      </w:pPr>
      <w:r>
        <w:rPr>
          <w:b/>
          <w:color w:val="D4A017"/>
          <w:sz w:val="17"/>
        </w:rPr>
        <w:t xml:space="preserve">Réponse : </w:t>
      </w:r>
      <w:r>
        <w:rPr>
          <w:color w:val="1F2937"/>
          <w:sz w:val="17"/>
        </w:rPr>
        <w:t>Visiteurs, familles, élèves, personnels et partenaires selon leurs droits.</w:t>
      </w:r>
    </w:p>
    <w:p>
      <w:pPr>
        <w:pStyle w:val="Normal"/>
        <w:keepNext w:val="true"/>
        <w:spacing w:before="40" w:after="0"/>
        <w:ind w:start="85" w:end="85"/>
        <w:rPr/>
      </w:pPr>
      <w:r>
        <w:rPr>
          <w:b/>
          <w:color w:val="0B3D91"/>
          <w:sz w:val="17"/>
        </w:rPr>
        <w:t>Q9. À quelles autres rubriques ou fonctions du site « Accès 04 — ÉMINA » est-il relié ?</w:t>
      </w:r>
    </w:p>
    <w:p>
      <w:pPr>
        <w:pStyle w:val="Normal"/>
        <w:spacing w:before="0" w:after="40"/>
        <w:ind w:start="255" w:end="85"/>
        <w:rPr/>
      </w:pPr>
      <w:r>
        <w:rPr>
          <w:b/>
          <w:color w:val="D4A017"/>
          <w:sz w:val="17"/>
        </w:rPr>
        <w:t xml:space="preserve">Réponse : </w:t>
      </w:r>
      <w:r>
        <w:rPr>
          <w:color w:val="1F2937"/>
          <w:sz w:val="17"/>
        </w:rPr>
        <w:t>Lien avec la Documentation publique, la Confidentialité, les Départements et l’assistance humaine.</w:t>
      </w:r>
    </w:p>
    <w:p>
      <w:pPr>
        <w:pStyle w:val="Normal"/>
        <w:keepNext w:val="true"/>
        <w:spacing w:before="40" w:after="0"/>
        <w:ind w:start="85" w:end="85"/>
        <w:rPr/>
      </w:pPr>
      <w:r>
        <w:rPr>
          <w:b/>
          <w:color w:val="0B3D91"/>
          <w:sz w:val="17"/>
        </w:rPr>
        <w:t>Q10. Quelle action, orientation ou résultat concret le lecteur peut-il retenir de « Accès 04 — ÉMINA » ?</w:t>
      </w:r>
    </w:p>
    <w:p>
      <w:pPr>
        <w:pStyle w:val="Normal"/>
        <w:spacing w:before="0" w:after="40"/>
        <w:ind w:start="255" w:end="85"/>
        <w:rPr/>
      </w:pPr>
      <w:r>
        <w:rPr>
          <w:b/>
          <w:color w:val="D4A017"/>
          <w:sz w:val="17"/>
        </w:rPr>
        <w:t xml:space="preserve">Réponse : </w:t>
      </w:r>
      <w:r>
        <w:rPr>
          <w:color w:val="1F2937"/>
          <w:sz w:val="17"/>
        </w:rPr>
        <w:t>Comprendre ce qu’ÉMINA peut faire et demander une orientation lorsque la situation exige une intervention humaine.</w:t>
      </w:r>
    </w:p>
    <w:p>
      <w:pPr>
        <w:pStyle w:val="Normal"/>
        <w:rPr/>
      </w:pPr>
      <w:r>
        <w:rPr/>
      </w:r>
      <w:r>
        <w:br w:type="page"/>
      </w:r>
    </w:p>
    <w:p>
      <w:pPr>
        <w:pStyle w:val="Heading2"/>
        <w:spacing w:before="0" w:after="80"/>
        <w:rPr/>
      </w:pPr>
      <w:r>
        <w:rPr/>
        <w:t>FICHE 08 — Nos engagements publics</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formule quatre engagements publics : conformité, protection, amélioration et redevabilité.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affirme que les engagements ne sont pas seulement internes mais communiqués aux usagers.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fournit une base de confiance et de dialogue entre l’école et les familles.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réclamations, les preuves, la protection des données et les plans d’amélioration.</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Conformité</w:t>
      </w:r>
    </w:p>
    <w:p>
      <w:pPr>
        <w:pStyle w:val="ListBullet"/>
        <w:numPr>
          <w:ilvl w:val="0"/>
          <w:numId w:val="1"/>
        </w:numPr>
        <w:spacing w:before="0" w:after="20"/>
        <w:ind w:hanging="360" w:start="255"/>
        <w:contextualSpacing/>
        <w:rPr/>
      </w:pPr>
      <w:r>
        <w:rPr>
          <w:sz w:val="18"/>
        </w:rPr>
        <w:t>Protection</w:t>
      </w:r>
    </w:p>
    <w:p>
      <w:pPr>
        <w:pStyle w:val="ListBullet"/>
        <w:numPr>
          <w:ilvl w:val="0"/>
          <w:numId w:val="1"/>
        </w:numPr>
        <w:spacing w:before="0" w:after="20"/>
        <w:ind w:hanging="360" w:start="255"/>
        <w:contextualSpacing/>
        <w:rPr/>
      </w:pPr>
      <w:r>
        <w:rPr>
          <w:sz w:val="18"/>
        </w:rPr>
        <w:t>Amélioration</w:t>
      </w:r>
    </w:p>
    <w:p>
      <w:pPr>
        <w:pStyle w:val="ListBullet"/>
        <w:numPr>
          <w:ilvl w:val="0"/>
          <w:numId w:val="1"/>
        </w:numPr>
        <w:spacing w:before="0" w:after="20"/>
        <w:ind w:hanging="360" w:start="255"/>
        <w:contextualSpacing/>
        <w:rPr/>
      </w:pPr>
      <w:r>
        <w:rPr>
          <w:sz w:val="18"/>
        </w:rPr>
        <w:t>Redevabilité</w:t>
      </w:r>
    </w:p>
    <w:p>
      <w:pPr>
        <w:pStyle w:val="Heading3"/>
        <w:rPr/>
      </w:pPr>
      <w:r>
        <w:rPr/>
        <w:t>Banque de questions-réponses</w:t>
      </w:r>
    </w:p>
    <w:p>
      <w:pPr>
        <w:pStyle w:val="Normal"/>
        <w:keepNext w:val="true"/>
        <w:spacing w:before="40" w:after="0"/>
        <w:ind w:start="85" w:end="85"/>
        <w:rPr/>
      </w:pPr>
      <w:r>
        <w:rPr>
          <w:b/>
          <w:color w:val="0B3D91"/>
          <w:sz w:val="17"/>
        </w:rPr>
        <w:t>Q1. Que présente la section « Nos engagements publics » ?</w:t>
      </w:r>
    </w:p>
    <w:p>
      <w:pPr>
        <w:pStyle w:val="Normal"/>
        <w:spacing w:before="0" w:after="40"/>
        <w:ind w:start="255" w:end="85"/>
        <w:rPr/>
      </w:pPr>
      <w:r>
        <w:rPr>
          <w:b/>
          <w:color w:val="D4A017"/>
          <w:sz w:val="17"/>
        </w:rPr>
        <w:t xml:space="preserve">Réponse : </w:t>
      </w:r>
      <w:r>
        <w:rPr>
          <w:color w:val="1F2937"/>
          <w:sz w:val="17"/>
        </w:rPr>
        <w:t>La page formule quatre engagements publics : conformité, protection, amélioration et redevabilité.</w:t>
      </w:r>
    </w:p>
    <w:p>
      <w:pPr>
        <w:pStyle w:val="Normal"/>
        <w:keepNext w:val="true"/>
        <w:spacing w:before="40" w:after="0"/>
        <w:ind w:start="85" w:end="85"/>
        <w:rPr/>
      </w:pPr>
      <w:r>
        <w:rPr>
          <w:b/>
          <w:color w:val="0B3D91"/>
          <w:sz w:val="17"/>
        </w:rPr>
        <w:t>Q2. Quel est l’objectif principal exposé dans « Nos engagements publics » ?</w:t>
      </w:r>
    </w:p>
    <w:p>
      <w:pPr>
        <w:pStyle w:val="Normal"/>
        <w:spacing w:before="0" w:after="40"/>
        <w:ind w:start="255" w:end="85"/>
        <w:rPr/>
      </w:pPr>
      <w:r>
        <w:rPr>
          <w:b/>
          <w:color w:val="D4A017"/>
          <w:sz w:val="17"/>
        </w:rPr>
        <w:t xml:space="preserve">Réponse : </w:t>
      </w:r>
      <w:r>
        <w:rPr>
          <w:color w:val="1F2937"/>
          <w:sz w:val="17"/>
        </w:rPr>
        <w:t>Résumer les obligations que l’école accepte de rendre visibles au public.</w:t>
      </w:r>
    </w:p>
    <w:p>
      <w:pPr>
        <w:pStyle w:val="Normal"/>
        <w:keepNext w:val="true"/>
        <w:spacing w:before="40" w:after="0"/>
        <w:ind w:start="85" w:end="85"/>
        <w:rPr/>
      </w:pPr>
      <w:r>
        <w:rPr>
          <w:b/>
          <w:color w:val="0B3D91"/>
          <w:sz w:val="17"/>
        </w:rPr>
        <w:t>Q3. Quels éléments ou domaines sont couverts par « Nos engagements publics » ?</w:t>
      </w:r>
    </w:p>
    <w:p>
      <w:pPr>
        <w:pStyle w:val="Normal"/>
        <w:spacing w:before="0" w:after="40"/>
        <w:ind w:start="255" w:end="85"/>
        <w:rPr/>
      </w:pPr>
      <w:r>
        <w:rPr>
          <w:b/>
          <w:color w:val="D4A017"/>
          <w:sz w:val="17"/>
        </w:rPr>
        <w:t xml:space="preserve">Réponse : </w:t>
      </w:r>
      <w:r>
        <w:rPr>
          <w:color w:val="1F2937"/>
          <w:sz w:val="17"/>
        </w:rPr>
        <w:t>Respect des textes, intérêt de l’enfant, amélioration fondée sur la mesure et responsabilité documentée.</w:t>
      </w:r>
    </w:p>
    <w:p>
      <w:pPr>
        <w:pStyle w:val="Normal"/>
        <w:keepNext w:val="true"/>
        <w:spacing w:before="40" w:after="0"/>
        <w:ind w:start="85" w:end="85"/>
        <w:rPr/>
      </w:pPr>
      <w:r>
        <w:rPr>
          <w:b/>
          <w:color w:val="0B3D91"/>
          <w:sz w:val="17"/>
        </w:rPr>
        <w:t>Q4. Qui porte, coordonne ou garantit les éléments présentés dans « Nos engagements publics » ?</w:t>
      </w:r>
    </w:p>
    <w:p>
      <w:pPr>
        <w:pStyle w:val="Normal"/>
        <w:spacing w:before="0" w:after="40"/>
        <w:ind w:start="255" w:end="85"/>
        <w:rPr/>
      </w:pPr>
      <w:r>
        <w:rPr>
          <w:b/>
          <w:color w:val="D4A017"/>
          <w:sz w:val="17"/>
        </w:rPr>
        <w:t xml:space="preserve">Réponse : </w:t>
      </w:r>
      <w:r>
        <w:rPr>
          <w:color w:val="1F2937"/>
          <w:sz w:val="17"/>
        </w:rPr>
        <w:t>Le GSE et ses responsables de service portent collectivement ces engagements.</w:t>
      </w:r>
    </w:p>
    <w:p>
      <w:pPr>
        <w:pStyle w:val="Normal"/>
        <w:keepNext w:val="true"/>
        <w:spacing w:before="40" w:after="0"/>
        <w:ind w:start="85" w:end="85"/>
        <w:rPr/>
      </w:pPr>
      <w:r>
        <w:rPr>
          <w:b/>
          <w:color w:val="0B3D91"/>
          <w:sz w:val="17"/>
        </w:rPr>
        <w:t>Q5. Comment la section « Nos engagements publics » prévoit-elle la mise en œuvre ou le suivi ?</w:t>
      </w:r>
    </w:p>
    <w:p>
      <w:pPr>
        <w:pStyle w:val="Normal"/>
        <w:spacing w:before="0" w:after="40"/>
        <w:ind w:start="255" w:end="85"/>
        <w:rPr/>
      </w:pPr>
      <w:r>
        <w:rPr>
          <w:b/>
          <w:color w:val="D4A017"/>
          <w:sz w:val="17"/>
        </w:rPr>
        <w:t xml:space="preserve">Réponse : </w:t>
      </w:r>
      <w:r>
        <w:rPr>
          <w:color w:val="1F2937"/>
          <w:sz w:val="17"/>
        </w:rPr>
        <w:t>Chaque engagement est traduit en règles, preuves, responsables et réponses aux familles.</w:t>
      </w:r>
    </w:p>
    <w:p>
      <w:pPr>
        <w:pStyle w:val="Normal"/>
        <w:keepNext w:val="true"/>
        <w:spacing w:before="40" w:after="0"/>
        <w:ind w:start="85" w:end="85"/>
        <w:rPr/>
      </w:pPr>
      <w:r>
        <w:rPr>
          <w:b/>
          <w:color w:val="0B3D91"/>
          <w:sz w:val="17"/>
        </w:rPr>
        <w:t>Q6. Quelle preuve, référence, règle ou information de statut accompagne « Nos engagements publics » ?</w:t>
      </w:r>
    </w:p>
    <w:p>
      <w:pPr>
        <w:pStyle w:val="Normal"/>
        <w:spacing w:before="0" w:after="40"/>
        <w:ind w:start="255" w:end="85"/>
        <w:rPr/>
      </w:pPr>
      <w:r>
        <w:rPr>
          <w:b/>
          <w:color w:val="D4A017"/>
          <w:sz w:val="17"/>
        </w:rPr>
        <w:t xml:space="preserve">Réponse : </w:t>
      </w:r>
      <w:r>
        <w:rPr>
          <w:color w:val="1F2937"/>
          <w:sz w:val="17"/>
        </w:rPr>
        <w:t>Les documents publics et les traces de suivi permettent d’en vérifier l’application.</w:t>
      </w:r>
    </w:p>
    <w:p>
      <w:pPr>
        <w:pStyle w:val="Normal"/>
        <w:keepNext w:val="true"/>
        <w:spacing w:before="40" w:after="0"/>
        <w:ind w:start="85" w:end="85"/>
        <w:rPr/>
      </w:pPr>
      <w:r>
        <w:rPr>
          <w:b/>
          <w:color w:val="0B3D91"/>
          <w:sz w:val="17"/>
        </w:rPr>
        <w:t>Q7. Quelles limites de diffusion, de décision ou d’accès sont précisées pour « Nos engagements publics » ?</w:t>
      </w:r>
    </w:p>
    <w:p>
      <w:pPr>
        <w:pStyle w:val="Normal"/>
        <w:spacing w:before="0" w:after="40"/>
        <w:ind w:start="255" w:end="85"/>
        <w:rPr/>
      </w:pPr>
      <w:r>
        <w:rPr>
          <w:b/>
          <w:color w:val="D4A017"/>
          <w:sz w:val="17"/>
        </w:rPr>
        <w:t xml:space="preserve">Réponse : </w:t>
      </w:r>
      <w:r>
        <w:rPr>
          <w:color w:val="1F2937"/>
          <w:sz w:val="17"/>
        </w:rPr>
        <w:t>La publication reste limitée aux informations qui ne compromettent ni la sécurité ni la confidentialité.</w:t>
      </w:r>
    </w:p>
    <w:p>
      <w:pPr>
        <w:pStyle w:val="Normal"/>
        <w:keepNext w:val="true"/>
        <w:spacing w:before="40" w:after="0"/>
        <w:ind w:start="85" w:end="85"/>
        <w:rPr/>
      </w:pPr>
      <w:r>
        <w:rPr>
          <w:b/>
          <w:color w:val="0B3D91"/>
          <w:sz w:val="17"/>
        </w:rPr>
        <w:t>Q8. À quels publics ou bénéficiaires la section « Nos engagements publics » est-elle principalement destinée ?</w:t>
      </w:r>
    </w:p>
    <w:p>
      <w:pPr>
        <w:pStyle w:val="Normal"/>
        <w:spacing w:before="0" w:after="40"/>
        <w:ind w:start="255" w:end="85"/>
        <w:rPr/>
      </w:pPr>
      <w:r>
        <w:rPr>
          <w:b/>
          <w:color w:val="D4A017"/>
          <w:sz w:val="17"/>
        </w:rPr>
        <w:t xml:space="preserve">Réponse : </w:t>
      </w:r>
      <w:r>
        <w:rPr>
          <w:color w:val="1F2937"/>
          <w:sz w:val="17"/>
        </w:rPr>
        <w:t>Élèves et familles en premier lieu, puis partenaires, personnels et autorités.</w:t>
      </w:r>
    </w:p>
    <w:p>
      <w:pPr>
        <w:pStyle w:val="Normal"/>
        <w:keepNext w:val="true"/>
        <w:spacing w:before="40" w:after="0"/>
        <w:ind w:start="85" w:end="85"/>
        <w:rPr/>
      </w:pPr>
      <w:r>
        <w:rPr>
          <w:b/>
          <w:color w:val="0B3D91"/>
          <w:sz w:val="17"/>
        </w:rPr>
        <w:t>Q9. À quelles autres rubriques ou fonctions du site « Nos engagements publics » est-il relié ?</w:t>
      </w:r>
    </w:p>
    <w:p>
      <w:pPr>
        <w:pStyle w:val="Normal"/>
        <w:spacing w:before="0" w:after="40"/>
        <w:ind w:start="255" w:end="85"/>
        <w:rPr/>
      </w:pPr>
      <w:r>
        <w:rPr>
          <w:b/>
          <w:color w:val="D4A017"/>
          <w:sz w:val="17"/>
        </w:rPr>
        <w:t xml:space="preserve">Réponse : </w:t>
      </w:r>
      <w:r>
        <w:rPr>
          <w:color w:val="1F2937"/>
          <w:sz w:val="17"/>
        </w:rPr>
        <w:t>Lien avec les valeurs institutionnelles, l’assurance qualité et les politiques spécialisées.</w:t>
      </w:r>
    </w:p>
    <w:p>
      <w:pPr>
        <w:pStyle w:val="Normal"/>
        <w:keepNext w:val="true"/>
        <w:spacing w:before="40" w:after="0"/>
        <w:ind w:start="85" w:end="85"/>
        <w:rPr/>
      </w:pPr>
      <w:r>
        <w:rPr>
          <w:b/>
          <w:color w:val="0B3D91"/>
          <w:sz w:val="17"/>
        </w:rPr>
        <w:t>Q10. Quelle action, orientation ou résultat concret le lecteur peut-il retenir de « Nos engagements publics » ?</w:t>
      </w:r>
    </w:p>
    <w:p>
      <w:pPr>
        <w:pStyle w:val="Normal"/>
        <w:spacing w:before="0" w:after="40"/>
        <w:ind w:start="255" w:end="85"/>
        <w:rPr/>
      </w:pPr>
      <w:r>
        <w:rPr>
          <w:b/>
          <w:color w:val="D4A017"/>
          <w:sz w:val="17"/>
        </w:rPr>
        <w:t xml:space="preserve">Réponse : </w:t>
      </w:r>
      <w:r>
        <w:rPr>
          <w:color w:val="1F2937"/>
          <w:sz w:val="17"/>
        </w:rPr>
        <w:t>Utiliser ces quatre engagements comme grille de lecture des services proposés par l’école.</w:t>
      </w:r>
    </w:p>
    <w:p>
      <w:pPr>
        <w:pStyle w:val="Normal"/>
        <w:rPr/>
      </w:pPr>
      <w:r>
        <w:rPr/>
      </w:r>
      <w:r>
        <w:br w:type="page"/>
      </w:r>
    </w:p>
    <w:p>
      <w:pPr>
        <w:pStyle w:val="Heading2"/>
        <w:spacing w:before="0" w:after="80"/>
        <w:rPr/>
      </w:pPr>
      <w:r>
        <w:rPr/>
        <w:t>FICHE 09 — Conformité</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conformité consiste à respecter les textes applicables et les décisions institutionnelles validées.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Ce titre nomme explicitement l’obligation de respecter le cadre légal et institutionnel.</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conformité protège la légitimité de l’école et la sécurité des décisions.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Documentation publique et Veille officielle.</w:t>
            </w:r>
          </w:p>
        </w:tc>
      </w:tr>
    </w:tbl>
    <w:p>
      <w:pPr>
        <w:pStyle w:val="Heading3"/>
        <w:rPr/>
      </w:pPr>
      <w:r>
        <w:rPr/>
        <w:t>Points développés</w:t>
      </w:r>
    </w:p>
    <w:p>
      <w:pPr>
        <w:pStyle w:val="ListBullet"/>
        <w:numPr>
          <w:ilvl w:val="0"/>
          <w:numId w:val="1"/>
        </w:numPr>
        <w:spacing w:before="0" w:after="20"/>
        <w:ind w:hanging="360" w:start="255"/>
        <w:contextualSpacing/>
        <w:rPr/>
      </w:pPr>
      <w:r>
        <w:rPr>
          <w:sz w:val="18"/>
        </w:rPr>
        <w:t>Textes applicables</w:t>
      </w:r>
    </w:p>
    <w:p>
      <w:pPr>
        <w:pStyle w:val="ListBullet"/>
        <w:numPr>
          <w:ilvl w:val="0"/>
          <w:numId w:val="1"/>
        </w:numPr>
        <w:spacing w:before="0" w:after="20"/>
        <w:ind w:hanging="360" w:start="255"/>
        <w:contextualSpacing/>
        <w:rPr/>
      </w:pPr>
      <w:r>
        <w:rPr>
          <w:sz w:val="18"/>
        </w:rPr>
        <w:t>Décisions validées</w:t>
      </w:r>
    </w:p>
    <w:p>
      <w:pPr>
        <w:pStyle w:val="ListBullet"/>
        <w:numPr>
          <w:ilvl w:val="0"/>
          <w:numId w:val="1"/>
        </w:numPr>
        <w:spacing w:before="0" w:after="20"/>
        <w:ind w:hanging="360" w:start="255"/>
        <w:contextualSpacing/>
        <w:rPr/>
      </w:pPr>
      <w:r>
        <w:rPr>
          <w:sz w:val="18"/>
        </w:rPr>
        <w:t>Contrôle institutionnel</w:t>
      </w:r>
    </w:p>
    <w:p>
      <w:pPr>
        <w:pStyle w:val="Heading3"/>
        <w:rPr/>
      </w:pPr>
      <w:r>
        <w:rPr/>
        <w:t>Banque de questions-réponses</w:t>
      </w:r>
    </w:p>
    <w:p>
      <w:pPr>
        <w:pStyle w:val="Normal"/>
        <w:keepNext w:val="true"/>
        <w:spacing w:before="40" w:after="0"/>
        <w:ind w:start="85" w:end="85"/>
        <w:rPr/>
      </w:pPr>
      <w:r>
        <w:rPr>
          <w:b/>
          <w:color w:val="0B3D91"/>
          <w:sz w:val="17"/>
        </w:rPr>
        <w:t>Q1. Que présente la section « Conformité » ?</w:t>
      </w:r>
    </w:p>
    <w:p>
      <w:pPr>
        <w:pStyle w:val="Normal"/>
        <w:spacing w:before="0" w:after="40"/>
        <w:ind w:start="255" w:end="85"/>
        <w:rPr/>
      </w:pPr>
      <w:r>
        <w:rPr>
          <w:b/>
          <w:color w:val="D4A017"/>
          <w:sz w:val="17"/>
        </w:rPr>
        <w:t xml:space="preserve">Réponse : </w:t>
      </w:r>
      <w:r>
        <w:rPr>
          <w:color w:val="1F2937"/>
          <w:sz w:val="17"/>
        </w:rPr>
        <w:t>La conformité consiste à respecter les textes applicables et les décisions institutionnelles validées.</w:t>
      </w:r>
    </w:p>
    <w:p>
      <w:pPr>
        <w:pStyle w:val="Normal"/>
        <w:keepNext w:val="true"/>
        <w:spacing w:before="40" w:after="0"/>
        <w:ind w:start="85" w:end="85"/>
        <w:rPr/>
      </w:pPr>
      <w:r>
        <w:rPr>
          <w:b/>
          <w:color w:val="0B3D91"/>
          <w:sz w:val="17"/>
        </w:rPr>
        <w:t>Q2. Quel est l’objectif principal exposé dans « Conformité » ?</w:t>
      </w:r>
    </w:p>
    <w:p>
      <w:pPr>
        <w:pStyle w:val="Normal"/>
        <w:spacing w:before="0" w:after="40"/>
        <w:ind w:start="255" w:end="85"/>
        <w:rPr/>
      </w:pPr>
      <w:r>
        <w:rPr>
          <w:b/>
          <w:color w:val="D4A017"/>
          <w:sz w:val="17"/>
        </w:rPr>
        <w:t xml:space="preserve">Réponse : </w:t>
      </w:r>
      <w:r>
        <w:rPr>
          <w:color w:val="1F2937"/>
          <w:sz w:val="17"/>
        </w:rPr>
        <w:t>Affirmer que les activités de l’école doivent suivre les règles en vigueur et les décisions approuvées.</w:t>
      </w:r>
    </w:p>
    <w:p>
      <w:pPr>
        <w:pStyle w:val="Normal"/>
        <w:keepNext w:val="true"/>
        <w:spacing w:before="40" w:after="0"/>
        <w:ind w:start="85" w:end="85"/>
        <w:rPr/>
      </w:pPr>
      <w:r>
        <w:rPr>
          <w:b/>
          <w:color w:val="0B3D91"/>
          <w:sz w:val="17"/>
        </w:rPr>
        <w:t>Q3. Quels éléments ou domaines sont couverts par « Conformité » ?</w:t>
      </w:r>
    </w:p>
    <w:p>
      <w:pPr>
        <w:pStyle w:val="Normal"/>
        <w:spacing w:before="0" w:after="40"/>
        <w:ind w:start="255" w:end="85"/>
        <w:rPr/>
      </w:pPr>
      <w:r>
        <w:rPr>
          <w:b/>
          <w:color w:val="D4A017"/>
          <w:sz w:val="17"/>
        </w:rPr>
        <w:t xml:space="preserve">Réponse : </w:t>
      </w:r>
      <w:r>
        <w:rPr>
          <w:color w:val="1F2937"/>
          <w:sz w:val="17"/>
        </w:rPr>
        <w:t>Textes applicables, décisions institutionnelles et pratiques conformes.</w:t>
      </w:r>
    </w:p>
    <w:p>
      <w:pPr>
        <w:pStyle w:val="Normal"/>
        <w:keepNext w:val="true"/>
        <w:spacing w:before="40" w:after="0"/>
        <w:ind w:start="85" w:end="85"/>
        <w:rPr/>
      </w:pPr>
      <w:r>
        <w:rPr>
          <w:b/>
          <w:color w:val="0B3D91"/>
          <w:sz w:val="17"/>
        </w:rPr>
        <w:t>Q4. Qui porte, coordonne ou garantit les éléments présentés dans « Conformité » ?</w:t>
      </w:r>
    </w:p>
    <w:p>
      <w:pPr>
        <w:pStyle w:val="Normal"/>
        <w:spacing w:before="0" w:after="40"/>
        <w:ind w:start="255" w:end="85"/>
        <w:rPr/>
      </w:pPr>
      <w:r>
        <w:rPr>
          <w:b/>
          <w:color w:val="D4A017"/>
          <w:sz w:val="17"/>
        </w:rPr>
        <w:t xml:space="preserve">Réponse : </w:t>
      </w:r>
      <w:r>
        <w:rPr>
          <w:color w:val="1F2937"/>
          <w:sz w:val="17"/>
        </w:rPr>
        <w:t>La Direction et chaque responsable de domaine veillent à la conformité.</w:t>
      </w:r>
    </w:p>
    <w:p>
      <w:pPr>
        <w:pStyle w:val="Normal"/>
        <w:keepNext w:val="true"/>
        <w:spacing w:before="40" w:after="0"/>
        <w:ind w:start="85" w:end="85"/>
        <w:rPr/>
      </w:pPr>
      <w:r>
        <w:rPr>
          <w:b/>
          <w:color w:val="0B3D91"/>
          <w:sz w:val="17"/>
        </w:rPr>
        <w:t>Q5. Comment la section « Conformité » prévoit-elle la mise en œuvre ou le suivi ?</w:t>
      </w:r>
    </w:p>
    <w:p>
      <w:pPr>
        <w:pStyle w:val="Normal"/>
        <w:spacing w:before="0" w:after="40"/>
        <w:ind w:start="255" w:end="85"/>
        <w:rPr/>
      </w:pPr>
      <w:r>
        <w:rPr>
          <w:b/>
          <w:color w:val="D4A017"/>
          <w:sz w:val="17"/>
        </w:rPr>
        <w:t xml:space="preserve">Réponse : </w:t>
      </w:r>
      <w:r>
        <w:rPr>
          <w:color w:val="1F2937"/>
          <w:sz w:val="17"/>
        </w:rPr>
        <w:t>Les exigences sont intégrées aux procédures et contrôlées dans le cadre qualité.</w:t>
      </w:r>
    </w:p>
    <w:p>
      <w:pPr>
        <w:pStyle w:val="Normal"/>
        <w:keepNext w:val="true"/>
        <w:spacing w:before="40" w:after="0"/>
        <w:ind w:start="85" w:end="85"/>
        <w:rPr/>
      </w:pPr>
      <w:r>
        <w:rPr>
          <w:b/>
          <w:color w:val="0B3D91"/>
          <w:sz w:val="17"/>
        </w:rPr>
        <w:t>Q6. Quelle preuve, référence, règle ou information de statut accompagne « Conformité » ?</w:t>
      </w:r>
    </w:p>
    <w:p>
      <w:pPr>
        <w:pStyle w:val="Normal"/>
        <w:spacing w:before="0" w:after="40"/>
        <w:ind w:start="255" w:end="85"/>
        <w:rPr/>
      </w:pPr>
      <w:r>
        <w:rPr>
          <w:b/>
          <w:color w:val="D4A017"/>
          <w:sz w:val="17"/>
        </w:rPr>
        <w:t xml:space="preserve">Réponse : </w:t>
      </w:r>
      <w:r>
        <w:rPr>
          <w:color w:val="1F2937"/>
          <w:sz w:val="17"/>
        </w:rPr>
        <w:t>Les textes de référence et décisions validées constituent les preuves de base.</w:t>
      </w:r>
    </w:p>
    <w:p>
      <w:pPr>
        <w:pStyle w:val="Normal"/>
        <w:keepNext w:val="true"/>
        <w:spacing w:before="40" w:after="0"/>
        <w:ind w:start="85" w:end="85"/>
        <w:rPr/>
      </w:pPr>
      <w:r>
        <w:rPr>
          <w:b/>
          <w:color w:val="0B3D91"/>
          <w:sz w:val="17"/>
        </w:rPr>
        <w:t>Q7. Quelles limites de diffusion, de décision ou d’accès sont précisées pour « Conformité » ?</w:t>
      </w:r>
    </w:p>
    <w:p>
      <w:pPr>
        <w:pStyle w:val="Normal"/>
        <w:spacing w:before="0" w:after="40"/>
        <w:ind w:start="255" w:end="85"/>
        <w:rPr/>
      </w:pPr>
      <w:r>
        <w:rPr>
          <w:b/>
          <w:color w:val="D4A017"/>
          <w:sz w:val="17"/>
        </w:rPr>
        <w:t xml:space="preserve">Réponse : </w:t>
      </w:r>
      <w:r>
        <w:rPr>
          <w:color w:val="1F2937"/>
          <w:sz w:val="17"/>
        </w:rPr>
        <w:t>Une information non validée ne peut pas remplacer une décision institutionnelle officielle.</w:t>
      </w:r>
    </w:p>
    <w:p>
      <w:pPr>
        <w:pStyle w:val="Normal"/>
        <w:keepNext w:val="true"/>
        <w:spacing w:before="40" w:after="0"/>
        <w:ind w:start="85" w:end="85"/>
        <w:rPr/>
      </w:pPr>
      <w:r>
        <w:rPr>
          <w:b/>
          <w:color w:val="0B3D91"/>
          <w:sz w:val="17"/>
        </w:rPr>
        <w:t>Q8. À quels publics ou bénéficiaires la section « Conformité » est-elle principalement destinée ?</w:t>
      </w:r>
    </w:p>
    <w:p>
      <w:pPr>
        <w:pStyle w:val="Normal"/>
        <w:spacing w:before="0" w:after="40"/>
        <w:ind w:start="255" w:end="85"/>
        <w:rPr/>
      </w:pPr>
      <w:r>
        <w:rPr>
          <w:b/>
          <w:color w:val="D4A017"/>
          <w:sz w:val="17"/>
        </w:rPr>
        <w:t xml:space="preserve">Réponse : </w:t>
      </w:r>
      <w:r>
        <w:rPr>
          <w:color w:val="1F2937"/>
          <w:sz w:val="17"/>
        </w:rPr>
        <w:t>Élèves, familles, personnel, autorités et partenaires.</w:t>
      </w:r>
    </w:p>
    <w:p>
      <w:pPr>
        <w:pStyle w:val="Normal"/>
        <w:keepNext w:val="true"/>
        <w:spacing w:before="40" w:after="0"/>
        <w:ind w:start="85" w:end="85"/>
        <w:rPr/>
      </w:pPr>
      <w:r>
        <w:rPr>
          <w:b/>
          <w:color w:val="0B3D91"/>
          <w:sz w:val="17"/>
        </w:rPr>
        <w:t>Q9. À quelles autres rubriques ou fonctions du site « Conformité » est-il relié ?</w:t>
      </w:r>
    </w:p>
    <w:p>
      <w:pPr>
        <w:pStyle w:val="Normal"/>
        <w:spacing w:before="0" w:after="40"/>
        <w:ind w:start="255" w:end="85"/>
        <w:rPr/>
      </w:pPr>
      <w:r>
        <w:rPr>
          <w:b/>
          <w:color w:val="D4A017"/>
          <w:sz w:val="17"/>
        </w:rPr>
        <w:t xml:space="preserve">Réponse : </w:t>
      </w:r>
      <w:r>
        <w:rPr>
          <w:color w:val="1F2937"/>
          <w:sz w:val="17"/>
        </w:rPr>
        <w:t>Lien avec l’Agrément, la Gouvernance, la Veille officielle et le DAQAC.</w:t>
      </w:r>
    </w:p>
    <w:p>
      <w:pPr>
        <w:pStyle w:val="Normal"/>
        <w:keepNext w:val="true"/>
        <w:spacing w:before="40" w:after="0"/>
        <w:ind w:start="85" w:end="85"/>
        <w:rPr/>
      </w:pPr>
      <w:r>
        <w:rPr>
          <w:b/>
          <w:color w:val="0B3D91"/>
          <w:sz w:val="17"/>
        </w:rPr>
        <w:t>Q10. Quelle action, orientation ou résultat concret le lecteur peut-il retenir de « Conformité » ?</w:t>
      </w:r>
    </w:p>
    <w:p>
      <w:pPr>
        <w:pStyle w:val="Normal"/>
        <w:spacing w:before="0" w:after="40"/>
        <w:ind w:start="255" w:end="85"/>
        <w:rPr/>
      </w:pPr>
      <w:r>
        <w:rPr>
          <w:b/>
          <w:color w:val="D4A017"/>
          <w:sz w:val="17"/>
        </w:rPr>
        <w:t xml:space="preserve">Réponse : </w:t>
      </w:r>
      <w:r>
        <w:rPr>
          <w:color w:val="1F2937"/>
          <w:sz w:val="17"/>
        </w:rPr>
        <w:t>Se référer aux textes et sources approuvées avant d’agir ou d’informer.</w:t>
      </w:r>
    </w:p>
    <w:p>
      <w:pPr>
        <w:pStyle w:val="Normal"/>
        <w:rPr/>
      </w:pPr>
      <w:r>
        <w:rPr/>
      </w:r>
      <w:r>
        <w:br w:type="page"/>
      </w:r>
    </w:p>
    <w:p>
      <w:pPr>
        <w:pStyle w:val="Heading2"/>
        <w:spacing w:before="0" w:after="80"/>
        <w:rPr/>
      </w:pPr>
      <w:r>
        <w:rPr/>
        <w:t>FICHE 10 — Protection</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protection repose sur l’intérêt supérieur de l’enfant, la confidentialité et une sécurité proportionnée.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exprime un engagement fondamental et non négociable de l’école.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protection conditionne la confiance, le bien-être et la qualité éducative.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signalements, la discipline positive et la sécurité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Intérêt supérieur de l’enfant</w:t>
      </w:r>
    </w:p>
    <w:p>
      <w:pPr>
        <w:pStyle w:val="ListBullet"/>
        <w:numPr>
          <w:ilvl w:val="0"/>
          <w:numId w:val="1"/>
        </w:numPr>
        <w:spacing w:before="0" w:after="20"/>
        <w:ind w:hanging="360" w:start="255"/>
        <w:contextualSpacing/>
        <w:rPr/>
      </w:pPr>
      <w:r>
        <w:rPr>
          <w:sz w:val="18"/>
        </w:rPr>
        <w:t>Confidentialité</w:t>
      </w:r>
    </w:p>
    <w:p>
      <w:pPr>
        <w:pStyle w:val="ListBullet"/>
        <w:numPr>
          <w:ilvl w:val="0"/>
          <w:numId w:val="1"/>
        </w:numPr>
        <w:spacing w:before="0" w:after="20"/>
        <w:ind w:hanging="360" w:start="255"/>
        <w:contextualSpacing/>
        <w:rPr/>
      </w:pPr>
      <w:r>
        <w:rPr>
          <w:sz w:val="18"/>
        </w:rPr>
        <w:t>Sécurité proportionnée</w:t>
      </w:r>
    </w:p>
    <w:p>
      <w:pPr>
        <w:pStyle w:val="Heading3"/>
        <w:rPr/>
      </w:pPr>
      <w:r>
        <w:rPr/>
        <w:t>Banque de questions-réponses</w:t>
      </w:r>
    </w:p>
    <w:p>
      <w:pPr>
        <w:pStyle w:val="Normal"/>
        <w:keepNext w:val="true"/>
        <w:spacing w:before="40" w:after="0"/>
        <w:ind w:start="85" w:end="85"/>
        <w:rPr/>
      </w:pPr>
      <w:r>
        <w:rPr>
          <w:b/>
          <w:color w:val="0B3D91"/>
          <w:sz w:val="17"/>
        </w:rPr>
        <w:t>Q1. Que présente la section « Protection » ?</w:t>
      </w:r>
    </w:p>
    <w:p>
      <w:pPr>
        <w:pStyle w:val="Normal"/>
        <w:spacing w:before="0" w:after="40"/>
        <w:ind w:start="255" w:end="85"/>
        <w:rPr/>
      </w:pPr>
      <w:r>
        <w:rPr>
          <w:b/>
          <w:color w:val="D4A017"/>
          <w:sz w:val="17"/>
        </w:rPr>
        <w:t xml:space="preserve">Réponse : </w:t>
      </w:r>
      <w:r>
        <w:rPr>
          <w:color w:val="1F2937"/>
          <w:sz w:val="17"/>
        </w:rPr>
        <w:t>La protection repose sur l’intérêt supérieur de l’enfant, la confidentialité et une sécurité proportionnée.</w:t>
      </w:r>
    </w:p>
    <w:p>
      <w:pPr>
        <w:pStyle w:val="Normal"/>
        <w:keepNext w:val="true"/>
        <w:spacing w:before="40" w:after="0"/>
        <w:ind w:start="85" w:end="85"/>
        <w:rPr/>
      </w:pPr>
      <w:r>
        <w:rPr>
          <w:b/>
          <w:color w:val="0B3D91"/>
          <w:sz w:val="17"/>
        </w:rPr>
        <w:t>Q2. Quel est l’objectif principal exposé dans « Protection » ?</w:t>
      </w:r>
    </w:p>
    <w:p>
      <w:pPr>
        <w:pStyle w:val="Normal"/>
        <w:spacing w:before="0" w:after="40"/>
        <w:ind w:start="255" w:end="85"/>
        <w:rPr/>
      </w:pPr>
      <w:r>
        <w:rPr>
          <w:b/>
          <w:color w:val="D4A017"/>
          <w:sz w:val="17"/>
        </w:rPr>
        <w:t xml:space="preserve">Réponse : </w:t>
      </w:r>
      <w:r>
        <w:rPr>
          <w:color w:val="1F2937"/>
          <w:sz w:val="17"/>
        </w:rPr>
        <w:t>Placer l’enfant et ses droits au centre des mesures de sécurité et de confidentialité.</w:t>
      </w:r>
    </w:p>
    <w:p>
      <w:pPr>
        <w:pStyle w:val="Normal"/>
        <w:keepNext w:val="true"/>
        <w:spacing w:before="40" w:after="0"/>
        <w:ind w:start="85" w:end="85"/>
        <w:rPr/>
      </w:pPr>
      <w:r>
        <w:rPr>
          <w:b/>
          <w:color w:val="0B3D91"/>
          <w:sz w:val="17"/>
        </w:rPr>
        <w:t>Q3. Quels éléments ou domaines sont couverts par « Protection » ?</w:t>
      </w:r>
    </w:p>
    <w:p>
      <w:pPr>
        <w:pStyle w:val="Normal"/>
        <w:spacing w:before="0" w:after="40"/>
        <w:ind w:start="255" w:end="85"/>
        <w:rPr/>
      </w:pPr>
      <w:r>
        <w:rPr>
          <w:b/>
          <w:color w:val="D4A017"/>
          <w:sz w:val="17"/>
        </w:rPr>
        <w:t xml:space="preserve">Réponse : </w:t>
      </w:r>
      <w:r>
        <w:rPr>
          <w:color w:val="1F2937"/>
          <w:sz w:val="17"/>
        </w:rPr>
        <w:t>Intérêt supérieur, confidentialité, protection de l’enfant et sécurité adaptée au risque.</w:t>
      </w:r>
    </w:p>
    <w:p>
      <w:pPr>
        <w:pStyle w:val="Normal"/>
        <w:keepNext w:val="true"/>
        <w:spacing w:before="40" w:after="0"/>
        <w:ind w:start="85" w:end="85"/>
        <w:rPr/>
      </w:pPr>
      <w:r>
        <w:rPr>
          <w:b/>
          <w:color w:val="0B3D91"/>
          <w:sz w:val="17"/>
        </w:rPr>
        <w:t>Q4. Qui porte, coordonne ou garantit les éléments présentés dans « Protection » ?</w:t>
      </w:r>
    </w:p>
    <w:p>
      <w:pPr>
        <w:pStyle w:val="Normal"/>
        <w:spacing w:before="0" w:after="40"/>
        <w:ind w:start="255" w:end="85"/>
        <w:rPr/>
      </w:pPr>
      <w:r>
        <w:rPr>
          <w:b/>
          <w:color w:val="D4A017"/>
          <w:sz w:val="17"/>
        </w:rPr>
        <w:t xml:space="preserve">Réponse : </w:t>
      </w:r>
      <w:r>
        <w:rPr>
          <w:color w:val="1F2937"/>
          <w:sz w:val="17"/>
        </w:rPr>
        <w:t>Le DBSPE, la Direction et les services concernés partagent cette responsabilité.</w:t>
      </w:r>
    </w:p>
    <w:p>
      <w:pPr>
        <w:pStyle w:val="Normal"/>
        <w:keepNext w:val="true"/>
        <w:spacing w:before="40" w:after="0"/>
        <w:ind w:start="85" w:end="85"/>
        <w:rPr/>
      </w:pPr>
      <w:r>
        <w:rPr>
          <w:b/>
          <w:color w:val="0B3D91"/>
          <w:sz w:val="17"/>
        </w:rPr>
        <w:t>Q5. Comment la section « Protection » prévoit-elle la mise en œuvre ou le suivi ?</w:t>
      </w:r>
    </w:p>
    <w:p>
      <w:pPr>
        <w:pStyle w:val="Normal"/>
        <w:spacing w:before="0" w:after="40"/>
        <w:ind w:start="255" w:end="85"/>
        <w:rPr/>
      </w:pPr>
      <w:r>
        <w:rPr>
          <w:b/>
          <w:color w:val="D4A017"/>
          <w:sz w:val="17"/>
        </w:rPr>
        <w:t xml:space="preserve">Réponse : </w:t>
      </w:r>
      <w:r>
        <w:rPr>
          <w:color w:val="1F2937"/>
          <w:sz w:val="17"/>
        </w:rPr>
        <w:t>Les risques sont évalués et orientés vers les circuits spécialisés de protection, de santé ou de sécurité.</w:t>
      </w:r>
    </w:p>
    <w:p>
      <w:pPr>
        <w:pStyle w:val="Normal"/>
        <w:keepNext w:val="true"/>
        <w:spacing w:before="40" w:after="0"/>
        <w:ind w:start="85" w:end="85"/>
        <w:rPr/>
      </w:pPr>
      <w:r>
        <w:rPr>
          <w:b/>
          <w:color w:val="0B3D91"/>
          <w:sz w:val="17"/>
        </w:rPr>
        <w:t>Q6. Quelle preuve, référence, règle ou information de statut accompagne « Protection » ?</w:t>
      </w:r>
    </w:p>
    <w:p>
      <w:pPr>
        <w:pStyle w:val="Normal"/>
        <w:spacing w:before="0" w:after="40"/>
        <w:ind w:start="255" w:end="85"/>
        <w:rPr/>
      </w:pPr>
      <w:r>
        <w:rPr>
          <w:b/>
          <w:color w:val="D4A017"/>
          <w:sz w:val="17"/>
        </w:rPr>
        <w:t xml:space="preserve">Réponse : </w:t>
      </w:r>
      <w:r>
        <w:rPr>
          <w:color w:val="1F2937"/>
          <w:sz w:val="17"/>
        </w:rPr>
        <w:t>Les politiques de protection et les voies de signalement servent de références.</w:t>
      </w:r>
    </w:p>
    <w:p>
      <w:pPr>
        <w:pStyle w:val="Normal"/>
        <w:keepNext w:val="true"/>
        <w:spacing w:before="40" w:after="0"/>
        <w:ind w:start="85" w:end="85"/>
        <w:rPr/>
      </w:pPr>
      <w:r>
        <w:rPr>
          <w:b/>
          <w:color w:val="0B3D91"/>
          <w:sz w:val="17"/>
        </w:rPr>
        <w:t>Q7. Quelles limites de diffusion, de décision ou d’accès sont précisées pour « Protection » ?</w:t>
      </w:r>
    </w:p>
    <w:p>
      <w:pPr>
        <w:pStyle w:val="Normal"/>
        <w:spacing w:before="0" w:after="40"/>
        <w:ind w:start="255" w:end="85"/>
        <w:rPr/>
      </w:pPr>
      <w:r>
        <w:rPr>
          <w:b/>
          <w:color w:val="D4A017"/>
          <w:sz w:val="17"/>
        </w:rPr>
        <w:t xml:space="preserve">Réponse : </w:t>
      </w:r>
      <w:r>
        <w:rPr>
          <w:color w:val="1F2937"/>
          <w:sz w:val="17"/>
        </w:rPr>
        <w:t>Les dossiers individuels et informations sensibles ne doivent pas être exposés publiquement.</w:t>
      </w:r>
    </w:p>
    <w:p>
      <w:pPr>
        <w:pStyle w:val="Normal"/>
        <w:keepNext w:val="true"/>
        <w:spacing w:before="40" w:after="0"/>
        <w:ind w:start="85" w:end="85"/>
        <w:rPr/>
      </w:pPr>
      <w:r>
        <w:rPr>
          <w:b/>
          <w:color w:val="0B3D91"/>
          <w:sz w:val="17"/>
        </w:rPr>
        <w:t>Q8. À quels publics ou bénéficiaires la section « Protection » est-elle principalement destinée ?</w:t>
      </w:r>
    </w:p>
    <w:p>
      <w:pPr>
        <w:pStyle w:val="Normal"/>
        <w:spacing w:before="0" w:after="40"/>
        <w:ind w:start="255" w:end="85"/>
        <w:rPr/>
      </w:pPr>
      <w:r>
        <w:rPr>
          <w:b/>
          <w:color w:val="D4A017"/>
          <w:sz w:val="17"/>
        </w:rPr>
        <w:t xml:space="preserve">Réponse : </w:t>
      </w:r>
      <w:r>
        <w:rPr>
          <w:color w:val="1F2937"/>
          <w:sz w:val="17"/>
        </w:rPr>
        <w:t>Chaque enfant, sa famille et toute personne concernée par une situation sensible.</w:t>
      </w:r>
    </w:p>
    <w:p>
      <w:pPr>
        <w:pStyle w:val="Normal"/>
        <w:keepNext w:val="true"/>
        <w:spacing w:before="40" w:after="0"/>
        <w:ind w:start="85" w:end="85"/>
        <w:rPr/>
      </w:pPr>
      <w:r>
        <w:rPr>
          <w:b/>
          <w:color w:val="0B3D91"/>
          <w:sz w:val="17"/>
        </w:rPr>
        <w:t>Q9. À quelles autres rubriques ou fonctions du site « Protection » est-il relié ?</w:t>
      </w:r>
    </w:p>
    <w:p>
      <w:pPr>
        <w:pStyle w:val="Normal"/>
        <w:spacing w:before="0" w:after="40"/>
        <w:ind w:start="255" w:end="85"/>
        <w:rPr/>
      </w:pPr>
      <w:r>
        <w:rPr>
          <w:b/>
          <w:color w:val="D4A017"/>
          <w:sz w:val="17"/>
        </w:rPr>
        <w:t xml:space="preserve">Réponse : </w:t>
      </w:r>
      <w:r>
        <w:rPr>
          <w:color w:val="1F2937"/>
          <w:sz w:val="17"/>
        </w:rPr>
        <w:t>Lien avec Vie scolaire, Santé et sécurité, Confidentialité, DSI et DBSPE.</w:t>
      </w:r>
    </w:p>
    <w:p>
      <w:pPr>
        <w:pStyle w:val="Normal"/>
        <w:keepNext w:val="true"/>
        <w:spacing w:before="40" w:after="0"/>
        <w:ind w:start="85" w:end="85"/>
        <w:rPr/>
      </w:pPr>
      <w:r>
        <w:rPr>
          <w:b/>
          <w:color w:val="0B3D91"/>
          <w:sz w:val="17"/>
        </w:rPr>
        <w:t>Q10. Quelle action, orientation ou résultat concret le lecteur peut-il retenir de « Protection » ?</w:t>
      </w:r>
    </w:p>
    <w:p>
      <w:pPr>
        <w:pStyle w:val="Normal"/>
        <w:spacing w:before="0" w:after="40"/>
        <w:ind w:start="255" w:end="85"/>
        <w:rPr/>
      </w:pPr>
      <w:r>
        <w:rPr>
          <w:b/>
          <w:color w:val="D4A017"/>
          <w:sz w:val="17"/>
        </w:rPr>
        <w:t xml:space="preserve">Réponse : </w:t>
      </w:r>
      <w:r>
        <w:rPr>
          <w:color w:val="1F2937"/>
          <w:sz w:val="17"/>
        </w:rPr>
        <w:t>Utiliser un canal sécurisé et une personne habilitée pour toute situation sensible.</w:t>
      </w:r>
    </w:p>
    <w:p>
      <w:pPr>
        <w:pStyle w:val="Normal"/>
        <w:rPr/>
      </w:pPr>
      <w:r>
        <w:rPr/>
      </w:r>
      <w:r>
        <w:br w:type="page"/>
      </w:r>
    </w:p>
    <w:p>
      <w:pPr>
        <w:pStyle w:val="Heading2"/>
        <w:spacing w:before="0" w:after="80"/>
        <w:rPr/>
      </w:pPr>
      <w:r>
        <w:rPr/>
        <w:t>FICHE 11 — Amélioration</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L’amélioration suit une logique de mesure, d’analyse, de correction et de vérification de l’efficacité.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met l’accent sur la progression plutôt que sur la simple constatation des écarts.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permet à l’école d’apprendre de ses résultats et de ses incidents.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réclamations, les audits et les plans d’action.</w:t>
            </w:r>
          </w:p>
        </w:tc>
      </w:tr>
    </w:tbl>
    <w:p>
      <w:pPr>
        <w:pStyle w:val="Heading3"/>
        <w:rPr/>
      </w:pPr>
      <w:r>
        <w:rPr/>
        <w:t>Points développés</w:t>
      </w:r>
    </w:p>
    <w:p>
      <w:pPr>
        <w:pStyle w:val="ListBullet"/>
        <w:numPr>
          <w:ilvl w:val="0"/>
          <w:numId w:val="1"/>
        </w:numPr>
        <w:spacing w:before="0" w:after="20"/>
        <w:ind w:hanging="360" w:start="255"/>
        <w:contextualSpacing/>
        <w:rPr/>
      </w:pPr>
      <w:r>
        <w:rPr>
          <w:sz w:val="18"/>
        </w:rPr>
        <w:t>Mesurer</w:t>
      </w:r>
    </w:p>
    <w:p>
      <w:pPr>
        <w:pStyle w:val="ListBullet"/>
        <w:numPr>
          <w:ilvl w:val="0"/>
          <w:numId w:val="1"/>
        </w:numPr>
        <w:spacing w:before="0" w:after="20"/>
        <w:ind w:hanging="360" w:start="255"/>
        <w:contextualSpacing/>
        <w:rPr/>
      </w:pPr>
      <w:r>
        <w:rPr>
          <w:sz w:val="18"/>
        </w:rPr>
        <w:t>Analyser</w:t>
      </w:r>
    </w:p>
    <w:p>
      <w:pPr>
        <w:pStyle w:val="ListBullet"/>
        <w:numPr>
          <w:ilvl w:val="0"/>
          <w:numId w:val="1"/>
        </w:numPr>
        <w:spacing w:before="0" w:after="20"/>
        <w:ind w:hanging="360" w:start="255"/>
        <w:contextualSpacing/>
        <w:rPr/>
      </w:pPr>
      <w:r>
        <w:rPr>
          <w:sz w:val="18"/>
        </w:rPr>
        <w:t>Corriger</w:t>
      </w:r>
    </w:p>
    <w:p>
      <w:pPr>
        <w:pStyle w:val="ListBullet"/>
        <w:numPr>
          <w:ilvl w:val="0"/>
          <w:numId w:val="1"/>
        </w:numPr>
        <w:spacing w:before="0" w:after="20"/>
        <w:ind w:hanging="360" w:start="255"/>
        <w:contextualSpacing/>
        <w:rPr/>
      </w:pPr>
      <w:r>
        <w:rPr>
          <w:sz w:val="18"/>
        </w:rPr>
        <w:t>Vérifier l’efficacité</w:t>
      </w:r>
    </w:p>
    <w:p>
      <w:pPr>
        <w:pStyle w:val="Heading3"/>
        <w:rPr/>
      </w:pPr>
      <w:r>
        <w:rPr/>
        <w:t>Banque de questions-réponses</w:t>
      </w:r>
    </w:p>
    <w:p>
      <w:pPr>
        <w:pStyle w:val="Normal"/>
        <w:keepNext w:val="true"/>
        <w:spacing w:before="40" w:after="0"/>
        <w:ind w:start="85" w:end="85"/>
        <w:rPr/>
      </w:pPr>
      <w:r>
        <w:rPr>
          <w:b/>
          <w:color w:val="0B3D91"/>
          <w:sz w:val="17"/>
        </w:rPr>
        <w:t>Q1. Que présente la section « Amélioration » ?</w:t>
      </w:r>
    </w:p>
    <w:p>
      <w:pPr>
        <w:pStyle w:val="Normal"/>
        <w:spacing w:before="0" w:after="40"/>
        <w:ind w:start="255" w:end="85"/>
        <w:rPr/>
      </w:pPr>
      <w:r>
        <w:rPr>
          <w:b/>
          <w:color w:val="D4A017"/>
          <w:sz w:val="17"/>
        </w:rPr>
        <w:t xml:space="preserve">Réponse : </w:t>
      </w:r>
      <w:r>
        <w:rPr>
          <w:color w:val="1F2937"/>
          <w:sz w:val="17"/>
        </w:rPr>
        <w:t>L’amélioration suit une logique de mesure, d’analyse, de correction et de vérification de l’efficacité.</w:t>
      </w:r>
    </w:p>
    <w:p>
      <w:pPr>
        <w:pStyle w:val="Normal"/>
        <w:keepNext w:val="true"/>
        <w:spacing w:before="40" w:after="0"/>
        <w:ind w:start="85" w:end="85"/>
        <w:rPr/>
      </w:pPr>
      <w:r>
        <w:rPr>
          <w:b/>
          <w:color w:val="0B3D91"/>
          <w:sz w:val="17"/>
        </w:rPr>
        <w:t>Q2. Quel est l’objectif principal exposé dans « Amélioration » ?</w:t>
      </w:r>
    </w:p>
    <w:p>
      <w:pPr>
        <w:pStyle w:val="Normal"/>
        <w:spacing w:before="0" w:after="40"/>
        <w:ind w:start="255" w:end="85"/>
        <w:rPr/>
      </w:pPr>
      <w:r>
        <w:rPr>
          <w:b/>
          <w:color w:val="D4A017"/>
          <w:sz w:val="17"/>
        </w:rPr>
        <w:t xml:space="preserve">Réponse : </w:t>
      </w:r>
      <w:r>
        <w:rPr>
          <w:color w:val="1F2937"/>
          <w:sz w:val="17"/>
        </w:rPr>
        <w:t>Montrer que les écarts doivent conduire à des actions suivies et vérifiées.</w:t>
      </w:r>
    </w:p>
    <w:p>
      <w:pPr>
        <w:pStyle w:val="Normal"/>
        <w:keepNext w:val="true"/>
        <w:spacing w:before="40" w:after="0"/>
        <w:ind w:start="85" w:end="85"/>
        <w:rPr/>
      </w:pPr>
      <w:r>
        <w:rPr>
          <w:b/>
          <w:color w:val="0B3D91"/>
          <w:sz w:val="17"/>
        </w:rPr>
        <w:t>Q3. Quels éléments ou domaines sont couverts par « Amélioration » ?</w:t>
      </w:r>
    </w:p>
    <w:p>
      <w:pPr>
        <w:pStyle w:val="Normal"/>
        <w:spacing w:before="0" w:after="40"/>
        <w:ind w:start="255" w:end="85"/>
        <w:rPr/>
      </w:pPr>
      <w:r>
        <w:rPr>
          <w:b/>
          <w:color w:val="D4A017"/>
          <w:sz w:val="17"/>
        </w:rPr>
        <w:t xml:space="preserve">Réponse : </w:t>
      </w:r>
      <w:r>
        <w:rPr>
          <w:color w:val="1F2937"/>
          <w:sz w:val="17"/>
        </w:rPr>
        <w:t>Mesure, analyse des causes, correction, délais et contrôle de l’efficacité.</w:t>
      </w:r>
    </w:p>
    <w:p>
      <w:pPr>
        <w:pStyle w:val="Normal"/>
        <w:keepNext w:val="true"/>
        <w:spacing w:before="40" w:after="0"/>
        <w:ind w:start="85" w:end="85"/>
        <w:rPr/>
      </w:pPr>
      <w:r>
        <w:rPr>
          <w:b/>
          <w:color w:val="0B3D91"/>
          <w:sz w:val="17"/>
        </w:rPr>
        <w:t>Q4. Qui porte, coordonne ou garantit les éléments présentés dans « Amélioration » ?</w:t>
      </w:r>
    </w:p>
    <w:p>
      <w:pPr>
        <w:pStyle w:val="Normal"/>
        <w:spacing w:before="0" w:after="40"/>
        <w:ind w:start="255" w:end="85"/>
        <w:rPr/>
      </w:pPr>
      <w:r>
        <w:rPr>
          <w:b/>
          <w:color w:val="D4A017"/>
          <w:sz w:val="17"/>
        </w:rPr>
        <w:t xml:space="preserve">Réponse : </w:t>
      </w:r>
      <w:r>
        <w:rPr>
          <w:color w:val="1F2937"/>
          <w:sz w:val="17"/>
        </w:rPr>
        <w:t>Le DAQAC coordonne le suivi avec les responsables opérationnels.</w:t>
      </w:r>
    </w:p>
    <w:p>
      <w:pPr>
        <w:pStyle w:val="Normal"/>
        <w:keepNext w:val="true"/>
        <w:spacing w:before="40" w:after="0"/>
        <w:ind w:start="85" w:end="85"/>
        <w:rPr/>
      </w:pPr>
      <w:r>
        <w:rPr>
          <w:b/>
          <w:color w:val="0B3D91"/>
          <w:sz w:val="17"/>
        </w:rPr>
        <w:t>Q5. Comment la section « Amélioration » prévoit-elle la mise en œuvre ou le suivi ?</w:t>
      </w:r>
    </w:p>
    <w:p>
      <w:pPr>
        <w:pStyle w:val="Normal"/>
        <w:spacing w:before="0" w:after="40"/>
        <w:ind w:start="255" w:end="85"/>
        <w:rPr/>
      </w:pPr>
      <w:r>
        <w:rPr>
          <w:b/>
          <w:color w:val="D4A017"/>
          <w:sz w:val="17"/>
        </w:rPr>
        <w:t xml:space="preserve">Réponse : </w:t>
      </w:r>
      <w:r>
        <w:rPr>
          <w:color w:val="1F2937"/>
          <w:sz w:val="17"/>
        </w:rPr>
        <w:t>Les résultats sont examinés, les causes analysées et les corrections contrôlées.</w:t>
      </w:r>
    </w:p>
    <w:p>
      <w:pPr>
        <w:pStyle w:val="Normal"/>
        <w:keepNext w:val="true"/>
        <w:spacing w:before="40" w:after="0"/>
        <w:ind w:start="85" w:end="85"/>
        <w:rPr/>
      </w:pPr>
      <w:r>
        <w:rPr>
          <w:b/>
          <w:color w:val="0B3D91"/>
          <w:sz w:val="17"/>
        </w:rPr>
        <w:t>Q6. Quelle preuve, référence, règle ou information de statut accompagne « Amélioration » ?</w:t>
      </w:r>
    </w:p>
    <w:p>
      <w:pPr>
        <w:pStyle w:val="Normal"/>
        <w:spacing w:before="0" w:after="40"/>
        <w:ind w:start="255" w:end="85"/>
        <w:rPr/>
      </w:pPr>
      <w:r>
        <w:rPr>
          <w:b/>
          <w:color w:val="D4A017"/>
          <w:sz w:val="17"/>
        </w:rPr>
        <w:t xml:space="preserve">Réponse : </w:t>
      </w:r>
      <w:r>
        <w:rPr>
          <w:color w:val="1F2937"/>
          <w:sz w:val="17"/>
        </w:rPr>
        <w:t>Indicateurs, audits, autoévaluations, retours et plans d’action servent de preuves.</w:t>
      </w:r>
    </w:p>
    <w:p>
      <w:pPr>
        <w:pStyle w:val="Normal"/>
        <w:keepNext w:val="true"/>
        <w:spacing w:before="40" w:after="0"/>
        <w:ind w:start="85" w:end="85"/>
        <w:rPr/>
      </w:pPr>
      <w:r>
        <w:rPr>
          <w:b/>
          <w:color w:val="0B3D91"/>
          <w:sz w:val="17"/>
        </w:rPr>
        <w:t>Q7. Quelles limites de diffusion, de décision ou d’accès sont précisées pour « Amélioration » ?</w:t>
      </w:r>
    </w:p>
    <w:p>
      <w:pPr>
        <w:pStyle w:val="Normal"/>
        <w:spacing w:before="0" w:after="40"/>
        <w:ind w:start="255" w:end="85"/>
        <w:rPr/>
      </w:pPr>
      <w:r>
        <w:rPr>
          <w:b/>
          <w:color w:val="D4A017"/>
          <w:sz w:val="17"/>
        </w:rPr>
        <w:t xml:space="preserve">Réponse : </w:t>
      </w:r>
      <w:r>
        <w:rPr>
          <w:color w:val="1F2937"/>
          <w:sz w:val="17"/>
        </w:rPr>
        <w:t>Une correction n’est pas considérée comme achevée sans vérification de son efficacité.</w:t>
      </w:r>
    </w:p>
    <w:p>
      <w:pPr>
        <w:pStyle w:val="Normal"/>
        <w:keepNext w:val="true"/>
        <w:spacing w:before="40" w:after="0"/>
        <w:ind w:start="85" w:end="85"/>
        <w:rPr/>
      </w:pPr>
      <w:r>
        <w:rPr>
          <w:b/>
          <w:color w:val="0B3D91"/>
          <w:sz w:val="17"/>
        </w:rPr>
        <w:t>Q8. À quels publics ou bénéficiaires la section « Amélioration » est-elle principalement destinée ?</w:t>
      </w:r>
    </w:p>
    <w:p>
      <w:pPr>
        <w:pStyle w:val="Normal"/>
        <w:spacing w:before="0" w:after="40"/>
        <w:ind w:start="255" w:end="85"/>
        <w:rPr/>
      </w:pPr>
      <w:r>
        <w:rPr>
          <w:b/>
          <w:color w:val="D4A017"/>
          <w:sz w:val="17"/>
        </w:rPr>
        <w:t xml:space="preserve">Réponse : </w:t>
      </w:r>
      <w:r>
        <w:rPr>
          <w:color w:val="1F2937"/>
          <w:sz w:val="17"/>
        </w:rPr>
        <w:t>Tous les services et, indirectement, les élèves et familles.</w:t>
      </w:r>
    </w:p>
    <w:p>
      <w:pPr>
        <w:pStyle w:val="Normal"/>
        <w:keepNext w:val="true"/>
        <w:spacing w:before="40" w:after="0"/>
        <w:ind w:start="85" w:end="85"/>
        <w:rPr/>
      </w:pPr>
      <w:r>
        <w:rPr>
          <w:b/>
          <w:color w:val="0B3D91"/>
          <w:sz w:val="17"/>
        </w:rPr>
        <w:t>Q9. À quelles autres rubriques ou fonctions du site « Amélioration » est-il relié ?</w:t>
      </w:r>
    </w:p>
    <w:p>
      <w:pPr>
        <w:pStyle w:val="Normal"/>
        <w:spacing w:before="0" w:after="40"/>
        <w:ind w:start="255" w:end="85"/>
        <w:rPr/>
      </w:pPr>
      <w:r>
        <w:rPr>
          <w:b/>
          <w:color w:val="D4A017"/>
          <w:sz w:val="17"/>
        </w:rPr>
        <w:t xml:space="preserve">Réponse : </w:t>
      </w:r>
      <w:r>
        <w:rPr>
          <w:color w:val="1F2937"/>
          <w:sz w:val="17"/>
        </w:rPr>
        <w:t>Lien avec le cycle Planifier–Mettre en œuvre–Vérifier–Améliorer.</w:t>
      </w:r>
    </w:p>
    <w:p>
      <w:pPr>
        <w:pStyle w:val="Normal"/>
        <w:keepNext w:val="true"/>
        <w:spacing w:before="40" w:after="0"/>
        <w:ind w:start="85" w:end="85"/>
        <w:rPr/>
      </w:pPr>
      <w:r>
        <w:rPr>
          <w:b/>
          <w:color w:val="0B3D91"/>
          <w:sz w:val="17"/>
        </w:rPr>
        <w:t>Q10. Quelle action, orientation ou résultat concret le lecteur peut-il retenir de « Amélioration » ?</w:t>
      </w:r>
    </w:p>
    <w:p>
      <w:pPr>
        <w:pStyle w:val="Normal"/>
        <w:spacing w:before="0" w:after="40"/>
        <w:ind w:start="255" w:end="85"/>
        <w:rPr/>
      </w:pPr>
      <w:r>
        <w:rPr>
          <w:b/>
          <w:color w:val="D4A017"/>
          <w:sz w:val="17"/>
        </w:rPr>
        <w:t xml:space="preserve">Réponse : </w:t>
      </w:r>
      <w:r>
        <w:rPr>
          <w:color w:val="1F2937"/>
          <w:sz w:val="17"/>
        </w:rPr>
        <w:t>Transformer un problème ou un retour en action corrective mesurable.</w:t>
      </w:r>
    </w:p>
    <w:p>
      <w:pPr>
        <w:pStyle w:val="Normal"/>
        <w:rPr/>
      </w:pPr>
      <w:r>
        <w:rPr/>
      </w:r>
      <w:r>
        <w:br w:type="page"/>
      </w:r>
    </w:p>
    <w:p>
      <w:pPr>
        <w:pStyle w:val="Heading2"/>
        <w:spacing w:before="0" w:after="80"/>
        <w:rPr/>
      </w:pPr>
      <w:r>
        <w:rPr/>
        <w:t>FICHE 12 — Redevabilité</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redevabilité exige des responsables identifiés, des preuves conservées et des réponses aux familles.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rappelle que l’école doit pouvoir expliquer ses décisions et ses actions.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renforce la confiance et prévient l’impunité ou la dilution des responsabilités.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la traçabilité, les preuves et l’assistance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Responsables identifiés</w:t>
      </w:r>
    </w:p>
    <w:p>
      <w:pPr>
        <w:pStyle w:val="ListBullet"/>
        <w:numPr>
          <w:ilvl w:val="0"/>
          <w:numId w:val="1"/>
        </w:numPr>
        <w:spacing w:before="0" w:after="20"/>
        <w:ind w:hanging="360" w:start="255"/>
        <w:contextualSpacing/>
        <w:rPr/>
      </w:pPr>
      <w:r>
        <w:rPr>
          <w:sz w:val="18"/>
        </w:rPr>
        <w:t>Preuves conservées</w:t>
      </w:r>
    </w:p>
    <w:p>
      <w:pPr>
        <w:pStyle w:val="ListBullet"/>
        <w:numPr>
          <w:ilvl w:val="0"/>
          <w:numId w:val="1"/>
        </w:numPr>
        <w:spacing w:before="0" w:after="20"/>
        <w:ind w:hanging="360" w:start="255"/>
        <w:contextualSpacing/>
        <w:rPr/>
      </w:pPr>
      <w:r>
        <w:rPr>
          <w:sz w:val="18"/>
        </w:rPr>
        <w:t>Réponses aux familles</w:t>
      </w:r>
    </w:p>
    <w:p>
      <w:pPr>
        <w:pStyle w:val="Heading3"/>
        <w:rPr/>
      </w:pPr>
      <w:r>
        <w:rPr/>
        <w:t>Banque de questions-réponses</w:t>
      </w:r>
    </w:p>
    <w:p>
      <w:pPr>
        <w:pStyle w:val="Normal"/>
        <w:keepNext w:val="true"/>
        <w:spacing w:before="40" w:after="0"/>
        <w:ind w:start="85" w:end="85"/>
        <w:rPr/>
      </w:pPr>
      <w:r>
        <w:rPr>
          <w:b/>
          <w:color w:val="0B3D91"/>
          <w:sz w:val="17"/>
        </w:rPr>
        <w:t>Q1. Que présente la section « Redevabilité » ?</w:t>
      </w:r>
    </w:p>
    <w:p>
      <w:pPr>
        <w:pStyle w:val="Normal"/>
        <w:spacing w:before="0" w:after="40"/>
        <w:ind w:start="255" w:end="85"/>
        <w:rPr/>
      </w:pPr>
      <w:r>
        <w:rPr>
          <w:b/>
          <w:color w:val="D4A017"/>
          <w:sz w:val="17"/>
        </w:rPr>
        <w:t xml:space="preserve">Réponse : </w:t>
      </w:r>
      <w:r>
        <w:rPr>
          <w:color w:val="1F2937"/>
          <w:sz w:val="17"/>
        </w:rPr>
        <w:t>La redevabilité exige des responsables identifiés, des preuves conservées et des réponses aux familles.</w:t>
      </w:r>
    </w:p>
    <w:p>
      <w:pPr>
        <w:pStyle w:val="Normal"/>
        <w:keepNext w:val="true"/>
        <w:spacing w:before="40" w:after="0"/>
        <w:ind w:start="85" w:end="85"/>
        <w:rPr/>
      </w:pPr>
      <w:r>
        <w:rPr>
          <w:b/>
          <w:color w:val="0B3D91"/>
          <w:sz w:val="17"/>
        </w:rPr>
        <w:t>Q2. Quel est l’objectif principal exposé dans « Redevabilité » ?</w:t>
      </w:r>
    </w:p>
    <w:p>
      <w:pPr>
        <w:pStyle w:val="Normal"/>
        <w:spacing w:before="0" w:after="40"/>
        <w:ind w:start="255" w:end="85"/>
        <w:rPr/>
      </w:pPr>
      <w:r>
        <w:rPr>
          <w:b/>
          <w:color w:val="D4A017"/>
          <w:sz w:val="17"/>
        </w:rPr>
        <w:t xml:space="preserve">Réponse : </w:t>
      </w:r>
      <w:r>
        <w:rPr>
          <w:color w:val="1F2937"/>
          <w:sz w:val="17"/>
        </w:rPr>
        <w:t>Garantir que chaque engagement possède un porteur et puisse faire l’objet d’un compte rendu.</w:t>
      </w:r>
    </w:p>
    <w:p>
      <w:pPr>
        <w:pStyle w:val="Normal"/>
        <w:keepNext w:val="true"/>
        <w:spacing w:before="40" w:after="0"/>
        <w:ind w:start="85" w:end="85"/>
        <w:rPr/>
      </w:pPr>
      <w:r>
        <w:rPr>
          <w:b/>
          <w:color w:val="0B3D91"/>
          <w:sz w:val="17"/>
        </w:rPr>
        <w:t>Q3. Quels éléments ou domaines sont couverts par « Redevabilité » ?</w:t>
      </w:r>
    </w:p>
    <w:p>
      <w:pPr>
        <w:pStyle w:val="Normal"/>
        <w:spacing w:before="0" w:after="40"/>
        <w:ind w:start="255" w:end="85"/>
        <w:rPr/>
      </w:pPr>
      <w:r>
        <w:rPr>
          <w:b/>
          <w:color w:val="D4A017"/>
          <w:sz w:val="17"/>
        </w:rPr>
        <w:t xml:space="preserve">Réponse : </w:t>
      </w:r>
      <w:r>
        <w:rPr>
          <w:color w:val="1F2937"/>
          <w:sz w:val="17"/>
        </w:rPr>
        <w:t>Responsables, preuves, traçabilité, suivi et réponse aux usagers.</w:t>
      </w:r>
    </w:p>
    <w:p>
      <w:pPr>
        <w:pStyle w:val="Normal"/>
        <w:keepNext w:val="true"/>
        <w:spacing w:before="40" w:after="0"/>
        <w:ind w:start="85" w:end="85"/>
        <w:rPr/>
      </w:pPr>
      <w:r>
        <w:rPr>
          <w:b/>
          <w:color w:val="0B3D91"/>
          <w:sz w:val="17"/>
        </w:rPr>
        <w:t>Q4. Qui porte, coordonne ou garantit les éléments présentés dans « Redevabilité » ?</w:t>
      </w:r>
    </w:p>
    <w:p>
      <w:pPr>
        <w:pStyle w:val="Normal"/>
        <w:spacing w:before="0" w:after="40"/>
        <w:ind w:start="255" w:end="85"/>
        <w:rPr/>
      </w:pPr>
      <w:r>
        <w:rPr>
          <w:b/>
          <w:color w:val="D4A017"/>
          <w:sz w:val="17"/>
        </w:rPr>
        <w:t xml:space="preserve">Réponse : </w:t>
      </w:r>
      <w:r>
        <w:rPr>
          <w:color w:val="1F2937"/>
          <w:sz w:val="17"/>
        </w:rPr>
        <w:t>Les responsables de service et la Direction rendent compte dans leur périmètre.</w:t>
      </w:r>
    </w:p>
    <w:p>
      <w:pPr>
        <w:pStyle w:val="Normal"/>
        <w:keepNext w:val="true"/>
        <w:spacing w:before="40" w:after="0"/>
        <w:ind w:start="85" w:end="85"/>
        <w:rPr/>
      </w:pPr>
      <w:r>
        <w:rPr>
          <w:b/>
          <w:color w:val="0B3D91"/>
          <w:sz w:val="17"/>
        </w:rPr>
        <w:t>Q5. Comment la section « Redevabilité » prévoit-elle la mise en œuvre ou le suivi ?</w:t>
      </w:r>
    </w:p>
    <w:p>
      <w:pPr>
        <w:pStyle w:val="Normal"/>
        <w:spacing w:before="0" w:after="40"/>
        <w:ind w:start="255" w:end="85"/>
        <w:rPr/>
      </w:pPr>
      <w:r>
        <w:rPr>
          <w:b/>
          <w:color w:val="D4A017"/>
          <w:sz w:val="17"/>
        </w:rPr>
        <w:t xml:space="preserve">Réponse : </w:t>
      </w:r>
      <w:r>
        <w:rPr>
          <w:color w:val="1F2937"/>
          <w:sz w:val="17"/>
        </w:rPr>
        <w:t>Les demandes sont attribuées, suivies et documentées jusqu’à une réponse appropriée.</w:t>
      </w:r>
    </w:p>
    <w:p>
      <w:pPr>
        <w:pStyle w:val="Normal"/>
        <w:keepNext w:val="true"/>
        <w:spacing w:before="40" w:after="0"/>
        <w:ind w:start="85" w:end="85"/>
        <w:rPr/>
      </w:pPr>
      <w:r>
        <w:rPr>
          <w:b/>
          <w:color w:val="0B3D91"/>
          <w:sz w:val="17"/>
        </w:rPr>
        <w:t>Q6. Quelle preuve, référence, règle ou information de statut accompagne « Redevabilité » ?</w:t>
      </w:r>
    </w:p>
    <w:p>
      <w:pPr>
        <w:pStyle w:val="Normal"/>
        <w:spacing w:before="0" w:after="40"/>
        <w:ind w:start="255" w:end="85"/>
        <w:rPr/>
      </w:pPr>
      <w:r>
        <w:rPr>
          <w:b/>
          <w:color w:val="D4A017"/>
          <w:sz w:val="17"/>
        </w:rPr>
        <w:t xml:space="preserve">Réponse : </w:t>
      </w:r>
      <w:r>
        <w:rPr>
          <w:color w:val="1F2937"/>
          <w:sz w:val="17"/>
        </w:rPr>
        <w:t>Les preuves conservées et les références de suivi rendent l’action vérifiable.</w:t>
      </w:r>
    </w:p>
    <w:p>
      <w:pPr>
        <w:pStyle w:val="Normal"/>
        <w:keepNext w:val="true"/>
        <w:spacing w:before="40" w:after="0"/>
        <w:ind w:start="85" w:end="85"/>
        <w:rPr/>
      </w:pPr>
      <w:r>
        <w:rPr>
          <w:b/>
          <w:color w:val="0B3D91"/>
          <w:sz w:val="17"/>
        </w:rPr>
        <w:t>Q7. Quelles limites de diffusion, de décision ou d’accès sont précisées pour « Redevabilité » ?</w:t>
      </w:r>
    </w:p>
    <w:p>
      <w:pPr>
        <w:pStyle w:val="Normal"/>
        <w:spacing w:before="0" w:after="40"/>
        <w:ind w:start="255" w:end="85"/>
        <w:rPr/>
      </w:pPr>
      <w:r>
        <w:rPr>
          <w:b/>
          <w:color w:val="D4A017"/>
          <w:sz w:val="17"/>
        </w:rPr>
        <w:t xml:space="preserve">Réponse : </w:t>
      </w:r>
      <w:r>
        <w:rPr>
          <w:color w:val="1F2937"/>
          <w:sz w:val="17"/>
        </w:rPr>
        <w:t>La redevabilité respecte la confidentialité et ne justifie pas la publication de données sensibles.</w:t>
      </w:r>
    </w:p>
    <w:p>
      <w:pPr>
        <w:pStyle w:val="Normal"/>
        <w:keepNext w:val="true"/>
        <w:spacing w:before="40" w:after="0"/>
        <w:ind w:start="85" w:end="85"/>
        <w:rPr/>
      </w:pPr>
      <w:r>
        <w:rPr>
          <w:b/>
          <w:color w:val="0B3D91"/>
          <w:sz w:val="17"/>
        </w:rPr>
        <w:t>Q8. À quels publics ou bénéficiaires la section « Redevabilité » est-elle principalement destinée ?</w:t>
      </w:r>
    </w:p>
    <w:p>
      <w:pPr>
        <w:pStyle w:val="Normal"/>
        <w:spacing w:before="0" w:after="40"/>
        <w:ind w:start="255" w:end="85"/>
        <w:rPr/>
      </w:pPr>
      <w:r>
        <w:rPr>
          <w:b/>
          <w:color w:val="D4A017"/>
          <w:sz w:val="17"/>
        </w:rPr>
        <w:t xml:space="preserve">Réponse : </w:t>
      </w:r>
      <w:r>
        <w:rPr>
          <w:color w:val="1F2937"/>
          <w:sz w:val="17"/>
        </w:rPr>
        <w:t>Familles, partenaires, personnels et instances de gouvernance.</w:t>
      </w:r>
    </w:p>
    <w:p>
      <w:pPr>
        <w:pStyle w:val="Normal"/>
        <w:keepNext w:val="true"/>
        <w:spacing w:before="40" w:after="0"/>
        <w:ind w:start="85" w:end="85"/>
        <w:rPr/>
      </w:pPr>
      <w:r>
        <w:rPr>
          <w:b/>
          <w:color w:val="0B3D91"/>
          <w:sz w:val="17"/>
        </w:rPr>
        <w:t>Q9. À quelles autres rubriques ou fonctions du site « Redevabilité » est-il relié ?</w:t>
      </w:r>
    </w:p>
    <w:p>
      <w:pPr>
        <w:pStyle w:val="Normal"/>
        <w:spacing w:before="0" w:after="40"/>
        <w:ind w:start="255" w:end="85"/>
        <w:rPr/>
      </w:pPr>
      <w:r>
        <w:rPr>
          <w:b/>
          <w:color w:val="D4A017"/>
          <w:sz w:val="17"/>
        </w:rPr>
        <w:t xml:space="preserve">Réponse : </w:t>
      </w:r>
      <w:r>
        <w:rPr>
          <w:color w:val="1F2937"/>
          <w:sz w:val="17"/>
        </w:rPr>
        <w:t>Lien avec Gouvernance, Documentation, DAQAC et gestion des réclamations.</w:t>
      </w:r>
    </w:p>
    <w:p>
      <w:pPr>
        <w:pStyle w:val="Normal"/>
        <w:keepNext w:val="true"/>
        <w:spacing w:before="40" w:after="0"/>
        <w:ind w:start="85" w:end="85"/>
        <w:rPr/>
      </w:pPr>
      <w:r>
        <w:rPr>
          <w:b/>
          <w:color w:val="0B3D91"/>
          <w:sz w:val="17"/>
        </w:rPr>
        <w:t>Q10. Quelle action, orientation ou résultat concret le lecteur peut-il retenir de « Redevabilité » ?</w:t>
      </w:r>
    </w:p>
    <w:p>
      <w:pPr>
        <w:pStyle w:val="Normal"/>
        <w:spacing w:before="0" w:after="40"/>
        <w:ind w:start="255" w:end="85"/>
        <w:rPr/>
      </w:pPr>
      <w:r>
        <w:rPr>
          <w:b/>
          <w:color w:val="D4A017"/>
          <w:sz w:val="17"/>
        </w:rPr>
        <w:t xml:space="preserve">Réponse : </w:t>
      </w:r>
      <w:r>
        <w:rPr>
          <w:color w:val="1F2937"/>
          <w:sz w:val="17"/>
        </w:rPr>
        <w:t>Identifier le responsable et conserver les éléments nécessaires pour répondre clairement.</w:t>
      </w:r>
    </w:p>
    <w:p>
      <w:pPr>
        <w:pStyle w:val="Normal"/>
        <w:rPr/>
      </w:pPr>
      <w:r>
        <w:rPr/>
      </w:r>
      <w:r>
        <w:br w:type="page"/>
      </w:r>
    </w:p>
    <w:p>
      <w:pPr>
        <w:pStyle w:val="Heading2"/>
        <w:spacing w:before="0" w:after="80"/>
        <w:rPr/>
      </w:pPr>
      <w:r>
        <w:rPr/>
        <w:t>FICHE 13 — Documentation associée — page Qualité et engagements</w:t>
      </w:r>
    </w:p>
    <w:p>
      <w:pPr>
        <w:pStyle w:val="Normal"/>
        <w:spacing w:before="40" w:after="100"/>
        <w:rPr/>
      </w:pPr>
      <w:r>
        <w:rPr>
          <w:b/>
          <w:color w:val="0B3D91"/>
          <w:sz w:val="16"/>
        </w:rPr>
        <w:t xml:space="preserve">Source contrôlée : </w:t>
      </w:r>
      <w:r>
        <w:rPr>
          <w:color w:val="555555"/>
          <w:sz w:val="16"/>
        </w:rPr>
        <w:t>Qualité et engagements — https://test.gsleseminents.com/qualite-et-engagements/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renvoie vers les références publiques Assurance qualité et amélioration continue et Documentation publique.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signale que la page générale est soutenue par des documents de référence.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apporte une preuve documentaire aux engagements annoncés.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directs avec Assurance qualité et Documentation publique.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GSE-PUB-QUA-001</w:t>
      </w:r>
    </w:p>
    <w:p>
      <w:pPr>
        <w:pStyle w:val="ListBullet"/>
        <w:numPr>
          <w:ilvl w:val="0"/>
          <w:numId w:val="1"/>
        </w:numPr>
        <w:spacing w:before="0" w:after="20"/>
        <w:ind w:hanging="360" w:start="255"/>
        <w:contextualSpacing/>
        <w:rPr/>
      </w:pPr>
      <w:r>
        <w:rPr>
          <w:sz w:val="18"/>
        </w:rPr>
        <w:t>GSE-PUB-DOC-001</w:t>
      </w:r>
    </w:p>
    <w:p>
      <w:pPr>
        <w:pStyle w:val="ListBullet"/>
        <w:numPr>
          <w:ilvl w:val="0"/>
          <w:numId w:val="1"/>
        </w:numPr>
        <w:spacing w:before="0" w:after="20"/>
        <w:ind w:hanging="360" w:start="255"/>
        <w:contextualSpacing/>
        <w:rPr/>
      </w:pPr>
      <w:r>
        <w:rPr>
          <w:sz w:val="18"/>
        </w:rPr>
        <w:t>Statut publié</w:t>
      </w:r>
    </w:p>
    <w:p>
      <w:pPr>
        <w:pStyle w:val="ListBullet"/>
        <w:numPr>
          <w:ilvl w:val="0"/>
          <w:numId w:val="1"/>
        </w:numPr>
        <w:spacing w:before="0" w:after="20"/>
        <w:ind w:hanging="360" w:start="255"/>
        <w:contextualSpacing/>
        <w:rPr/>
      </w:pPr>
      <w:r>
        <w:rPr>
          <w:sz w:val="18"/>
        </w:rPr>
        <w:t>Langues FR/EN</w:t>
      </w:r>
    </w:p>
    <w:p>
      <w:pPr>
        <w:pStyle w:val="Heading3"/>
        <w:rPr/>
      </w:pPr>
      <w:r>
        <w:rPr/>
        <w:t>Banque de questions-réponses</w:t>
      </w:r>
    </w:p>
    <w:p>
      <w:pPr>
        <w:pStyle w:val="Normal"/>
        <w:keepNext w:val="true"/>
        <w:spacing w:before="40" w:after="0"/>
        <w:ind w:start="85" w:end="85"/>
        <w:rPr/>
      </w:pPr>
      <w:r>
        <w:rPr>
          <w:b/>
          <w:color w:val="0B3D91"/>
          <w:sz w:val="17"/>
        </w:rPr>
        <w:t>Q1. Que présente la section « Documentation associée — page Qualité et engagements » ?</w:t>
      </w:r>
    </w:p>
    <w:p>
      <w:pPr>
        <w:pStyle w:val="Normal"/>
        <w:spacing w:before="0" w:after="40"/>
        <w:ind w:start="255" w:end="85"/>
        <w:rPr/>
      </w:pPr>
      <w:r>
        <w:rPr>
          <w:b/>
          <w:color w:val="D4A017"/>
          <w:sz w:val="17"/>
        </w:rPr>
        <w:t xml:space="preserve">Réponse : </w:t>
      </w:r>
      <w:r>
        <w:rPr>
          <w:color w:val="1F2937"/>
          <w:sz w:val="17"/>
        </w:rPr>
        <w:t>La page renvoie vers les références publiques Assurance qualité et amélioration continue et Documentation publique.</w:t>
      </w:r>
    </w:p>
    <w:p>
      <w:pPr>
        <w:pStyle w:val="Normal"/>
        <w:keepNext w:val="true"/>
        <w:spacing w:before="40" w:after="0"/>
        <w:ind w:start="85" w:end="85"/>
        <w:rPr/>
      </w:pPr>
      <w:r>
        <w:rPr>
          <w:b/>
          <w:color w:val="0B3D91"/>
          <w:sz w:val="17"/>
        </w:rPr>
        <w:t>Q2. Quel est l’objectif principal exposé dans « Documentation associée — page Qualité et engagements » ?</w:t>
      </w:r>
    </w:p>
    <w:p>
      <w:pPr>
        <w:pStyle w:val="Normal"/>
        <w:spacing w:before="0" w:after="40"/>
        <w:ind w:start="255" w:end="85"/>
        <w:rPr/>
      </w:pPr>
      <w:r>
        <w:rPr>
          <w:b/>
          <w:color w:val="D4A017"/>
          <w:sz w:val="17"/>
        </w:rPr>
        <w:t xml:space="preserve">Réponse : </w:t>
      </w:r>
      <w:r>
        <w:rPr>
          <w:color w:val="1F2937"/>
          <w:sz w:val="17"/>
        </w:rPr>
        <w:t>Permettre de passer du résumé institutionnel aux sources documentaires approuvées.</w:t>
      </w:r>
    </w:p>
    <w:p>
      <w:pPr>
        <w:pStyle w:val="Normal"/>
        <w:keepNext w:val="true"/>
        <w:spacing w:before="40" w:after="0"/>
        <w:ind w:start="85" w:end="85"/>
        <w:rPr/>
      </w:pPr>
      <w:r>
        <w:rPr>
          <w:b/>
          <w:color w:val="0B3D91"/>
          <w:sz w:val="17"/>
        </w:rPr>
        <w:t>Q3. Quels éléments ou domaines sont couverts par « Documentation associée — page Qualité et engagements » ?</w:t>
      </w:r>
    </w:p>
    <w:p>
      <w:pPr>
        <w:pStyle w:val="Normal"/>
        <w:spacing w:before="0" w:after="40"/>
        <w:ind w:start="255" w:end="85"/>
        <w:rPr/>
      </w:pPr>
      <w:r>
        <w:rPr>
          <w:b/>
          <w:color w:val="D4A017"/>
          <w:sz w:val="17"/>
        </w:rPr>
        <w:t xml:space="preserve">Réponse : </w:t>
      </w:r>
      <w:r>
        <w:rPr>
          <w:color w:val="1F2937"/>
          <w:sz w:val="17"/>
        </w:rPr>
        <w:t>GSE-PUB-QUA-001 et GSE-PUB-DOC-001, publiés en français et en anglais.</w:t>
      </w:r>
    </w:p>
    <w:p>
      <w:pPr>
        <w:pStyle w:val="Normal"/>
        <w:keepNext w:val="true"/>
        <w:spacing w:before="40" w:after="0"/>
        <w:ind w:start="85" w:end="85"/>
        <w:rPr/>
      </w:pPr>
      <w:r>
        <w:rPr>
          <w:b/>
          <w:color w:val="0B3D91"/>
          <w:sz w:val="17"/>
        </w:rPr>
        <w:t>Q4. Qui porte, coordonne ou garantit les éléments présentés dans « Documentation associée — page Qualité et engagements » ?</w:t>
      </w:r>
    </w:p>
    <w:p>
      <w:pPr>
        <w:pStyle w:val="Normal"/>
        <w:spacing w:before="0" w:after="40"/>
        <w:ind w:start="255" w:end="85"/>
        <w:rPr/>
      </w:pPr>
      <w:r>
        <w:rPr>
          <w:b/>
          <w:color w:val="D4A017"/>
          <w:sz w:val="17"/>
        </w:rPr>
        <w:t xml:space="preserve">Réponse : </w:t>
      </w:r>
      <w:r>
        <w:rPr>
          <w:color w:val="1F2937"/>
          <w:sz w:val="17"/>
        </w:rPr>
        <w:t>Le DAQAC porte la source qualité et le dispositif documentaire identifie chaque propriétaire.</w:t>
      </w:r>
    </w:p>
    <w:p>
      <w:pPr>
        <w:pStyle w:val="Normal"/>
        <w:keepNext w:val="true"/>
        <w:spacing w:before="40" w:after="0"/>
        <w:ind w:start="85" w:end="85"/>
        <w:rPr/>
      </w:pPr>
      <w:r>
        <w:rPr>
          <w:b/>
          <w:color w:val="0B3D91"/>
          <w:sz w:val="17"/>
        </w:rPr>
        <w:t>Q5. Comment la section « Documentation associée — page Qualité et engagements » prévoit-elle la mise en œuvre ou le suivi ?</w:t>
      </w:r>
    </w:p>
    <w:p>
      <w:pPr>
        <w:pStyle w:val="Normal"/>
        <w:spacing w:before="0" w:after="40"/>
        <w:ind w:start="255" w:end="85"/>
        <w:rPr/>
      </w:pPr>
      <w:r>
        <w:rPr>
          <w:b/>
          <w:color w:val="D4A017"/>
          <w:sz w:val="17"/>
        </w:rPr>
        <w:t xml:space="preserve">Réponse : </w:t>
      </w:r>
      <w:r>
        <w:rPr>
          <w:color w:val="1F2937"/>
          <w:sz w:val="17"/>
        </w:rPr>
        <w:t>Le lecteur suit les liens pour consulter la version publique active.</w:t>
      </w:r>
    </w:p>
    <w:p>
      <w:pPr>
        <w:pStyle w:val="Normal"/>
        <w:keepNext w:val="true"/>
        <w:spacing w:before="40" w:after="0"/>
        <w:ind w:start="85" w:end="85"/>
        <w:rPr/>
      </w:pPr>
      <w:r>
        <w:rPr>
          <w:b/>
          <w:color w:val="0B3D91"/>
          <w:sz w:val="17"/>
        </w:rPr>
        <w:t>Q6. Quelle preuve, référence, règle ou information de statut accompagne « Documentation associée — page Qualité et engagements » ?</w:t>
      </w:r>
    </w:p>
    <w:p>
      <w:pPr>
        <w:pStyle w:val="Normal"/>
        <w:spacing w:before="0" w:after="40"/>
        <w:ind w:start="255" w:end="85"/>
        <w:rPr/>
      </w:pPr>
      <w:r>
        <w:rPr>
          <w:b/>
          <w:color w:val="D4A017"/>
          <w:sz w:val="17"/>
        </w:rPr>
        <w:t xml:space="preserve">Réponse : </w:t>
      </w:r>
      <w:r>
        <w:rPr>
          <w:color w:val="1F2937"/>
          <w:sz w:val="17"/>
        </w:rPr>
        <w:t>Les codes, statuts et langues affichés permettent d’identifier les références.</w:t>
      </w:r>
    </w:p>
    <w:p>
      <w:pPr>
        <w:pStyle w:val="Normal"/>
        <w:keepNext w:val="true"/>
        <w:spacing w:before="40" w:after="0"/>
        <w:ind w:start="85" w:end="85"/>
        <w:rPr/>
      </w:pPr>
      <w:r>
        <w:rPr>
          <w:b/>
          <w:color w:val="0B3D91"/>
          <w:sz w:val="17"/>
        </w:rPr>
        <w:t>Q7. Quelles limites de diffusion, de décision ou d’accès sont précisées pour « Documentation associée — page Qualité et engagements » ?</w:t>
      </w:r>
    </w:p>
    <w:p>
      <w:pPr>
        <w:pStyle w:val="Normal"/>
        <w:spacing w:before="0" w:after="40"/>
        <w:ind w:start="255" w:end="85"/>
        <w:rPr/>
      </w:pPr>
      <w:r>
        <w:rPr>
          <w:b/>
          <w:color w:val="D4A017"/>
          <w:sz w:val="17"/>
        </w:rPr>
        <w:t xml:space="preserve">Réponse : </w:t>
      </w:r>
      <w:r>
        <w:rPr>
          <w:color w:val="1F2937"/>
          <w:sz w:val="17"/>
        </w:rPr>
        <w:t>Seules les versions publiques approuvées sont accessibles.</w:t>
      </w:r>
    </w:p>
    <w:p>
      <w:pPr>
        <w:pStyle w:val="Normal"/>
        <w:keepNext w:val="true"/>
        <w:spacing w:before="40" w:after="0"/>
        <w:ind w:start="85" w:end="85"/>
        <w:rPr/>
      </w:pPr>
      <w:r>
        <w:rPr>
          <w:b/>
          <w:color w:val="0B3D91"/>
          <w:sz w:val="17"/>
        </w:rPr>
        <w:t>Q8. À quels publics ou bénéficiaires la section « Documentation associée — page Qualité et engagements » est-elle principalement destinée ?</w:t>
      </w:r>
    </w:p>
    <w:p>
      <w:pPr>
        <w:pStyle w:val="Normal"/>
        <w:spacing w:before="0" w:after="40"/>
        <w:ind w:start="255" w:end="85"/>
        <w:rPr/>
      </w:pPr>
      <w:r>
        <w:rPr>
          <w:b/>
          <w:color w:val="D4A017"/>
          <w:sz w:val="17"/>
        </w:rPr>
        <w:t xml:space="preserve">Réponse : </w:t>
      </w:r>
      <w:r>
        <w:rPr>
          <w:color w:val="1F2937"/>
          <w:sz w:val="17"/>
        </w:rPr>
        <w:t>Tout lecteur souhaitant vérifier ou approfondir les engagements.</w:t>
      </w:r>
    </w:p>
    <w:p>
      <w:pPr>
        <w:pStyle w:val="Normal"/>
        <w:keepNext w:val="true"/>
        <w:spacing w:before="40" w:after="0"/>
        <w:ind w:start="85" w:end="85"/>
        <w:rPr/>
      </w:pPr>
      <w:r>
        <w:rPr>
          <w:b/>
          <w:color w:val="0B3D91"/>
          <w:sz w:val="17"/>
        </w:rPr>
        <w:t>Q9. À quelles autres rubriques ou fonctions du site « Documentation associée — page Qualité et engagements » est-il relié ?</w:t>
      </w:r>
    </w:p>
    <w:p>
      <w:pPr>
        <w:pStyle w:val="Normal"/>
        <w:spacing w:before="0" w:after="40"/>
        <w:ind w:start="255" w:end="85"/>
        <w:rPr/>
      </w:pPr>
      <w:r>
        <w:rPr>
          <w:b/>
          <w:color w:val="D4A017"/>
          <w:sz w:val="17"/>
        </w:rPr>
        <w:t xml:space="preserve">Réponse : </w:t>
      </w:r>
      <w:r>
        <w:rPr>
          <w:color w:val="1F2937"/>
          <w:sz w:val="17"/>
        </w:rPr>
        <w:t>Lien avec la bibliothèque documentaire et les réponses sourcées d’ÉMINA.</w:t>
      </w:r>
    </w:p>
    <w:p>
      <w:pPr>
        <w:pStyle w:val="Normal"/>
        <w:keepNext w:val="true"/>
        <w:spacing w:before="40" w:after="0"/>
        <w:ind w:start="85" w:end="85"/>
        <w:rPr/>
      </w:pPr>
      <w:r>
        <w:rPr>
          <w:b/>
          <w:color w:val="0B3D91"/>
          <w:sz w:val="17"/>
        </w:rPr>
        <w:t>Q10. Quelle action, orientation ou résultat concret le lecteur peut-il retenir de « Documentation associée — page Qualité et engagements » ?</w:t>
      </w:r>
    </w:p>
    <w:p>
      <w:pPr>
        <w:pStyle w:val="Normal"/>
        <w:spacing w:before="0" w:after="40"/>
        <w:ind w:start="255" w:end="85"/>
        <w:rPr/>
      </w:pPr>
      <w:r>
        <w:rPr>
          <w:b/>
          <w:color w:val="D4A017"/>
          <w:sz w:val="17"/>
        </w:rPr>
        <w:t xml:space="preserve">Réponse : </w:t>
      </w:r>
      <w:r>
        <w:rPr>
          <w:color w:val="1F2937"/>
          <w:sz w:val="17"/>
        </w:rPr>
        <w:t>Consulter la source officielle plutôt que s’appuyer sur une copie non contrôlée.</w:t>
      </w:r>
    </w:p>
    <w:p>
      <w:pPr>
        <w:pStyle w:val="Normal"/>
        <w:rPr/>
      </w:pPr>
      <w:r>
        <w:rPr/>
      </w:r>
      <w:r>
        <w:br w:type="page"/>
      </w:r>
    </w:p>
    <w:p>
      <w:pPr>
        <w:pStyle w:val="Normal"/>
        <w:spacing w:before="0" w:after="60"/>
        <w:jc w:val="center"/>
        <w:rPr/>
      </w:pPr>
      <w:r>
        <w:rPr>
          <w:b/>
          <w:color w:val="D4A017"/>
          <w:sz w:val="28"/>
        </w:rPr>
        <w:t>PARTIE II</w:t>
      </w:r>
    </w:p>
    <w:p>
      <w:pPr>
        <w:pStyle w:val="Normal"/>
        <w:jc w:val="center"/>
        <w:rPr/>
      </w:pPr>
      <w:r>
        <w:rPr>
          <w:b/>
          <w:color w:val="0B3D91"/>
          <w:sz w:val="44"/>
        </w:rPr>
        <w:t>ASSURANCE QUALITÉ ET AMÉLIORATION CONTINUE</w:t>
      </w:r>
    </w:p>
    <w:p>
      <w:pPr>
        <w:pStyle w:val="Normal"/>
        <w:jc w:val="center"/>
        <w:rPr/>
      </w:pPr>
      <w:r>
        <w:rPr>
          <w:i/>
          <w:color w:val="1F2937"/>
          <w:sz w:val="20"/>
        </w:rPr>
        <w:t>Relevé • Analyse • Banque de questions-réponses</w:t>
      </w:r>
    </w:p>
    <w:p>
      <w:pPr>
        <w:pStyle w:val="Normal"/>
        <w:rPr/>
      </w:pPr>
      <w:r>
        <w:rPr/>
      </w:r>
      <w:r>
        <w:br w:type="page"/>
      </w:r>
    </w:p>
    <w:p>
      <w:pPr>
        <w:pStyle w:val="Heading2"/>
        <w:spacing w:before="0" w:after="80"/>
        <w:rPr/>
      </w:pPr>
      <w:r>
        <w:rPr/>
        <w:t>FICHE 14 — Assurance qualité et amélioration continue — présentation</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présente le dispositif public du DAQAC : domaines qualité, cycle d’amélioration, écoute des parties prenantes et limites de diffusion.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associe le contrôle de la qualité à une progression continue.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donne un cadre commun à l’évaluation de toutes les fonctions de l’école.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engagements publics et les 12 domaines du référentiel.</w:t>
            </w:r>
          </w:p>
        </w:tc>
      </w:tr>
    </w:tbl>
    <w:p>
      <w:pPr>
        <w:pStyle w:val="Heading3"/>
        <w:rPr/>
      </w:pPr>
      <w:r>
        <w:rPr/>
        <w:t>Points développés</w:t>
      </w:r>
    </w:p>
    <w:p>
      <w:pPr>
        <w:pStyle w:val="ListBullet"/>
        <w:numPr>
          <w:ilvl w:val="0"/>
          <w:numId w:val="1"/>
        </w:numPr>
        <w:spacing w:before="0" w:after="20"/>
        <w:ind w:hanging="360" w:start="255"/>
        <w:contextualSpacing/>
        <w:rPr/>
      </w:pPr>
      <w:r>
        <w:rPr>
          <w:sz w:val="18"/>
        </w:rPr>
        <w:t>Dispositif public du DAQAC</w:t>
      </w:r>
    </w:p>
    <w:p>
      <w:pPr>
        <w:pStyle w:val="ListBullet"/>
        <w:numPr>
          <w:ilvl w:val="0"/>
          <w:numId w:val="1"/>
        </w:numPr>
        <w:spacing w:before="0" w:after="20"/>
        <w:ind w:hanging="360" w:start="255"/>
        <w:contextualSpacing/>
        <w:rPr/>
      </w:pPr>
      <w:r>
        <w:rPr>
          <w:sz w:val="18"/>
        </w:rPr>
        <w:t>Domaines qualité</w:t>
      </w:r>
    </w:p>
    <w:p>
      <w:pPr>
        <w:pStyle w:val="ListBullet"/>
        <w:numPr>
          <w:ilvl w:val="0"/>
          <w:numId w:val="1"/>
        </w:numPr>
        <w:spacing w:before="0" w:after="20"/>
        <w:ind w:hanging="360" w:start="255"/>
        <w:contextualSpacing/>
        <w:rPr/>
      </w:pPr>
      <w:r>
        <w:rPr>
          <w:sz w:val="18"/>
        </w:rPr>
        <w:t>Cycle</w:t>
      </w:r>
    </w:p>
    <w:p>
      <w:pPr>
        <w:pStyle w:val="ListBullet"/>
        <w:numPr>
          <w:ilvl w:val="0"/>
          <w:numId w:val="1"/>
        </w:numPr>
        <w:spacing w:before="0" w:after="20"/>
        <w:ind w:hanging="360" w:start="255"/>
        <w:contextualSpacing/>
        <w:rPr/>
      </w:pPr>
      <w:r>
        <w:rPr>
          <w:sz w:val="18"/>
        </w:rPr>
        <w:t>Écoute</w:t>
      </w:r>
    </w:p>
    <w:p>
      <w:pPr>
        <w:pStyle w:val="ListBullet"/>
        <w:numPr>
          <w:ilvl w:val="0"/>
          <w:numId w:val="1"/>
        </w:numPr>
        <w:spacing w:before="0" w:after="20"/>
        <w:ind w:hanging="360" w:start="255"/>
        <w:contextualSpacing/>
        <w:rPr/>
      </w:pPr>
      <w:r>
        <w:rPr>
          <w:sz w:val="18"/>
        </w:rPr>
        <w:t>Limites de diffusion</w:t>
      </w:r>
    </w:p>
    <w:p>
      <w:pPr>
        <w:pStyle w:val="Heading3"/>
        <w:rPr/>
      </w:pPr>
      <w:r>
        <w:rPr/>
        <w:t>Banque de questions-réponses</w:t>
      </w:r>
    </w:p>
    <w:p>
      <w:pPr>
        <w:pStyle w:val="Normal"/>
        <w:keepNext w:val="true"/>
        <w:spacing w:before="40" w:after="0"/>
        <w:ind w:start="85" w:end="85"/>
        <w:rPr/>
      </w:pPr>
      <w:r>
        <w:rPr>
          <w:b/>
          <w:color w:val="0B3D91"/>
          <w:sz w:val="17"/>
        </w:rPr>
        <w:t>Q1. Que présente la section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La page présente le dispositif public du DAQAC : domaines qualité, cycle d’amélioration, écoute des parties prenantes et limites de diffusion.</w:t>
      </w:r>
    </w:p>
    <w:p>
      <w:pPr>
        <w:pStyle w:val="Normal"/>
        <w:keepNext w:val="true"/>
        <w:spacing w:before="40" w:after="0"/>
        <w:ind w:start="85" w:end="85"/>
        <w:rPr/>
      </w:pPr>
      <w:r>
        <w:rPr>
          <w:b/>
          <w:color w:val="0B3D91"/>
          <w:sz w:val="17"/>
        </w:rPr>
        <w:t>Q2. Quel est l’objectif principal exposé dans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Expliquer de manière publique comment le GSE définit, contrôle et améliore ses standards.</w:t>
      </w:r>
    </w:p>
    <w:p>
      <w:pPr>
        <w:pStyle w:val="Normal"/>
        <w:keepNext w:val="true"/>
        <w:spacing w:before="40" w:after="0"/>
        <w:ind w:start="85" w:end="85"/>
        <w:rPr/>
      </w:pPr>
      <w:r>
        <w:rPr>
          <w:b/>
          <w:color w:val="0B3D91"/>
          <w:sz w:val="17"/>
        </w:rPr>
        <w:t>Q3. Quels éléments ou domaines sont couverts par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Mission du DAQAC, 12 domaines, cycle d’amélioration, réclamations, suggestions et documentation.</w:t>
      </w:r>
    </w:p>
    <w:p>
      <w:pPr>
        <w:pStyle w:val="Normal"/>
        <w:keepNext w:val="true"/>
        <w:spacing w:before="40" w:after="0"/>
        <w:ind w:start="85" w:end="85"/>
        <w:rPr/>
      </w:pPr>
      <w:r>
        <w:rPr>
          <w:b/>
          <w:color w:val="0B3D91"/>
          <w:sz w:val="17"/>
        </w:rPr>
        <w:t>Q4. Qui porte, coordonne ou garantit les éléments présentés dans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Le DAQAC coordonne le dispositif sans remplacer les responsables opérationnels.</w:t>
      </w:r>
    </w:p>
    <w:p>
      <w:pPr>
        <w:pStyle w:val="Normal"/>
        <w:keepNext w:val="true"/>
        <w:spacing w:before="40" w:after="0"/>
        <w:ind w:start="85" w:end="85"/>
        <w:rPr/>
      </w:pPr>
      <w:r>
        <w:rPr>
          <w:b/>
          <w:color w:val="0B3D91"/>
          <w:sz w:val="17"/>
        </w:rPr>
        <w:t>Q5. Comment la section « Assurance qualité et amélioration continue — présentation » prévoit-elle la mise en œuvre ou le suivi ?</w:t>
      </w:r>
    </w:p>
    <w:p>
      <w:pPr>
        <w:pStyle w:val="Normal"/>
        <w:spacing w:before="0" w:after="40"/>
        <w:ind w:start="255" w:end="85"/>
        <w:rPr/>
      </w:pPr>
      <w:r>
        <w:rPr>
          <w:b/>
          <w:color w:val="D4A017"/>
          <w:sz w:val="17"/>
        </w:rPr>
        <w:t xml:space="preserve">Réponse : </w:t>
      </w:r>
      <w:r>
        <w:rPr>
          <w:color w:val="1F2937"/>
          <w:sz w:val="17"/>
        </w:rPr>
        <w:t>Le référentiel est appliqué au moyen d’audits, de plans d’action et du suivi des améliorations.</w:t>
      </w:r>
    </w:p>
    <w:p>
      <w:pPr>
        <w:pStyle w:val="Normal"/>
        <w:keepNext w:val="true"/>
        <w:spacing w:before="40" w:after="0"/>
        <w:ind w:start="85" w:end="85"/>
        <w:rPr/>
      </w:pPr>
      <w:r>
        <w:rPr>
          <w:b/>
          <w:color w:val="0B3D91"/>
          <w:sz w:val="17"/>
        </w:rPr>
        <w:t>Q6. Quelle preuve, référence, règle ou information de statut accompagne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La page et le code GSE-PUB-QUA-001 constituent la source publique dédiée.</w:t>
      </w:r>
    </w:p>
    <w:p>
      <w:pPr>
        <w:pStyle w:val="Normal"/>
        <w:keepNext w:val="true"/>
        <w:spacing w:before="40" w:after="0"/>
        <w:ind w:start="85" w:end="85"/>
        <w:rPr/>
      </w:pPr>
      <w:r>
        <w:rPr>
          <w:b/>
          <w:color w:val="0B3D91"/>
          <w:sz w:val="17"/>
        </w:rPr>
        <w:t>Q7. Quelles limites de diffusion, de décision ou d’accès sont précisées pour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Les détails internes et les dossiers sensibles restent protégés.</w:t>
      </w:r>
    </w:p>
    <w:p>
      <w:pPr>
        <w:pStyle w:val="Normal"/>
        <w:keepNext w:val="true"/>
        <w:spacing w:before="40" w:after="0"/>
        <w:ind w:start="85" w:end="85"/>
        <w:rPr/>
      </w:pPr>
      <w:r>
        <w:rPr>
          <w:b/>
          <w:color w:val="0B3D91"/>
          <w:sz w:val="17"/>
        </w:rPr>
        <w:t>Q8. À quels publics ou bénéficiaires la section « Assurance qualité et amélioration continue — présentation » est-elle principalement destinée ?</w:t>
      </w:r>
    </w:p>
    <w:p>
      <w:pPr>
        <w:pStyle w:val="Normal"/>
        <w:spacing w:before="0" w:after="40"/>
        <w:ind w:start="255" w:end="85"/>
        <w:rPr/>
      </w:pPr>
      <w:r>
        <w:rPr>
          <w:b/>
          <w:color w:val="D4A017"/>
          <w:sz w:val="17"/>
        </w:rPr>
        <w:t xml:space="preserve">Réponse : </w:t>
      </w:r>
      <w:r>
        <w:rPr>
          <w:color w:val="1F2937"/>
          <w:sz w:val="17"/>
        </w:rPr>
        <w:t>Familles, partenaires, personnel et responsables de service.</w:t>
      </w:r>
    </w:p>
    <w:p>
      <w:pPr>
        <w:pStyle w:val="Normal"/>
        <w:keepNext w:val="true"/>
        <w:spacing w:before="40" w:after="0"/>
        <w:ind w:start="85" w:end="85"/>
        <w:rPr/>
      </w:pPr>
      <w:r>
        <w:rPr>
          <w:b/>
          <w:color w:val="0B3D91"/>
          <w:sz w:val="17"/>
        </w:rPr>
        <w:t>Q9. À quelles autres rubriques ou fonctions du site « Assurance qualité et amélioration continue — présentation » est-il relié ?</w:t>
      </w:r>
    </w:p>
    <w:p>
      <w:pPr>
        <w:pStyle w:val="Normal"/>
        <w:spacing w:before="0" w:after="40"/>
        <w:ind w:start="255" w:end="85"/>
        <w:rPr/>
      </w:pPr>
      <w:r>
        <w:rPr>
          <w:b/>
          <w:color w:val="D4A017"/>
          <w:sz w:val="17"/>
        </w:rPr>
        <w:t xml:space="preserve">Réponse : </w:t>
      </w:r>
      <w:r>
        <w:rPr>
          <w:color w:val="1F2937"/>
          <w:sz w:val="17"/>
        </w:rPr>
        <w:t>Lien avec tous les départements, la documentation et la veille officielle.</w:t>
      </w:r>
    </w:p>
    <w:p>
      <w:pPr>
        <w:pStyle w:val="Normal"/>
        <w:keepNext w:val="true"/>
        <w:spacing w:before="40" w:after="0"/>
        <w:ind w:start="85" w:end="85"/>
        <w:rPr/>
      </w:pPr>
      <w:r>
        <w:rPr>
          <w:b/>
          <w:color w:val="0B3D91"/>
          <w:sz w:val="17"/>
        </w:rPr>
        <w:t>Q10. Quelle action, orientation ou résultat concret le lecteur peut-il retenir de « Assurance qualité et amélioration continue — présentation » ?</w:t>
      </w:r>
    </w:p>
    <w:p>
      <w:pPr>
        <w:pStyle w:val="Normal"/>
        <w:spacing w:before="0" w:after="40"/>
        <w:ind w:start="255" w:end="85"/>
        <w:rPr/>
      </w:pPr>
      <w:r>
        <w:rPr>
          <w:b/>
          <w:color w:val="D4A017"/>
          <w:sz w:val="17"/>
        </w:rPr>
        <w:t xml:space="preserve">Réponse : </w:t>
      </w:r>
      <w:r>
        <w:rPr>
          <w:color w:val="1F2937"/>
          <w:sz w:val="17"/>
        </w:rPr>
        <w:t>Comprendre le dispositif puis utiliser les voies d’écoute ou consulter les sources associées.</w:t>
      </w:r>
    </w:p>
    <w:p>
      <w:pPr>
        <w:pStyle w:val="Normal"/>
        <w:rPr/>
      </w:pPr>
      <w:r>
        <w:rPr/>
      </w:r>
      <w:r>
        <w:br w:type="page"/>
      </w:r>
    </w:p>
    <w:p>
      <w:pPr>
        <w:pStyle w:val="Heading2"/>
        <w:spacing w:before="0" w:after="80"/>
        <w:rPr/>
      </w:pPr>
      <w:r>
        <w:rPr/>
        <w:t>FICHE 15 — Une démarche structurée et vérifiable</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DAQAC coordonne le référentiel qualité, les audits, les plans d’action et le suivi des améliorations.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met en avant la structure et la vérifiabilité comme garanties de sérieux.</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facilite le pilotage, l’audit et l’apprentissage institutionnel.</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indicateurs, preuves et actions correctives.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Référentiel</w:t>
      </w:r>
    </w:p>
    <w:p>
      <w:pPr>
        <w:pStyle w:val="ListBullet"/>
        <w:numPr>
          <w:ilvl w:val="0"/>
          <w:numId w:val="1"/>
        </w:numPr>
        <w:spacing w:before="0" w:after="20"/>
        <w:ind w:hanging="360" w:start="255"/>
        <w:contextualSpacing/>
        <w:rPr/>
      </w:pPr>
      <w:r>
        <w:rPr>
          <w:sz w:val="18"/>
        </w:rPr>
        <w:t>Audits</w:t>
      </w:r>
    </w:p>
    <w:p>
      <w:pPr>
        <w:pStyle w:val="ListBullet"/>
        <w:numPr>
          <w:ilvl w:val="0"/>
          <w:numId w:val="1"/>
        </w:numPr>
        <w:spacing w:before="0" w:after="20"/>
        <w:ind w:hanging="360" w:start="255"/>
        <w:contextualSpacing/>
        <w:rPr/>
      </w:pPr>
      <w:r>
        <w:rPr>
          <w:sz w:val="18"/>
        </w:rPr>
        <w:t>Plans d’action</w:t>
      </w:r>
    </w:p>
    <w:p>
      <w:pPr>
        <w:pStyle w:val="ListBullet"/>
        <w:numPr>
          <w:ilvl w:val="0"/>
          <w:numId w:val="1"/>
        </w:numPr>
        <w:spacing w:before="0" w:after="20"/>
        <w:ind w:hanging="360" w:start="255"/>
        <w:contextualSpacing/>
        <w:rPr/>
      </w:pPr>
      <w:r>
        <w:rPr>
          <w:sz w:val="18"/>
        </w:rPr>
        <w:t>Suivi</w:t>
      </w:r>
    </w:p>
    <w:p>
      <w:pPr>
        <w:pStyle w:val="Heading3"/>
        <w:rPr/>
      </w:pPr>
      <w:r>
        <w:rPr/>
        <w:t>Banque de questions-réponses</w:t>
      </w:r>
    </w:p>
    <w:p>
      <w:pPr>
        <w:pStyle w:val="Normal"/>
        <w:keepNext w:val="true"/>
        <w:spacing w:before="40" w:after="0"/>
        <w:ind w:start="85" w:end="85"/>
        <w:rPr/>
      </w:pPr>
      <w:r>
        <w:rPr>
          <w:b/>
          <w:color w:val="0B3D91"/>
          <w:sz w:val="17"/>
        </w:rPr>
        <w:t>Q1. Que présente la section « Une démarche structurée et vérifiable » ?</w:t>
      </w:r>
    </w:p>
    <w:p>
      <w:pPr>
        <w:pStyle w:val="Normal"/>
        <w:spacing w:before="0" w:after="40"/>
        <w:ind w:start="255" w:end="85"/>
        <w:rPr/>
      </w:pPr>
      <w:r>
        <w:rPr>
          <w:b/>
          <w:color w:val="D4A017"/>
          <w:sz w:val="17"/>
        </w:rPr>
        <w:t xml:space="preserve">Réponse : </w:t>
      </w:r>
      <w:r>
        <w:rPr>
          <w:color w:val="1F2937"/>
          <w:sz w:val="17"/>
        </w:rPr>
        <w:t>Le DAQAC coordonne le référentiel qualité, les audits, les plans d’action et le suivi des améliorations.</w:t>
      </w:r>
    </w:p>
    <w:p>
      <w:pPr>
        <w:pStyle w:val="Normal"/>
        <w:keepNext w:val="true"/>
        <w:spacing w:before="40" w:after="0"/>
        <w:ind w:start="85" w:end="85"/>
        <w:rPr/>
      </w:pPr>
      <w:r>
        <w:rPr>
          <w:b/>
          <w:color w:val="0B3D91"/>
          <w:sz w:val="17"/>
        </w:rPr>
        <w:t>Q2. Quel est l’objectif principal exposé dans « Une démarche structurée et vérifiable » ?</w:t>
      </w:r>
    </w:p>
    <w:p>
      <w:pPr>
        <w:pStyle w:val="Normal"/>
        <w:spacing w:before="0" w:after="40"/>
        <w:ind w:start="255" w:end="85"/>
        <w:rPr/>
      </w:pPr>
      <w:r>
        <w:rPr>
          <w:b/>
          <w:color w:val="D4A017"/>
          <w:sz w:val="17"/>
        </w:rPr>
        <w:t xml:space="preserve">Réponse : </w:t>
      </w:r>
      <w:r>
        <w:rPr>
          <w:color w:val="1F2937"/>
          <w:sz w:val="17"/>
        </w:rPr>
        <w:t>Insister sur une méthode organisée et fondée sur des éléments vérifiables.</w:t>
      </w:r>
    </w:p>
    <w:p>
      <w:pPr>
        <w:pStyle w:val="Normal"/>
        <w:keepNext w:val="true"/>
        <w:spacing w:before="40" w:after="0"/>
        <w:ind w:start="85" w:end="85"/>
        <w:rPr/>
      </w:pPr>
      <w:r>
        <w:rPr>
          <w:b/>
          <w:color w:val="0B3D91"/>
          <w:sz w:val="17"/>
        </w:rPr>
        <w:t>Q3. Quels éléments ou domaines sont couverts par « Une démarche structurée et vérifiable » ?</w:t>
      </w:r>
    </w:p>
    <w:p>
      <w:pPr>
        <w:pStyle w:val="Normal"/>
        <w:spacing w:before="0" w:after="40"/>
        <w:ind w:start="255" w:end="85"/>
        <w:rPr/>
      </w:pPr>
      <w:r>
        <w:rPr>
          <w:b/>
          <w:color w:val="D4A017"/>
          <w:sz w:val="17"/>
        </w:rPr>
        <w:t xml:space="preserve">Réponse : </w:t>
      </w:r>
      <w:r>
        <w:rPr>
          <w:color w:val="1F2937"/>
          <w:sz w:val="17"/>
        </w:rPr>
        <w:t>Référentiel, audits, plans d’action et suivi.</w:t>
      </w:r>
    </w:p>
    <w:p>
      <w:pPr>
        <w:pStyle w:val="Normal"/>
        <w:keepNext w:val="true"/>
        <w:spacing w:before="40" w:after="0"/>
        <w:ind w:start="85" w:end="85"/>
        <w:rPr/>
      </w:pPr>
      <w:r>
        <w:rPr>
          <w:b/>
          <w:color w:val="0B3D91"/>
          <w:sz w:val="17"/>
        </w:rPr>
        <w:t>Q4. Qui porte, coordonne ou garantit les éléments présentés dans « Une démarche structurée et vérifiable » ?</w:t>
      </w:r>
    </w:p>
    <w:p>
      <w:pPr>
        <w:pStyle w:val="Normal"/>
        <w:spacing w:before="0" w:after="40"/>
        <w:ind w:start="255" w:end="85"/>
        <w:rPr/>
      </w:pPr>
      <w:r>
        <w:rPr>
          <w:b/>
          <w:color w:val="D4A017"/>
          <w:sz w:val="17"/>
        </w:rPr>
        <w:t xml:space="preserve">Réponse : </w:t>
      </w:r>
      <w:r>
        <w:rPr>
          <w:color w:val="1F2937"/>
          <w:sz w:val="17"/>
        </w:rPr>
        <w:t>Le DAQAC assure la coordination méthodologique.</w:t>
      </w:r>
    </w:p>
    <w:p>
      <w:pPr>
        <w:pStyle w:val="Normal"/>
        <w:keepNext w:val="true"/>
        <w:spacing w:before="40" w:after="0"/>
        <w:ind w:start="85" w:end="85"/>
        <w:rPr/>
      </w:pPr>
      <w:r>
        <w:rPr>
          <w:b/>
          <w:color w:val="0B3D91"/>
          <w:sz w:val="17"/>
        </w:rPr>
        <w:t>Q5. Comment la section « Une démarche structurée et vérifiable » prévoit-elle la mise en œuvre ou le suivi ?</w:t>
      </w:r>
    </w:p>
    <w:p>
      <w:pPr>
        <w:pStyle w:val="Normal"/>
        <w:spacing w:before="0" w:after="40"/>
        <w:ind w:start="255" w:end="85"/>
        <w:rPr/>
      </w:pPr>
      <w:r>
        <w:rPr>
          <w:b/>
          <w:color w:val="D4A017"/>
          <w:sz w:val="17"/>
        </w:rPr>
        <w:t xml:space="preserve">Réponse : </w:t>
      </w:r>
      <w:r>
        <w:rPr>
          <w:color w:val="1F2937"/>
          <w:sz w:val="17"/>
        </w:rPr>
        <w:t>Les écarts sont repérés, traduits en actions et suivis jusqu’à vérification.</w:t>
      </w:r>
    </w:p>
    <w:p>
      <w:pPr>
        <w:pStyle w:val="Normal"/>
        <w:keepNext w:val="true"/>
        <w:spacing w:before="40" w:after="0"/>
        <w:ind w:start="85" w:end="85"/>
        <w:rPr/>
      </w:pPr>
      <w:r>
        <w:rPr>
          <w:b/>
          <w:color w:val="0B3D91"/>
          <w:sz w:val="17"/>
        </w:rPr>
        <w:t>Q6. Quelle preuve, référence, règle ou information de statut accompagne « Une démarche structurée et vérifiable » ?</w:t>
      </w:r>
    </w:p>
    <w:p>
      <w:pPr>
        <w:pStyle w:val="Normal"/>
        <w:spacing w:before="0" w:after="40"/>
        <w:ind w:start="255" w:end="85"/>
        <w:rPr/>
      </w:pPr>
      <w:r>
        <w:rPr>
          <w:b/>
          <w:color w:val="D4A017"/>
          <w:sz w:val="17"/>
        </w:rPr>
        <w:t xml:space="preserve">Réponse : </w:t>
      </w:r>
      <w:r>
        <w:rPr>
          <w:color w:val="1F2937"/>
          <w:sz w:val="17"/>
        </w:rPr>
        <w:t>Audits, preuves et plans d’action constituent les traces de la démarche.</w:t>
      </w:r>
    </w:p>
    <w:p>
      <w:pPr>
        <w:pStyle w:val="Normal"/>
        <w:keepNext w:val="true"/>
        <w:spacing w:before="40" w:after="0"/>
        <w:ind w:start="85" w:end="85"/>
        <w:rPr/>
      </w:pPr>
      <w:r>
        <w:rPr>
          <w:b/>
          <w:color w:val="0B3D91"/>
          <w:sz w:val="17"/>
        </w:rPr>
        <w:t>Q7. Quelles limites de diffusion, de décision ou d’accès sont précisées pour « Une démarche structurée et vérifiable » ?</w:t>
      </w:r>
    </w:p>
    <w:p>
      <w:pPr>
        <w:pStyle w:val="Normal"/>
        <w:spacing w:before="0" w:after="40"/>
        <w:ind w:start="255" w:end="85"/>
        <w:rPr/>
      </w:pPr>
      <w:r>
        <w:rPr>
          <w:b/>
          <w:color w:val="D4A017"/>
          <w:sz w:val="17"/>
        </w:rPr>
        <w:t xml:space="preserve">Réponse : </w:t>
      </w:r>
      <w:r>
        <w:rPr>
          <w:color w:val="1F2937"/>
          <w:sz w:val="17"/>
        </w:rPr>
        <w:t>Le DAQAC ne se substitue pas aux services qui exécutent les actions.</w:t>
      </w:r>
    </w:p>
    <w:p>
      <w:pPr>
        <w:pStyle w:val="Normal"/>
        <w:keepNext w:val="true"/>
        <w:spacing w:before="40" w:after="0"/>
        <w:ind w:start="85" w:end="85"/>
        <w:rPr/>
      </w:pPr>
      <w:r>
        <w:rPr>
          <w:b/>
          <w:color w:val="0B3D91"/>
          <w:sz w:val="17"/>
        </w:rPr>
        <w:t>Q8. À quels publics ou bénéficiaires la section « Une démarche structurée et vérifiable » est-elle principalement destinée ?</w:t>
      </w:r>
    </w:p>
    <w:p>
      <w:pPr>
        <w:pStyle w:val="Normal"/>
        <w:spacing w:before="0" w:after="40"/>
        <w:ind w:start="255" w:end="85"/>
        <w:rPr/>
      </w:pPr>
      <w:r>
        <w:rPr>
          <w:b/>
          <w:color w:val="D4A017"/>
          <w:sz w:val="17"/>
        </w:rPr>
        <w:t xml:space="preserve">Réponse : </w:t>
      </w:r>
      <w:r>
        <w:rPr>
          <w:color w:val="1F2937"/>
          <w:sz w:val="17"/>
        </w:rPr>
        <w:t>Ensemble des services et usagers bénéficiant de la qualité améliorée.</w:t>
      </w:r>
    </w:p>
    <w:p>
      <w:pPr>
        <w:pStyle w:val="Normal"/>
        <w:keepNext w:val="true"/>
        <w:spacing w:before="40" w:after="0"/>
        <w:ind w:start="85" w:end="85"/>
        <w:rPr/>
      </w:pPr>
      <w:r>
        <w:rPr>
          <w:b/>
          <w:color w:val="0B3D91"/>
          <w:sz w:val="17"/>
        </w:rPr>
        <w:t>Q9. À quelles autres rubriques ou fonctions du site « Une démarche structurée et vérifiable » est-il relié ?</w:t>
      </w:r>
    </w:p>
    <w:p>
      <w:pPr>
        <w:pStyle w:val="Normal"/>
        <w:spacing w:before="0" w:after="40"/>
        <w:ind w:start="255" w:end="85"/>
        <w:rPr/>
      </w:pPr>
      <w:r>
        <w:rPr>
          <w:b/>
          <w:color w:val="D4A017"/>
          <w:sz w:val="17"/>
        </w:rPr>
        <w:t xml:space="preserve">Réponse : </w:t>
      </w:r>
      <w:r>
        <w:rPr>
          <w:color w:val="1F2937"/>
          <w:sz w:val="17"/>
        </w:rPr>
        <w:t>Lien avec Mission du DAQAC, cycle d’amélioration et redevabilité.</w:t>
      </w:r>
    </w:p>
    <w:p>
      <w:pPr>
        <w:pStyle w:val="Normal"/>
        <w:keepNext w:val="true"/>
        <w:spacing w:before="40" w:after="0"/>
        <w:ind w:start="85" w:end="85"/>
        <w:rPr/>
      </w:pPr>
      <w:r>
        <w:rPr>
          <w:b/>
          <w:color w:val="0B3D91"/>
          <w:sz w:val="17"/>
        </w:rPr>
        <w:t>Q10. Quelle action, orientation ou résultat concret le lecteur peut-il retenir de « Une démarche structurée et vérifiable » ?</w:t>
      </w:r>
    </w:p>
    <w:p>
      <w:pPr>
        <w:pStyle w:val="Normal"/>
        <w:spacing w:before="0" w:after="40"/>
        <w:ind w:start="255" w:end="85"/>
        <w:rPr/>
      </w:pPr>
      <w:r>
        <w:rPr>
          <w:b/>
          <w:color w:val="D4A017"/>
          <w:sz w:val="17"/>
        </w:rPr>
        <w:t xml:space="preserve">Réponse : </w:t>
      </w:r>
      <w:r>
        <w:rPr>
          <w:color w:val="1F2937"/>
          <w:sz w:val="17"/>
        </w:rPr>
        <w:t>S’appuyer sur une méthode documentée plutôt que sur des impressions isolées.</w:t>
      </w:r>
    </w:p>
    <w:p>
      <w:pPr>
        <w:pStyle w:val="Normal"/>
        <w:rPr/>
      </w:pPr>
      <w:r>
        <w:rPr/>
      </w:r>
      <w:r>
        <w:br w:type="page"/>
      </w:r>
    </w:p>
    <w:p>
      <w:pPr>
        <w:pStyle w:val="Heading2"/>
        <w:spacing w:before="0" w:after="80"/>
        <w:rPr/>
      </w:pPr>
      <w:r>
        <w:rPr/>
        <w:t>FICHE 16 — Mission du DAQAC</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DAQAC aide l’école à définir ses standards, vérifier les preuves, analyser les écarts et suivre les actions d’amélioration.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répond directement à la question du rôle institutionnel du DAQAC.</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mission claire protège l’indépendance du contrôle et évite les confusions de responsabilités.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tous les départements et la Direction.</w:t>
            </w:r>
          </w:p>
        </w:tc>
      </w:tr>
    </w:tbl>
    <w:p>
      <w:pPr>
        <w:pStyle w:val="Heading3"/>
        <w:rPr/>
      </w:pPr>
      <w:r>
        <w:rPr/>
        <w:t>Points développés</w:t>
      </w:r>
    </w:p>
    <w:p>
      <w:pPr>
        <w:pStyle w:val="ListBullet"/>
        <w:numPr>
          <w:ilvl w:val="0"/>
          <w:numId w:val="1"/>
        </w:numPr>
        <w:spacing w:before="0" w:after="20"/>
        <w:ind w:hanging="360" w:start="255"/>
        <w:contextualSpacing/>
        <w:rPr/>
      </w:pPr>
      <w:r>
        <w:rPr>
          <w:sz w:val="18"/>
        </w:rPr>
        <w:t>Définition des standards</w:t>
      </w:r>
    </w:p>
    <w:p>
      <w:pPr>
        <w:pStyle w:val="ListBullet"/>
        <w:numPr>
          <w:ilvl w:val="0"/>
          <w:numId w:val="1"/>
        </w:numPr>
        <w:spacing w:before="0" w:after="20"/>
        <w:ind w:hanging="360" w:start="255"/>
        <w:contextualSpacing/>
        <w:rPr/>
      </w:pPr>
      <w:r>
        <w:rPr>
          <w:sz w:val="18"/>
        </w:rPr>
        <w:t>Vérification des preuves</w:t>
      </w:r>
    </w:p>
    <w:p>
      <w:pPr>
        <w:pStyle w:val="ListBullet"/>
        <w:numPr>
          <w:ilvl w:val="0"/>
          <w:numId w:val="1"/>
        </w:numPr>
        <w:spacing w:before="0" w:after="20"/>
        <w:ind w:hanging="360" w:start="255"/>
        <w:contextualSpacing/>
        <w:rPr/>
      </w:pPr>
      <w:r>
        <w:rPr>
          <w:sz w:val="18"/>
        </w:rPr>
        <w:t>Analyse des écarts</w:t>
      </w:r>
    </w:p>
    <w:p>
      <w:pPr>
        <w:pStyle w:val="ListBullet"/>
        <w:numPr>
          <w:ilvl w:val="0"/>
          <w:numId w:val="1"/>
        </w:numPr>
        <w:spacing w:before="0" w:after="20"/>
        <w:ind w:hanging="360" w:start="255"/>
        <w:contextualSpacing/>
        <w:rPr/>
      </w:pPr>
      <w:r>
        <w:rPr>
          <w:sz w:val="18"/>
        </w:rPr>
        <w:t>Suivi des améliorations</w:t>
      </w:r>
    </w:p>
    <w:p>
      <w:pPr>
        <w:pStyle w:val="ListBullet"/>
        <w:numPr>
          <w:ilvl w:val="0"/>
          <w:numId w:val="1"/>
        </w:numPr>
        <w:spacing w:before="0" w:after="20"/>
        <w:ind w:hanging="360" w:start="255"/>
        <w:contextualSpacing/>
        <w:rPr/>
      </w:pPr>
      <w:r>
        <w:rPr>
          <w:sz w:val="18"/>
        </w:rPr>
        <w:t>Indépendance fonctionnelle</w:t>
      </w:r>
    </w:p>
    <w:p>
      <w:pPr>
        <w:pStyle w:val="Heading3"/>
        <w:rPr/>
      </w:pPr>
      <w:r>
        <w:rPr/>
        <w:t>Banque de questions-réponses</w:t>
      </w:r>
    </w:p>
    <w:p>
      <w:pPr>
        <w:pStyle w:val="Normal"/>
        <w:keepNext w:val="true"/>
        <w:spacing w:before="40" w:after="0"/>
        <w:ind w:start="85" w:end="85"/>
        <w:rPr/>
      </w:pPr>
      <w:r>
        <w:rPr>
          <w:b/>
          <w:color w:val="0B3D91"/>
          <w:sz w:val="17"/>
        </w:rPr>
        <w:t>Q1. Que présente la section « Mission du DAQAC » ?</w:t>
      </w:r>
    </w:p>
    <w:p>
      <w:pPr>
        <w:pStyle w:val="Normal"/>
        <w:spacing w:before="0" w:after="40"/>
        <w:ind w:start="255" w:end="85"/>
        <w:rPr/>
      </w:pPr>
      <w:r>
        <w:rPr>
          <w:b/>
          <w:color w:val="D4A017"/>
          <w:sz w:val="17"/>
        </w:rPr>
        <w:t xml:space="preserve">Réponse : </w:t>
      </w:r>
      <w:r>
        <w:rPr>
          <w:color w:val="1F2937"/>
          <w:sz w:val="17"/>
        </w:rPr>
        <w:t>Le DAQAC aide l’école à définir ses standards, vérifier les preuves, analyser les écarts et suivre les actions d’amélioration.</w:t>
      </w:r>
    </w:p>
    <w:p>
      <w:pPr>
        <w:pStyle w:val="Normal"/>
        <w:keepNext w:val="true"/>
        <w:spacing w:before="40" w:after="0"/>
        <w:ind w:start="85" w:end="85"/>
        <w:rPr/>
      </w:pPr>
      <w:r>
        <w:rPr>
          <w:b/>
          <w:color w:val="0B3D91"/>
          <w:sz w:val="17"/>
        </w:rPr>
        <w:t>Q2. Quel est l’objectif principal exposé dans « Mission du DAQAC » ?</w:t>
      </w:r>
    </w:p>
    <w:p>
      <w:pPr>
        <w:pStyle w:val="Normal"/>
        <w:spacing w:before="0" w:after="40"/>
        <w:ind w:start="255" w:end="85"/>
        <w:rPr/>
      </w:pPr>
      <w:r>
        <w:rPr>
          <w:b/>
          <w:color w:val="D4A017"/>
          <w:sz w:val="17"/>
        </w:rPr>
        <w:t xml:space="preserve">Réponse : </w:t>
      </w:r>
      <w:r>
        <w:rPr>
          <w:color w:val="1F2937"/>
          <w:sz w:val="17"/>
        </w:rPr>
        <w:t>Délimiter clairement la fonction du département qualité.</w:t>
      </w:r>
    </w:p>
    <w:p>
      <w:pPr>
        <w:pStyle w:val="Normal"/>
        <w:keepNext w:val="true"/>
        <w:spacing w:before="40" w:after="0"/>
        <w:ind w:start="85" w:end="85"/>
        <w:rPr/>
      </w:pPr>
      <w:r>
        <w:rPr>
          <w:b/>
          <w:color w:val="0B3D91"/>
          <w:sz w:val="17"/>
        </w:rPr>
        <w:t>Q3. Quels éléments ou domaines sont couverts par « Mission du DAQAC » ?</w:t>
      </w:r>
    </w:p>
    <w:p>
      <w:pPr>
        <w:pStyle w:val="Normal"/>
        <w:spacing w:before="0" w:after="40"/>
        <w:ind w:start="255" w:end="85"/>
        <w:rPr/>
      </w:pPr>
      <w:r>
        <w:rPr>
          <w:b/>
          <w:color w:val="D4A017"/>
          <w:sz w:val="17"/>
        </w:rPr>
        <w:t xml:space="preserve">Réponse : </w:t>
      </w:r>
      <w:r>
        <w:rPr>
          <w:color w:val="1F2937"/>
          <w:sz w:val="17"/>
        </w:rPr>
        <w:t>Standards, preuves, écarts et actions d’amélioration.</w:t>
      </w:r>
    </w:p>
    <w:p>
      <w:pPr>
        <w:pStyle w:val="Normal"/>
        <w:keepNext w:val="true"/>
        <w:spacing w:before="40" w:after="0"/>
        <w:ind w:start="85" w:end="85"/>
        <w:rPr/>
      </w:pPr>
      <w:r>
        <w:rPr>
          <w:b/>
          <w:color w:val="0B3D91"/>
          <w:sz w:val="17"/>
        </w:rPr>
        <w:t>Q4. Qui porte, coordonne ou garantit les éléments présentés dans « Mission du DAQAC » ?</w:t>
      </w:r>
    </w:p>
    <w:p>
      <w:pPr>
        <w:pStyle w:val="Normal"/>
        <w:spacing w:before="0" w:after="40"/>
        <w:ind w:start="255" w:end="85"/>
        <w:rPr/>
      </w:pPr>
      <w:r>
        <w:rPr>
          <w:b/>
          <w:color w:val="D4A017"/>
          <w:sz w:val="17"/>
        </w:rPr>
        <w:t xml:space="preserve">Réponse : </w:t>
      </w:r>
      <w:r>
        <w:rPr>
          <w:color w:val="1F2937"/>
          <w:sz w:val="17"/>
        </w:rPr>
        <w:t>Le Département de l’Assurance Qualité et de l’Amélioration Continue.</w:t>
      </w:r>
    </w:p>
    <w:p>
      <w:pPr>
        <w:pStyle w:val="Normal"/>
        <w:keepNext w:val="true"/>
        <w:spacing w:before="40" w:after="0"/>
        <w:ind w:start="85" w:end="85"/>
        <w:rPr/>
      </w:pPr>
      <w:r>
        <w:rPr>
          <w:b/>
          <w:color w:val="0B3D91"/>
          <w:sz w:val="17"/>
        </w:rPr>
        <w:t>Q5. Comment la section « Mission du DAQAC » prévoit-elle la mise en œuvre ou le suivi ?</w:t>
      </w:r>
    </w:p>
    <w:p>
      <w:pPr>
        <w:pStyle w:val="Normal"/>
        <w:spacing w:before="0" w:after="40"/>
        <w:ind w:start="255" w:end="85"/>
        <w:rPr/>
      </w:pPr>
      <w:r>
        <w:rPr>
          <w:b/>
          <w:color w:val="D4A017"/>
          <w:sz w:val="17"/>
        </w:rPr>
        <w:t xml:space="preserve">Réponse : </w:t>
      </w:r>
      <w:r>
        <w:rPr>
          <w:color w:val="1F2937"/>
          <w:sz w:val="17"/>
        </w:rPr>
        <w:t>Il agit avec indépendance fonctionnelle dans son mandat et collabore avec les responsables opérationnels.</w:t>
      </w:r>
    </w:p>
    <w:p>
      <w:pPr>
        <w:pStyle w:val="Normal"/>
        <w:keepNext w:val="true"/>
        <w:spacing w:before="40" w:after="0"/>
        <w:ind w:start="85" w:end="85"/>
        <w:rPr/>
      </w:pPr>
      <w:r>
        <w:rPr>
          <w:b/>
          <w:color w:val="0B3D91"/>
          <w:sz w:val="17"/>
        </w:rPr>
        <w:t>Q6. Quelle preuve, référence, règle ou information de statut accompagne « Mission du DAQAC » ?</w:t>
      </w:r>
    </w:p>
    <w:p>
      <w:pPr>
        <w:pStyle w:val="Normal"/>
        <w:spacing w:before="0" w:after="40"/>
        <w:ind w:start="255" w:end="85"/>
        <w:rPr/>
      </w:pPr>
      <w:r>
        <w:rPr>
          <w:b/>
          <w:color w:val="D4A017"/>
          <w:sz w:val="17"/>
        </w:rPr>
        <w:t xml:space="preserve">Réponse : </w:t>
      </w:r>
      <w:r>
        <w:rPr>
          <w:color w:val="1F2937"/>
          <w:sz w:val="17"/>
        </w:rPr>
        <w:t>Les standards, preuves, analyses d’écarts et suivis d’actions matérialisent son travail.</w:t>
      </w:r>
    </w:p>
    <w:p>
      <w:pPr>
        <w:pStyle w:val="Normal"/>
        <w:keepNext w:val="true"/>
        <w:spacing w:before="40" w:after="0"/>
        <w:ind w:start="85" w:end="85"/>
        <w:rPr/>
      </w:pPr>
      <w:r>
        <w:rPr>
          <w:b/>
          <w:color w:val="0B3D91"/>
          <w:sz w:val="17"/>
        </w:rPr>
        <w:t>Q7. Quelles limites de diffusion, de décision ou d’accès sont précisées pour « Mission du DAQAC » ?</w:t>
      </w:r>
    </w:p>
    <w:p>
      <w:pPr>
        <w:pStyle w:val="Normal"/>
        <w:spacing w:before="0" w:after="40"/>
        <w:ind w:start="255" w:end="85"/>
        <w:rPr/>
      </w:pPr>
      <w:r>
        <w:rPr>
          <w:b/>
          <w:color w:val="D4A017"/>
          <w:sz w:val="17"/>
        </w:rPr>
        <w:t xml:space="preserve">Réponse : </w:t>
      </w:r>
      <w:r>
        <w:rPr>
          <w:color w:val="1F2937"/>
          <w:sz w:val="17"/>
        </w:rPr>
        <w:t>Il ne remplace pas les responsables opérationnels et ne réalise pas leurs tâches à leur place.</w:t>
      </w:r>
    </w:p>
    <w:p>
      <w:pPr>
        <w:pStyle w:val="Normal"/>
        <w:keepNext w:val="true"/>
        <w:spacing w:before="40" w:after="0"/>
        <w:ind w:start="85" w:end="85"/>
        <w:rPr/>
      </w:pPr>
      <w:r>
        <w:rPr>
          <w:b/>
          <w:color w:val="0B3D91"/>
          <w:sz w:val="17"/>
        </w:rPr>
        <w:t>Q8. À quels publics ou bénéficiaires la section « Mission du DAQAC » est-elle principalement destinée ?</w:t>
      </w:r>
    </w:p>
    <w:p>
      <w:pPr>
        <w:pStyle w:val="Normal"/>
        <w:spacing w:before="0" w:after="40"/>
        <w:ind w:start="255" w:end="85"/>
        <w:rPr/>
      </w:pPr>
      <w:r>
        <w:rPr>
          <w:b/>
          <w:color w:val="D4A017"/>
          <w:sz w:val="17"/>
        </w:rPr>
        <w:t xml:space="preserve">Réponse : </w:t>
      </w:r>
      <w:r>
        <w:rPr>
          <w:color w:val="1F2937"/>
          <w:sz w:val="17"/>
        </w:rPr>
        <w:t>Direction, départements, familles et élèves bénéficient de son rôle de coordination.</w:t>
      </w:r>
    </w:p>
    <w:p>
      <w:pPr>
        <w:pStyle w:val="Normal"/>
        <w:keepNext w:val="true"/>
        <w:spacing w:before="40" w:after="0"/>
        <w:ind w:start="85" w:end="85"/>
        <w:rPr/>
      </w:pPr>
      <w:r>
        <w:rPr>
          <w:b/>
          <w:color w:val="0B3D91"/>
          <w:sz w:val="17"/>
        </w:rPr>
        <w:t>Q9. À quelles autres rubriques ou fonctions du site « Mission du DAQAC » est-il relié ?</w:t>
      </w:r>
    </w:p>
    <w:p>
      <w:pPr>
        <w:pStyle w:val="Normal"/>
        <w:spacing w:before="0" w:after="40"/>
        <w:ind w:start="255" w:end="85"/>
        <w:rPr/>
      </w:pPr>
      <w:r>
        <w:rPr>
          <w:b/>
          <w:color w:val="D4A017"/>
          <w:sz w:val="17"/>
        </w:rPr>
        <w:t xml:space="preserve">Réponse : </w:t>
      </w:r>
      <w:r>
        <w:rPr>
          <w:color w:val="1F2937"/>
          <w:sz w:val="17"/>
        </w:rPr>
        <w:t>Lien avec les 12 domaines, les audits, les engagements et la gouvernance.</w:t>
      </w:r>
    </w:p>
    <w:p>
      <w:pPr>
        <w:pStyle w:val="Normal"/>
        <w:keepNext w:val="true"/>
        <w:spacing w:before="40" w:after="0"/>
        <w:ind w:start="85" w:end="85"/>
        <w:rPr/>
      </w:pPr>
      <w:r>
        <w:rPr>
          <w:b/>
          <w:color w:val="0B3D91"/>
          <w:sz w:val="17"/>
        </w:rPr>
        <w:t>Q10. Quelle action, orientation ou résultat concret le lecteur peut-il retenir de « Mission du DAQAC » ?</w:t>
      </w:r>
    </w:p>
    <w:p>
      <w:pPr>
        <w:pStyle w:val="Normal"/>
        <w:spacing w:before="0" w:after="40"/>
        <w:ind w:start="255" w:end="85"/>
        <w:rPr/>
      </w:pPr>
      <w:r>
        <w:rPr>
          <w:b/>
          <w:color w:val="D4A017"/>
          <w:sz w:val="17"/>
        </w:rPr>
        <w:t xml:space="preserve">Réponse : </w:t>
      </w:r>
      <w:r>
        <w:rPr>
          <w:color w:val="1F2937"/>
          <w:sz w:val="17"/>
        </w:rPr>
        <w:t>Utiliser le DAQAC pour cadrer, vérifier et suivre, tout en maintenant la responsabilité des services.</w:t>
      </w:r>
    </w:p>
    <w:p>
      <w:pPr>
        <w:pStyle w:val="Normal"/>
        <w:rPr/>
      </w:pPr>
      <w:r>
        <w:rPr/>
      </w:r>
      <w:r>
        <w:br w:type="page"/>
      </w:r>
    </w:p>
    <w:p>
      <w:pPr>
        <w:pStyle w:val="Heading2"/>
        <w:spacing w:before="0" w:after="80"/>
        <w:rPr/>
      </w:pPr>
      <w:r>
        <w:rPr/>
        <w:t>FICHE 17 — Les 12 domaines du référentiel qualité</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référentiel couvre douze domaines allant de la gouvernance aux résultats et à l’amélioration.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annonce une couverture structurée et exhaustive du système scolaire.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division en domaines facilite l’attribution des responsabilités et la mesure des résultats.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Gouvernance, Programmes, Vie scolaire, Admissions, RH, Finances, Infrastructures, DSI et Communication.</w:t>
            </w:r>
          </w:p>
        </w:tc>
      </w:tr>
    </w:tbl>
    <w:p>
      <w:pPr>
        <w:pStyle w:val="Heading3"/>
        <w:rPr/>
      </w:pPr>
      <w:r>
        <w:rPr/>
        <w:t>Points développés</w:t>
      </w:r>
    </w:p>
    <w:p>
      <w:pPr>
        <w:pStyle w:val="ListBullet"/>
        <w:numPr>
          <w:ilvl w:val="0"/>
          <w:numId w:val="1"/>
        </w:numPr>
        <w:spacing w:before="0" w:after="20"/>
        <w:ind w:hanging="360" w:start="255"/>
        <w:contextualSpacing/>
        <w:rPr/>
      </w:pPr>
      <w:r>
        <w:rPr>
          <w:sz w:val="18"/>
        </w:rPr>
        <w:t>01 Gouvernance et leadership</w:t>
      </w:r>
    </w:p>
    <w:p>
      <w:pPr>
        <w:pStyle w:val="ListBullet"/>
        <w:numPr>
          <w:ilvl w:val="0"/>
          <w:numId w:val="1"/>
        </w:numPr>
        <w:spacing w:before="0" w:after="20"/>
        <w:ind w:hanging="360" w:start="255"/>
        <w:contextualSpacing/>
        <w:rPr/>
      </w:pPr>
      <w:r>
        <w:rPr>
          <w:sz w:val="18"/>
        </w:rPr>
        <w:t>02 Curriculum et apprentissages</w:t>
      </w:r>
    </w:p>
    <w:p>
      <w:pPr>
        <w:pStyle w:val="ListBullet"/>
        <w:numPr>
          <w:ilvl w:val="0"/>
          <w:numId w:val="1"/>
        </w:numPr>
        <w:spacing w:before="0" w:after="20"/>
        <w:ind w:hanging="360" w:start="255"/>
        <w:contextualSpacing/>
        <w:rPr/>
      </w:pPr>
      <w:r>
        <w:rPr>
          <w:sz w:val="18"/>
        </w:rPr>
        <w:t>03 Bilinguisme et innovation pédagogique</w:t>
      </w:r>
    </w:p>
    <w:p>
      <w:pPr>
        <w:pStyle w:val="ListBullet"/>
        <w:numPr>
          <w:ilvl w:val="0"/>
          <w:numId w:val="1"/>
        </w:numPr>
        <w:spacing w:before="0" w:after="20"/>
        <w:ind w:hanging="360" w:start="255"/>
        <w:contextualSpacing/>
        <w:rPr/>
      </w:pPr>
      <w:r>
        <w:rPr>
          <w:sz w:val="18"/>
        </w:rPr>
        <w:t>04 Bien-être et protection de l’enfant</w:t>
      </w:r>
    </w:p>
    <w:p>
      <w:pPr>
        <w:pStyle w:val="ListBullet"/>
        <w:numPr>
          <w:ilvl w:val="0"/>
          <w:numId w:val="1"/>
        </w:numPr>
        <w:spacing w:before="0" w:after="20"/>
        <w:ind w:hanging="360" w:start="255"/>
        <w:contextualSpacing/>
        <w:rPr/>
      </w:pPr>
      <w:r>
        <w:rPr>
          <w:sz w:val="18"/>
        </w:rPr>
        <w:t>05 Santé, hygiène et sécurité</w:t>
      </w:r>
    </w:p>
    <w:p>
      <w:pPr>
        <w:pStyle w:val="ListBullet"/>
        <w:numPr>
          <w:ilvl w:val="0"/>
          <w:numId w:val="1"/>
        </w:numPr>
        <w:spacing w:before="0" w:after="20"/>
        <w:ind w:hanging="360" w:start="255"/>
        <w:contextualSpacing/>
        <w:rPr/>
      </w:pPr>
      <w:r>
        <w:rPr>
          <w:sz w:val="18"/>
        </w:rPr>
        <w:t>06 Admissions et relation familles</w:t>
      </w:r>
    </w:p>
    <w:p>
      <w:pPr>
        <w:pStyle w:val="ListBullet"/>
        <w:numPr>
          <w:ilvl w:val="0"/>
          <w:numId w:val="1"/>
        </w:numPr>
        <w:spacing w:before="0" w:after="20"/>
        <w:ind w:hanging="360" w:start="255"/>
        <w:contextualSpacing/>
        <w:rPr/>
      </w:pPr>
      <w:r>
        <w:rPr>
          <w:sz w:val="18"/>
        </w:rPr>
        <w:t>07 Ressources humaines et compétences</w:t>
      </w:r>
    </w:p>
    <w:p>
      <w:pPr>
        <w:pStyle w:val="ListBullet"/>
        <w:numPr>
          <w:ilvl w:val="0"/>
          <w:numId w:val="1"/>
        </w:numPr>
        <w:spacing w:before="0" w:after="20"/>
        <w:ind w:hanging="360" w:start="255"/>
        <w:contextualSpacing/>
        <w:rPr/>
      </w:pPr>
      <w:r>
        <w:rPr>
          <w:sz w:val="18"/>
        </w:rPr>
        <w:t>08 Administration et finances</w:t>
      </w:r>
    </w:p>
    <w:p>
      <w:pPr>
        <w:pStyle w:val="ListBullet"/>
        <w:numPr>
          <w:ilvl w:val="0"/>
          <w:numId w:val="1"/>
        </w:numPr>
        <w:spacing w:before="0" w:after="20"/>
        <w:ind w:hanging="360" w:start="255"/>
        <w:contextualSpacing/>
        <w:rPr/>
      </w:pPr>
      <w:r>
        <w:rPr>
          <w:sz w:val="18"/>
        </w:rPr>
        <w:t>09 Infrastructures, logistique et maintenance</w:t>
      </w:r>
    </w:p>
    <w:p>
      <w:pPr>
        <w:pStyle w:val="ListBullet"/>
        <w:numPr>
          <w:ilvl w:val="0"/>
          <w:numId w:val="1"/>
        </w:numPr>
        <w:spacing w:before="0" w:after="20"/>
        <w:ind w:hanging="360" w:start="255"/>
        <w:contextualSpacing/>
        <w:rPr/>
      </w:pPr>
      <w:r>
        <w:rPr>
          <w:sz w:val="18"/>
        </w:rPr>
        <w:t>10 Données, numérique et continuité</w:t>
      </w:r>
    </w:p>
    <w:p>
      <w:pPr>
        <w:pStyle w:val="ListBullet"/>
        <w:numPr>
          <w:ilvl w:val="0"/>
          <w:numId w:val="1"/>
        </w:numPr>
        <w:spacing w:before="0" w:after="20"/>
        <w:ind w:hanging="360" w:start="255"/>
        <w:contextualSpacing/>
        <w:rPr/>
      </w:pPr>
      <w:r>
        <w:rPr>
          <w:sz w:val="18"/>
        </w:rPr>
        <w:t>11 Communication et documentation</w:t>
      </w:r>
    </w:p>
    <w:p>
      <w:pPr>
        <w:pStyle w:val="ListBullet"/>
        <w:numPr>
          <w:ilvl w:val="0"/>
          <w:numId w:val="1"/>
        </w:numPr>
        <w:spacing w:before="0" w:after="20"/>
        <w:ind w:hanging="360" w:start="255"/>
        <w:contextualSpacing/>
        <w:rPr/>
      </w:pPr>
      <w:r>
        <w:rPr>
          <w:sz w:val="18"/>
        </w:rPr>
        <w:t>12 Résultats, satisfaction et amélioration</w:t>
      </w:r>
    </w:p>
    <w:p>
      <w:pPr>
        <w:pStyle w:val="Heading3"/>
        <w:rPr/>
      </w:pPr>
      <w:r>
        <w:rPr/>
        <w:t>Banque de questions-réponses</w:t>
      </w:r>
    </w:p>
    <w:p>
      <w:pPr>
        <w:pStyle w:val="Normal"/>
        <w:keepNext w:val="true"/>
        <w:spacing w:before="40" w:after="0"/>
        <w:ind w:start="85" w:end="85"/>
        <w:rPr/>
      </w:pPr>
      <w:r>
        <w:rPr>
          <w:b/>
          <w:color w:val="0B3D91"/>
          <w:sz w:val="17"/>
        </w:rPr>
        <w:t>Q1. Que présente la section « Les 12 domaines du référentiel qualité » ?</w:t>
      </w:r>
    </w:p>
    <w:p>
      <w:pPr>
        <w:pStyle w:val="Normal"/>
        <w:spacing w:before="0" w:after="40"/>
        <w:ind w:start="255" w:end="85"/>
        <w:rPr/>
      </w:pPr>
      <w:r>
        <w:rPr>
          <w:b/>
          <w:color w:val="D4A017"/>
          <w:sz w:val="17"/>
        </w:rPr>
        <w:t xml:space="preserve">Réponse : </w:t>
      </w:r>
      <w:r>
        <w:rPr>
          <w:color w:val="1F2937"/>
          <w:sz w:val="17"/>
        </w:rPr>
        <w:t>Le référentiel couvre douze domaines allant de la gouvernance aux résultats et à l’amélioration.</w:t>
      </w:r>
    </w:p>
    <w:p>
      <w:pPr>
        <w:pStyle w:val="Normal"/>
        <w:keepNext w:val="true"/>
        <w:spacing w:before="40" w:after="0"/>
        <w:ind w:start="85" w:end="85"/>
        <w:rPr/>
      </w:pPr>
      <w:r>
        <w:rPr>
          <w:b/>
          <w:color w:val="0B3D91"/>
          <w:sz w:val="17"/>
        </w:rPr>
        <w:t>Q2. Quel est l’objectif principal exposé dans « Les 12 domaines du référentiel qualité » ?</w:t>
      </w:r>
    </w:p>
    <w:p>
      <w:pPr>
        <w:pStyle w:val="Normal"/>
        <w:spacing w:before="0" w:after="40"/>
        <w:ind w:start="255" w:end="85"/>
        <w:rPr/>
      </w:pPr>
      <w:r>
        <w:rPr>
          <w:b/>
          <w:color w:val="D4A017"/>
          <w:sz w:val="17"/>
        </w:rPr>
        <w:t xml:space="preserve">Réponse : </w:t>
      </w:r>
      <w:r>
        <w:rPr>
          <w:color w:val="1F2937"/>
          <w:sz w:val="17"/>
        </w:rPr>
        <w:t>Garantir que la qualité est examinée dans toutes les fonctions essentielles de l’école.</w:t>
      </w:r>
    </w:p>
    <w:p>
      <w:pPr>
        <w:pStyle w:val="Normal"/>
        <w:keepNext w:val="true"/>
        <w:spacing w:before="40" w:after="0"/>
        <w:ind w:start="85" w:end="85"/>
        <w:rPr/>
      </w:pPr>
      <w:r>
        <w:rPr>
          <w:b/>
          <w:color w:val="0B3D91"/>
          <w:sz w:val="17"/>
        </w:rPr>
        <w:t>Q3. Quels éléments ou domaines sont couverts par « Les 12 domaines du référentiel qualité » ?</w:t>
      </w:r>
    </w:p>
    <w:p>
      <w:pPr>
        <w:pStyle w:val="Normal"/>
        <w:spacing w:before="0" w:after="40"/>
        <w:ind w:start="255" w:end="85"/>
        <w:rPr/>
      </w:pPr>
      <w:r>
        <w:rPr>
          <w:b/>
          <w:color w:val="D4A017"/>
          <w:sz w:val="17"/>
        </w:rPr>
        <w:t xml:space="preserve">Réponse : </w:t>
      </w:r>
      <w:r>
        <w:rPr>
          <w:color w:val="1F2937"/>
          <w:sz w:val="17"/>
        </w:rPr>
        <w:t>Gouvernance; curriculum; bilinguisme; protection; santé; admissions; RH; administration et finances; infrastructures; numérique; communication; résultats.</w:t>
      </w:r>
    </w:p>
    <w:p>
      <w:pPr>
        <w:pStyle w:val="Normal"/>
        <w:keepNext w:val="true"/>
        <w:spacing w:before="40" w:after="0"/>
        <w:ind w:start="85" w:end="85"/>
        <w:rPr/>
      </w:pPr>
      <w:r>
        <w:rPr>
          <w:b/>
          <w:color w:val="0B3D91"/>
          <w:sz w:val="17"/>
        </w:rPr>
        <w:t>Q4. Qui porte, coordonne ou garantit les éléments présentés dans « Les 12 domaines du référentiel qualité » ?</w:t>
      </w:r>
    </w:p>
    <w:p>
      <w:pPr>
        <w:pStyle w:val="Normal"/>
        <w:spacing w:before="0" w:after="40"/>
        <w:ind w:start="255" w:end="85"/>
        <w:rPr/>
      </w:pPr>
      <w:r>
        <w:rPr>
          <w:b/>
          <w:color w:val="D4A017"/>
          <w:sz w:val="17"/>
        </w:rPr>
        <w:t xml:space="preserve">Réponse : </w:t>
      </w:r>
      <w:r>
        <w:rPr>
          <w:color w:val="1F2937"/>
          <w:sz w:val="17"/>
        </w:rPr>
        <w:t>Le DAQAC coordonne le référentiel avec les responsables de chaque domaine.</w:t>
      </w:r>
    </w:p>
    <w:p>
      <w:pPr>
        <w:pStyle w:val="Normal"/>
        <w:keepNext w:val="true"/>
        <w:spacing w:before="40" w:after="0"/>
        <w:ind w:start="85" w:end="85"/>
        <w:rPr/>
      </w:pPr>
      <w:r>
        <w:rPr>
          <w:b/>
          <w:color w:val="0B3D91"/>
          <w:sz w:val="17"/>
        </w:rPr>
        <w:t>Q5. Comment la section « Les 12 domaines du référentiel qualité » prévoit-elle la mise en œuvre ou le suivi ?</w:t>
      </w:r>
    </w:p>
    <w:p>
      <w:pPr>
        <w:pStyle w:val="Normal"/>
        <w:spacing w:before="0" w:after="40"/>
        <w:ind w:start="255" w:end="85"/>
        <w:rPr/>
      </w:pPr>
      <w:r>
        <w:rPr>
          <w:b/>
          <w:color w:val="D4A017"/>
          <w:sz w:val="17"/>
        </w:rPr>
        <w:t xml:space="preserve">Réponse : </w:t>
      </w:r>
      <w:r>
        <w:rPr>
          <w:color w:val="1F2937"/>
          <w:sz w:val="17"/>
        </w:rPr>
        <w:t>Chaque domaine peut être évalué à partir de critères, preuves, indicateurs et actions.</w:t>
      </w:r>
    </w:p>
    <w:p>
      <w:pPr>
        <w:pStyle w:val="Normal"/>
        <w:keepNext w:val="true"/>
        <w:spacing w:before="40" w:after="0"/>
        <w:ind w:start="85" w:end="85"/>
        <w:rPr/>
      </w:pPr>
      <w:r>
        <w:rPr>
          <w:b/>
          <w:color w:val="0B3D91"/>
          <w:sz w:val="17"/>
        </w:rPr>
        <w:t>Q6. Quelle preuve, référence, règle ou information de statut accompagne « Les 12 domaines du référentiel qualité » ?</w:t>
      </w:r>
    </w:p>
    <w:p>
      <w:pPr>
        <w:pStyle w:val="Normal"/>
        <w:spacing w:before="0" w:after="40"/>
        <w:ind w:start="255" w:end="85"/>
        <w:rPr/>
      </w:pPr>
      <w:r>
        <w:rPr>
          <w:b/>
          <w:color w:val="D4A017"/>
          <w:sz w:val="17"/>
        </w:rPr>
        <w:t xml:space="preserve">Réponse : </w:t>
      </w:r>
      <w:r>
        <w:rPr>
          <w:color w:val="1F2937"/>
          <w:sz w:val="17"/>
        </w:rPr>
        <w:t>La liste numérotée 01 à 12 constitue la cartographie publique du référentiel.</w:t>
      </w:r>
    </w:p>
    <w:p>
      <w:pPr>
        <w:pStyle w:val="Normal"/>
        <w:keepNext w:val="true"/>
        <w:spacing w:before="40" w:after="0"/>
        <w:ind w:start="85" w:end="85"/>
        <w:rPr/>
      </w:pPr>
      <w:r>
        <w:rPr>
          <w:b/>
          <w:color w:val="0B3D91"/>
          <w:sz w:val="17"/>
        </w:rPr>
        <w:t>Q7. Quelles limites de diffusion, de décision ou d’accès sont précisées pour « Les 12 domaines du référentiel qualité » ?</w:t>
      </w:r>
    </w:p>
    <w:p>
      <w:pPr>
        <w:pStyle w:val="Normal"/>
        <w:spacing w:before="0" w:after="40"/>
        <w:ind w:start="255" w:end="85"/>
        <w:rPr/>
      </w:pPr>
      <w:r>
        <w:rPr>
          <w:b/>
          <w:color w:val="D4A017"/>
          <w:sz w:val="17"/>
        </w:rPr>
        <w:t xml:space="preserve">Réponse : </w:t>
      </w:r>
      <w:r>
        <w:rPr>
          <w:color w:val="1F2937"/>
          <w:sz w:val="17"/>
        </w:rPr>
        <w:t>La page ne publie pas les grilles internes détaillées ni les résultats individuels d’audit.</w:t>
      </w:r>
    </w:p>
    <w:p>
      <w:pPr>
        <w:pStyle w:val="Normal"/>
        <w:keepNext w:val="true"/>
        <w:spacing w:before="40" w:after="0"/>
        <w:ind w:start="85" w:end="85"/>
        <w:rPr/>
      </w:pPr>
      <w:r>
        <w:rPr>
          <w:b/>
          <w:color w:val="0B3D91"/>
          <w:sz w:val="17"/>
        </w:rPr>
        <w:t>Q8. À quels publics ou bénéficiaires la section « Les 12 domaines du référentiel qualité » est-elle principalement destinée ?</w:t>
      </w:r>
    </w:p>
    <w:p>
      <w:pPr>
        <w:pStyle w:val="Normal"/>
        <w:spacing w:before="0" w:after="40"/>
        <w:ind w:start="255" w:end="85"/>
        <w:rPr/>
      </w:pPr>
      <w:r>
        <w:rPr>
          <w:b/>
          <w:color w:val="D4A017"/>
          <w:sz w:val="17"/>
        </w:rPr>
        <w:t xml:space="preserve">Réponse : </w:t>
      </w:r>
      <w:r>
        <w:rPr>
          <w:color w:val="1F2937"/>
          <w:sz w:val="17"/>
        </w:rPr>
        <w:t>Tous les acteurs scolaires, les élèves et les familles.</w:t>
      </w:r>
    </w:p>
    <w:p>
      <w:pPr>
        <w:pStyle w:val="Normal"/>
        <w:keepNext w:val="true"/>
        <w:spacing w:before="40" w:after="0"/>
        <w:ind w:start="85" w:end="85"/>
        <w:rPr/>
      </w:pPr>
      <w:r>
        <w:rPr>
          <w:b/>
          <w:color w:val="0B3D91"/>
          <w:sz w:val="17"/>
        </w:rPr>
        <w:t>Q9. À quelles autres rubriques ou fonctions du site « Les 12 domaines du référentiel qualité » est-il relié ?</w:t>
      </w:r>
    </w:p>
    <w:p>
      <w:pPr>
        <w:pStyle w:val="Normal"/>
        <w:spacing w:before="0" w:after="40"/>
        <w:ind w:start="255" w:end="85"/>
        <w:rPr/>
      </w:pPr>
      <w:r>
        <w:rPr>
          <w:b/>
          <w:color w:val="D4A017"/>
          <w:sz w:val="17"/>
        </w:rPr>
        <w:t xml:space="preserve">Réponse : </w:t>
      </w:r>
      <w:r>
        <w:rPr>
          <w:color w:val="1F2937"/>
          <w:sz w:val="17"/>
        </w:rPr>
        <w:t>Lien direct avec les départements institutionnels et les politiques opérationnelles.</w:t>
      </w:r>
    </w:p>
    <w:p>
      <w:pPr>
        <w:pStyle w:val="Normal"/>
        <w:keepNext w:val="true"/>
        <w:spacing w:before="40" w:after="0"/>
        <w:ind w:start="85" w:end="85"/>
        <w:rPr/>
      </w:pPr>
      <w:r>
        <w:rPr>
          <w:b/>
          <w:color w:val="0B3D91"/>
          <w:sz w:val="17"/>
        </w:rPr>
        <w:t>Q10. Quelle action, orientation ou résultat concret le lecteur peut-il retenir de « Les 12 domaines du référentiel qualité » ?</w:t>
      </w:r>
    </w:p>
    <w:p>
      <w:pPr>
        <w:pStyle w:val="Normal"/>
        <w:spacing w:before="0" w:after="40"/>
        <w:ind w:start="255" w:end="85"/>
        <w:rPr/>
      </w:pPr>
      <w:r>
        <w:rPr>
          <w:b/>
          <w:color w:val="D4A017"/>
          <w:sz w:val="17"/>
        </w:rPr>
        <w:t xml:space="preserve">Réponse : </w:t>
      </w:r>
      <w:r>
        <w:rPr>
          <w:color w:val="1F2937"/>
          <w:sz w:val="17"/>
        </w:rPr>
        <w:t>Identifier le domaine concerné avant d’évaluer, signaler ou améliorer une situation.</w:t>
      </w:r>
    </w:p>
    <w:p>
      <w:pPr>
        <w:pStyle w:val="Normal"/>
        <w:rPr/>
      </w:pPr>
      <w:r>
        <w:rPr/>
      </w:r>
      <w:r>
        <w:br w:type="page"/>
      </w:r>
    </w:p>
    <w:p>
      <w:pPr>
        <w:pStyle w:val="Heading2"/>
        <w:spacing w:before="0" w:after="80"/>
        <w:rPr/>
      </w:pPr>
      <w:r>
        <w:rPr/>
        <w:t>FICHE 18 — Cycle d’amélioration</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cycle comprend Planifier, Mettre en œuvre, Vérifier et Améliorer.</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décrit une boucle continue plutôt qu’une intervention ponctuelle.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 cycle aide l’école à apprendre et à éviter la répétition des écarts.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audits, indicateurs, actions correctives et suivi.</w:t>
            </w:r>
          </w:p>
        </w:tc>
      </w:tr>
    </w:tbl>
    <w:p>
      <w:pPr>
        <w:pStyle w:val="Heading3"/>
        <w:rPr/>
      </w:pPr>
      <w:r>
        <w:rPr/>
        <w:t>Points développés</w:t>
      </w:r>
    </w:p>
    <w:p>
      <w:pPr>
        <w:pStyle w:val="ListBullet"/>
        <w:numPr>
          <w:ilvl w:val="0"/>
          <w:numId w:val="1"/>
        </w:numPr>
        <w:spacing w:before="0" w:after="20"/>
        <w:ind w:hanging="360" w:start="255"/>
        <w:contextualSpacing/>
        <w:rPr/>
      </w:pPr>
      <w:r>
        <w:rPr>
          <w:sz w:val="18"/>
        </w:rPr>
        <w:t>Planifier</w:t>
      </w:r>
    </w:p>
    <w:p>
      <w:pPr>
        <w:pStyle w:val="ListBullet"/>
        <w:numPr>
          <w:ilvl w:val="0"/>
          <w:numId w:val="1"/>
        </w:numPr>
        <w:spacing w:before="0" w:after="20"/>
        <w:ind w:hanging="360" w:start="255"/>
        <w:contextualSpacing/>
        <w:rPr/>
      </w:pPr>
      <w:r>
        <w:rPr>
          <w:sz w:val="18"/>
        </w:rPr>
        <w:t>Mettre en œuvre</w:t>
      </w:r>
    </w:p>
    <w:p>
      <w:pPr>
        <w:pStyle w:val="ListBullet"/>
        <w:numPr>
          <w:ilvl w:val="0"/>
          <w:numId w:val="1"/>
        </w:numPr>
        <w:spacing w:before="0" w:after="20"/>
        <w:ind w:hanging="360" w:start="255"/>
        <w:contextualSpacing/>
        <w:rPr/>
      </w:pPr>
      <w:r>
        <w:rPr>
          <w:sz w:val="18"/>
        </w:rPr>
        <w:t>Vérifier</w:t>
      </w:r>
    </w:p>
    <w:p>
      <w:pPr>
        <w:pStyle w:val="ListBullet"/>
        <w:numPr>
          <w:ilvl w:val="0"/>
          <w:numId w:val="1"/>
        </w:numPr>
        <w:spacing w:before="0" w:after="20"/>
        <w:ind w:hanging="360" w:start="255"/>
        <w:contextualSpacing/>
        <w:rPr/>
      </w:pPr>
      <w:r>
        <w:rPr>
          <w:sz w:val="18"/>
        </w:rPr>
        <w:t>Améliorer</w:t>
      </w:r>
    </w:p>
    <w:p>
      <w:pPr>
        <w:pStyle w:val="Heading3"/>
        <w:rPr/>
      </w:pPr>
      <w:r>
        <w:rPr/>
        <w:t>Banque de questions-réponses</w:t>
      </w:r>
    </w:p>
    <w:p>
      <w:pPr>
        <w:pStyle w:val="Normal"/>
        <w:keepNext w:val="true"/>
        <w:spacing w:before="40" w:after="0"/>
        <w:ind w:start="85" w:end="85"/>
        <w:rPr/>
      </w:pPr>
      <w:r>
        <w:rPr>
          <w:b/>
          <w:color w:val="0B3D91"/>
          <w:sz w:val="17"/>
        </w:rPr>
        <w:t>Q1. Que présente la section « Cycle d’amélioration » ?</w:t>
      </w:r>
    </w:p>
    <w:p>
      <w:pPr>
        <w:pStyle w:val="Normal"/>
        <w:spacing w:before="0" w:after="40"/>
        <w:ind w:start="255" w:end="85"/>
        <w:rPr/>
      </w:pPr>
      <w:r>
        <w:rPr>
          <w:b/>
          <w:color w:val="D4A017"/>
          <w:sz w:val="17"/>
        </w:rPr>
        <w:t xml:space="preserve">Réponse : </w:t>
      </w:r>
      <w:r>
        <w:rPr>
          <w:color w:val="1F2937"/>
          <w:sz w:val="17"/>
        </w:rPr>
        <w:t>Le cycle comprend Planifier, Mettre en œuvre, Vérifier et Améliorer.</w:t>
      </w:r>
    </w:p>
    <w:p>
      <w:pPr>
        <w:pStyle w:val="Normal"/>
        <w:keepNext w:val="true"/>
        <w:spacing w:before="40" w:after="0"/>
        <w:ind w:start="85" w:end="85"/>
        <w:rPr/>
      </w:pPr>
      <w:r>
        <w:rPr>
          <w:b/>
          <w:color w:val="0B3D91"/>
          <w:sz w:val="17"/>
        </w:rPr>
        <w:t>Q2. Quel est l’objectif principal exposé dans « Cycle d’amélioration » ?</w:t>
      </w:r>
    </w:p>
    <w:p>
      <w:pPr>
        <w:pStyle w:val="Normal"/>
        <w:spacing w:before="0" w:after="40"/>
        <w:ind w:start="255" w:end="85"/>
        <w:rPr/>
      </w:pPr>
      <w:r>
        <w:rPr>
          <w:b/>
          <w:color w:val="D4A017"/>
          <w:sz w:val="17"/>
        </w:rPr>
        <w:t xml:space="preserve">Réponse : </w:t>
      </w:r>
      <w:r>
        <w:rPr>
          <w:color w:val="1F2937"/>
          <w:sz w:val="17"/>
        </w:rPr>
        <w:t>Transformer les objectifs en actions suivies puis en corrections vérifiées.</w:t>
      </w:r>
    </w:p>
    <w:p>
      <w:pPr>
        <w:pStyle w:val="Normal"/>
        <w:keepNext w:val="true"/>
        <w:spacing w:before="40" w:after="0"/>
        <w:ind w:start="85" w:end="85"/>
        <w:rPr/>
      </w:pPr>
      <w:r>
        <w:rPr>
          <w:b/>
          <w:color w:val="0B3D91"/>
          <w:sz w:val="17"/>
        </w:rPr>
        <w:t>Q3. Quels éléments ou domaines sont couverts par « Cycle d’amélioration » ?</w:t>
      </w:r>
    </w:p>
    <w:p>
      <w:pPr>
        <w:pStyle w:val="Normal"/>
        <w:spacing w:before="0" w:after="40"/>
        <w:ind w:start="255" w:end="85"/>
        <w:rPr/>
      </w:pPr>
      <w:r>
        <w:rPr>
          <w:b/>
          <w:color w:val="D4A017"/>
          <w:sz w:val="17"/>
        </w:rPr>
        <w:t xml:space="preserve">Réponse : </w:t>
      </w:r>
      <w:r>
        <w:rPr>
          <w:color w:val="1F2937"/>
          <w:sz w:val="17"/>
        </w:rPr>
        <w:t>Objectifs, critères, responsables, ressources, traçabilité, indicateurs, audits, causes, corrections et délais.</w:t>
      </w:r>
    </w:p>
    <w:p>
      <w:pPr>
        <w:pStyle w:val="Normal"/>
        <w:keepNext w:val="true"/>
        <w:spacing w:before="40" w:after="0"/>
        <w:ind w:start="85" w:end="85"/>
        <w:rPr/>
      </w:pPr>
      <w:r>
        <w:rPr>
          <w:b/>
          <w:color w:val="0B3D91"/>
          <w:sz w:val="17"/>
        </w:rPr>
        <w:t>Q4. Qui porte, coordonne ou garantit les éléments présentés dans « Cycle d’amélioration » ?</w:t>
      </w:r>
    </w:p>
    <w:p>
      <w:pPr>
        <w:pStyle w:val="Normal"/>
        <w:spacing w:before="0" w:after="40"/>
        <w:ind w:start="255" w:end="85"/>
        <w:rPr/>
      </w:pPr>
      <w:r>
        <w:rPr>
          <w:b/>
          <w:color w:val="D4A017"/>
          <w:sz w:val="17"/>
        </w:rPr>
        <w:t xml:space="preserve">Réponse : </w:t>
      </w:r>
      <w:r>
        <w:rPr>
          <w:color w:val="1F2937"/>
          <w:sz w:val="17"/>
        </w:rPr>
        <w:t>Chaque responsable met en œuvre dans son domaine sous coordination qualité.</w:t>
      </w:r>
    </w:p>
    <w:p>
      <w:pPr>
        <w:pStyle w:val="Normal"/>
        <w:keepNext w:val="true"/>
        <w:spacing w:before="40" w:after="0"/>
        <w:ind w:start="85" w:end="85"/>
        <w:rPr/>
      </w:pPr>
      <w:r>
        <w:rPr>
          <w:b/>
          <w:color w:val="0B3D91"/>
          <w:sz w:val="17"/>
        </w:rPr>
        <w:t>Q5. Comment la section « Cycle d’amélioration » prévoit-elle la mise en œuvre ou le suivi ?</w:t>
      </w:r>
    </w:p>
    <w:p>
      <w:pPr>
        <w:pStyle w:val="Normal"/>
        <w:spacing w:before="0" w:after="40"/>
        <w:ind w:start="255" w:end="85"/>
        <w:rPr/>
      </w:pPr>
      <w:r>
        <w:rPr>
          <w:b/>
          <w:color w:val="D4A017"/>
          <w:sz w:val="17"/>
        </w:rPr>
        <w:t xml:space="preserve">Réponse : </w:t>
      </w:r>
      <w:r>
        <w:rPr>
          <w:color w:val="1F2937"/>
          <w:sz w:val="17"/>
        </w:rPr>
        <w:t>Le cycle commence par la planification, passe par l’exécution et la vérification, puis conduit à l’amélioration.</w:t>
      </w:r>
    </w:p>
    <w:p>
      <w:pPr>
        <w:pStyle w:val="Normal"/>
        <w:keepNext w:val="true"/>
        <w:spacing w:before="40" w:after="0"/>
        <w:ind w:start="85" w:end="85"/>
        <w:rPr/>
      </w:pPr>
      <w:r>
        <w:rPr>
          <w:b/>
          <w:color w:val="0B3D91"/>
          <w:sz w:val="17"/>
        </w:rPr>
        <w:t>Q6. Quelle preuve, référence, règle ou information de statut accompagne « Cycle d’amélioration » ?</w:t>
      </w:r>
    </w:p>
    <w:p>
      <w:pPr>
        <w:pStyle w:val="Normal"/>
        <w:spacing w:before="0" w:after="40"/>
        <w:ind w:start="255" w:end="85"/>
        <w:rPr/>
      </w:pPr>
      <w:r>
        <w:rPr>
          <w:b/>
          <w:color w:val="D4A017"/>
          <w:sz w:val="17"/>
        </w:rPr>
        <w:t xml:space="preserve">Réponse : </w:t>
      </w:r>
      <w:r>
        <w:rPr>
          <w:color w:val="1F2937"/>
          <w:sz w:val="17"/>
        </w:rPr>
        <w:t>Les objectifs, preuves attendues, indicateurs, audits et vérifications d’efficacité documentent le cycle.</w:t>
      </w:r>
    </w:p>
    <w:p>
      <w:pPr>
        <w:pStyle w:val="Normal"/>
        <w:keepNext w:val="true"/>
        <w:spacing w:before="40" w:after="0"/>
        <w:ind w:start="85" w:end="85"/>
        <w:rPr/>
      </w:pPr>
      <w:r>
        <w:rPr>
          <w:b/>
          <w:color w:val="0B3D91"/>
          <w:sz w:val="17"/>
        </w:rPr>
        <w:t>Q7. Quelles limites de diffusion, de décision ou d’accès sont précisées pour « Cycle d’amélioration » ?</w:t>
      </w:r>
    </w:p>
    <w:p>
      <w:pPr>
        <w:pStyle w:val="Normal"/>
        <w:spacing w:before="0" w:after="40"/>
        <w:ind w:start="255" w:end="85"/>
        <w:rPr/>
      </w:pPr>
      <w:r>
        <w:rPr>
          <w:b/>
          <w:color w:val="D4A017"/>
          <w:sz w:val="17"/>
        </w:rPr>
        <w:t xml:space="preserve">Réponse : </w:t>
      </w:r>
      <w:r>
        <w:rPr>
          <w:color w:val="1F2937"/>
          <w:sz w:val="17"/>
        </w:rPr>
        <w:t>Aucune étape ne doit être isolée; une action sans vérification ne clôt pas le cycle.</w:t>
      </w:r>
    </w:p>
    <w:p>
      <w:pPr>
        <w:pStyle w:val="Normal"/>
        <w:keepNext w:val="true"/>
        <w:spacing w:before="40" w:after="0"/>
        <w:ind w:start="85" w:end="85"/>
        <w:rPr/>
      </w:pPr>
      <w:r>
        <w:rPr>
          <w:b/>
          <w:color w:val="0B3D91"/>
          <w:sz w:val="17"/>
        </w:rPr>
        <w:t>Q8. À quels publics ou bénéficiaires la section « Cycle d’amélioration » est-elle principalement destinée ?</w:t>
      </w:r>
    </w:p>
    <w:p>
      <w:pPr>
        <w:pStyle w:val="Normal"/>
        <w:spacing w:before="0" w:after="40"/>
        <w:ind w:start="255" w:end="85"/>
        <w:rPr/>
      </w:pPr>
      <w:r>
        <w:rPr>
          <w:b/>
          <w:color w:val="D4A017"/>
          <w:sz w:val="17"/>
        </w:rPr>
        <w:t xml:space="preserve">Réponse : </w:t>
      </w:r>
      <w:r>
        <w:rPr>
          <w:color w:val="1F2937"/>
          <w:sz w:val="17"/>
        </w:rPr>
        <w:t>Tous les services, avec bénéfice final pour les élèves et familles.</w:t>
      </w:r>
    </w:p>
    <w:p>
      <w:pPr>
        <w:pStyle w:val="Normal"/>
        <w:keepNext w:val="true"/>
        <w:spacing w:before="40" w:after="0"/>
        <w:ind w:start="85" w:end="85"/>
        <w:rPr/>
      </w:pPr>
      <w:r>
        <w:rPr>
          <w:b/>
          <w:color w:val="0B3D91"/>
          <w:sz w:val="17"/>
        </w:rPr>
        <w:t>Q9. À quelles autres rubriques ou fonctions du site « Cycle d’amélioration » est-il relié ?</w:t>
      </w:r>
    </w:p>
    <w:p>
      <w:pPr>
        <w:pStyle w:val="Normal"/>
        <w:spacing w:before="0" w:after="40"/>
        <w:ind w:start="255" w:end="85"/>
        <w:rPr/>
      </w:pPr>
      <w:r>
        <w:rPr>
          <w:b/>
          <w:color w:val="D4A017"/>
          <w:sz w:val="17"/>
        </w:rPr>
        <w:t xml:space="preserve">Réponse : </w:t>
      </w:r>
      <w:r>
        <w:rPr>
          <w:color w:val="1F2937"/>
          <w:sz w:val="17"/>
        </w:rPr>
        <w:t>Lien avec l’engagement Amélioration, les plans d’action et la redevabilité.</w:t>
      </w:r>
    </w:p>
    <w:p>
      <w:pPr>
        <w:pStyle w:val="Normal"/>
        <w:keepNext w:val="true"/>
        <w:spacing w:before="40" w:after="0"/>
        <w:ind w:start="85" w:end="85"/>
        <w:rPr/>
      </w:pPr>
      <w:r>
        <w:rPr>
          <w:b/>
          <w:color w:val="0B3D91"/>
          <w:sz w:val="17"/>
        </w:rPr>
        <w:t>Q10. Quelle action, orientation ou résultat concret le lecteur peut-il retenir de « Cycle d’amélioration » ?</w:t>
      </w:r>
    </w:p>
    <w:p>
      <w:pPr>
        <w:pStyle w:val="Normal"/>
        <w:spacing w:before="0" w:after="40"/>
        <w:ind w:start="255" w:end="85"/>
        <w:rPr/>
      </w:pPr>
      <w:r>
        <w:rPr>
          <w:b/>
          <w:color w:val="D4A017"/>
          <w:sz w:val="17"/>
        </w:rPr>
        <w:t xml:space="preserve">Réponse : </w:t>
      </w:r>
      <w:r>
        <w:rPr>
          <w:color w:val="1F2937"/>
          <w:sz w:val="17"/>
        </w:rPr>
        <w:t>Appliquer les quatre étapes à chaque processus ou problème significatif.</w:t>
      </w:r>
    </w:p>
    <w:p>
      <w:pPr>
        <w:pStyle w:val="Normal"/>
        <w:rPr/>
      </w:pPr>
      <w:r>
        <w:rPr/>
      </w:r>
      <w:r>
        <w:br w:type="page"/>
      </w:r>
    </w:p>
    <w:p>
      <w:pPr>
        <w:pStyle w:val="Heading2"/>
        <w:spacing w:before="0" w:after="80"/>
        <w:rPr/>
      </w:pPr>
      <w:r>
        <w:rPr/>
        <w:t>FICHE 19 — Planifier</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Planifier consiste à définir les objectifs, critères, responsables et preuves attendues.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correspond à la première étape indispensable du cycle.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planification claire réduit les ambiguïtés et facilite le contrôle.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objectifs stratégiques, responsabilités et indicateurs.</w:t>
            </w:r>
          </w:p>
        </w:tc>
      </w:tr>
    </w:tbl>
    <w:p>
      <w:pPr>
        <w:pStyle w:val="Heading3"/>
        <w:rPr/>
      </w:pPr>
      <w:r>
        <w:rPr/>
        <w:t>Points développés</w:t>
      </w:r>
    </w:p>
    <w:p>
      <w:pPr>
        <w:pStyle w:val="ListBullet"/>
        <w:numPr>
          <w:ilvl w:val="0"/>
          <w:numId w:val="1"/>
        </w:numPr>
        <w:spacing w:before="0" w:after="20"/>
        <w:ind w:hanging="360" w:start="255"/>
        <w:contextualSpacing/>
        <w:rPr/>
      </w:pPr>
      <w:r>
        <w:rPr>
          <w:sz w:val="18"/>
        </w:rPr>
        <w:t>Objectifs</w:t>
      </w:r>
    </w:p>
    <w:p>
      <w:pPr>
        <w:pStyle w:val="ListBullet"/>
        <w:numPr>
          <w:ilvl w:val="0"/>
          <w:numId w:val="1"/>
        </w:numPr>
        <w:spacing w:before="0" w:after="20"/>
        <w:ind w:hanging="360" w:start="255"/>
        <w:contextualSpacing/>
        <w:rPr/>
      </w:pPr>
      <w:r>
        <w:rPr>
          <w:sz w:val="18"/>
        </w:rPr>
        <w:t>Critères</w:t>
      </w:r>
    </w:p>
    <w:p>
      <w:pPr>
        <w:pStyle w:val="ListBullet"/>
        <w:numPr>
          <w:ilvl w:val="0"/>
          <w:numId w:val="1"/>
        </w:numPr>
        <w:spacing w:before="0" w:after="20"/>
        <w:ind w:hanging="360" w:start="255"/>
        <w:contextualSpacing/>
        <w:rPr/>
      </w:pPr>
      <w:r>
        <w:rPr>
          <w:sz w:val="18"/>
        </w:rPr>
        <w:t>Responsables</w:t>
      </w:r>
    </w:p>
    <w:p>
      <w:pPr>
        <w:pStyle w:val="ListBullet"/>
        <w:numPr>
          <w:ilvl w:val="0"/>
          <w:numId w:val="1"/>
        </w:numPr>
        <w:spacing w:before="0" w:after="20"/>
        <w:ind w:hanging="360" w:start="255"/>
        <w:contextualSpacing/>
        <w:rPr/>
      </w:pPr>
      <w:r>
        <w:rPr>
          <w:sz w:val="18"/>
        </w:rPr>
        <w:t>Preuves attendues</w:t>
      </w:r>
    </w:p>
    <w:p>
      <w:pPr>
        <w:pStyle w:val="Heading3"/>
        <w:rPr/>
      </w:pPr>
      <w:r>
        <w:rPr/>
        <w:t>Banque de questions-réponses</w:t>
      </w:r>
    </w:p>
    <w:p>
      <w:pPr>
        <w:pStyle w:val="Normal"/>
        <w:keepNext w:val="true"/>
        <w:spacing w:before="40" w:after="0"/>
        <w:ind w:start="85" w:end="85"/>
        <w:rPr/>
      </w:pPr>
      <w:r>
        <w:rPr>
          <w:b/>
          <w:color w:val="0B3D91"/>
          <w:sz w:val="17"/>
        </w:rPr>
        <w:t>Q1. Que présente la section « Planifier » ?</w:t>
      </w:r>
    </w:p>
    <w:p>
      <w:pPr>
        <w:pStyle w:val="Normal"/>
        <w:spacing w:before="0" w:after="40"/>
        <w:ind w:start="255" w:end="85"/>
        <w:rPr/>
      </w:pPr>
      <w:r>
        <w:rPr>
          <w:b/>
          <w:color w:val="D4A017"/>
          <w:sz w:val="17"/>
        </w:rPr>
        <w:t xml:space="preserve">Réponse : </w:t>
      </w:r>
      <w:r>
        <w:rPr>
          <w:color w:val="1F2937"/>
          <w:sz w:val="17"/>
        </w:rPr>
        <w:t>Planifier consiste à définir les objectifs, critères, responsables et preuves attendues.</w:t>
      </w:r>
    </w:p>
    <w:p>
      <w:pPr>
        <w:pStyle w:val="Normal"/>
        <w:keepNext w:val="true"/>
        <w:spacing w:before="40" w:after="0"/>
        <w:ind w:start="85" w:end="85"/>
        <w:rPr/>
      </w:pPr>
      <w:r>
        <w:rPr>
          <w:b/>
          <w:color w:val="0B3D91"/>
          <w:sz w:val="17"/>
        </w:rPr>
        <w:t>Q2. Quel est l’objectif principal exposé dans « Planifier » ?</w:t>
      </w:r>
    </w:p>
    <w:p>
      <w:pPr>
        <w:pStyle w:val="Normal"/>
        <w:spacing w:before="0" w:after="40"/>
        <w:ind w:start="255" w:end="85"/>
        <w:rPr/>
      </w:pPr>
      <w:r>
        <w:rPr>
          <w:b/>
          <w:color w:val="D4A017"/>
          <w:sz w:val="17"/>
        </w:rPr>
        <w:t xml:space="preserve">Réponse : </w:t>
      </w:r>
      <w:r>
        <w:rPr>
          <w:color w:val="1F2937"/>
          <w:sz w:val="17"/>
        </w:rPr>
        <w:t>Préparer l’action avant son exécution et clarifier ce qui sera vérifié.</w:t>
      </w:r>
    </w:p>
    <w:p>
      <w:pPr>
        <w:pStyle w:val="Normal"/>
        <w:keepNext w:val="true"/>
        <w:spacing w:before="40" w:after="0"/>
        <w:ind w:start="85" w:end="85"/>
        <w:rPr/>
      </w:pPr>
      <w:r>
        <w:rPr>
          <w:b/>
          <w:color w:val="0B3D91"/>
          <w:sz w:val="17"/>
        </w:rPr>
        <w:t>Q3. Quels éléments ou domaines sont couverts par « Planifier » ?</w:t>
      </w:r>
    </w:p>
    <w:p>
      <w:pPr>
        <w:pStyle w:val="Normal"/>
        <w:spacing w:before="0" w:after="40"/>
        <w:ind w:start="255" w:end="85"/>
        <w:rPr/>
      </w:pPr>
      <w:r>
        <w:rPr>
          <w:b/>
          <w:color w:val="D4A017"/>
          <w:sz w:val="17"/>
        </w:rPr>
        <w:t xml:space="preserve">Réponse : </w:t>
      </w:r>
      <w:r>
        <w:rPr>
          <w:color w:val="1F2937"/>
          <w:sz w:val="17"/>
        </w:rPr>
        <w:t>Objectifs, critères, responsabilités et preuves.</w:t>
      </w:r>
    </w:p>
    <w:p>
      <w:pPr>
        <w:pStyle w:val="Normal"/>
        <w:keepNext w:val="true"/>
        <w:spacing w:before="40" w:after="0"/>
        <w:ind w:start="85" w:end="85"/>
        <w:rPr/>
      </w:pPr>
      <w:r>
        <w:rPr>
          <w:b/>
          <w:color w:val="0B3D91"/>
          <w:sz w:val="17"/>
        </w:rPr>
        <w:t>Q4. Qui porte, coordonne ou garantit les éléments présentés dans « Planifier » ?</w:t>
      </w:r>
    </w:p>
    <w:p>
      <w:pPr>
        <w:pStyle w:val="Normal"/>
        <w:spacing w:before="0" w:after="40"/>
        <w:ind w:start="255" w:end="85"/>
        <w:rPr/>
      </w:pPr>
      <w:r>
        <w:rPr>
          <w:b/>
          <w:color w:val="D4A017"/>
          <w:sz w:val="17"/>
        </w:rPr>
        <w:t xml:space="preserve">Réponse : </w:t>
      </w:r>
      <w:r>
        <w:rPr>
          <w:color w:val="1F2937"/>
          <w:sz w:val="17"/>
        </w:rPr>
        <w:t>Le responsable du processus planifie avec les acteurs concernés.</w:t>
      </w:r>
    </w:p>
    <w:p>
      <w:pPr>
        <w:pStyle w:val="Normal"/>
        <w:keepNext w:val="true"/>
        <w:spacing w:before="40" w:after="0"/>
        <w:ind w:start="85" w:end="85"/>
        <w:rPr/>
      </w:pPr>
      <w:r>
        <w:rPr>
          <w:b/>
          <w:color w:val="0B3D91"/>
          <w:sz w:val="17"/>
        </w:rPr>
        <w:t>Q5. Comment la section « Planifier » prévoit-elle la mise en œuvre ou le suivi ?</w:t>
      </w:r>
    </w:p>
    <w:p>
      <w:pPr>
        <w:pStyle w:val="Normal"/>
        <w:spacing w:before="0" w:after="40"/>
        <w:ind w:start="255" w:end="85"/>
        <w:rPr/>
      </w:pPr>
      <w:r>
        <w:rPr>
          <w:b/>
          <w:color w:val="D4A017"/>
          <w:sz w:val="17"/>
        </w:rPr>
        <w:t xml:space="preserve">Réponse : </w:t>
      </w:r>
      <w:r>
        <w:rPr>
          <w:color w:val="1F2937"/>
          <w:sz w:val="17"/>
        </w:rPr>
        <w:t>Les attentes et moyens de vérification sont définis en amont.</w:t>
      </w:r>
    </w:p>
    <w:p>
      <w:pPr>
        <w:pStyle w:val="Normal"/>
        <w:keepNext w:val="true"/>
        <w:spacing w:before="40" w:after="0"/>
        <w:ind w:start="85" w:end="85"/>
        <w:rPr/>
      </w:pPr>
      <w:r>
        <w:rPr>
          <w:b/>
          <w:color w:val="0B3D91"/>
          <w:sz w:val="17"/>
        </w:rPr>
        <w:t>Q6. Quelle preuve, référence, règle ou information de statut accompagne « Planifier » ?</w:t>
      </w:r>
    </w:p>
    <w:p>
      <w:pPr>
        <w:pStyle w:val="Normal"/>
        <w:spacing w:before="0" w:after="40"/>
        <w:ind w:start="255" w:end="85"/>
        <w:rPr/>
      </w:pPr>
      <w:r>
        <w:rPr>
          <w:b/>
          <w:color w:val="D4A017"/>
          <w:sz w:val="17"/>
        </w:rPr>
        <w:t xml:space="preserve">Réponse : </w:t>
      </w:r>
      <w:r>
        <w:rPr>
          <w:color w:val="1F2937"/>
          <w:sz w:val="17"/>
        </w:rPr>
        <w:t>Le plan, les critères et les preuves attendues constituent la trace initiale.</w:t>
      </w:r>
    </w:p>
    <w:p>
      <w:pPr>
        <w:pStyle w:val="Normal"/>
        <w:keepNext w:val="true"/>
        <w:spacing w:before="40" w:after="0"/>
        <w:ind w:start="85" w:end="85"/>
        <w:rPr/>
      </w:pPr>
      <w:r>
        <w:rPr>
          <w:b/>
          <w:color w:val="0B3D91"/>
          <w:sz w:val="17"/>
        </w:rPr>
        <w:t>Q7. Quelles limites de diffusion, de décision ou d’accès sont précisées pour « Planifier » ?</w:t>
      </w:r>
    </w:p>
    <w:p>
      <w:pPr>
        <w:pStyle w:val="Normal"/>
        <w:spacing w:before="0" w:after="40"/>
        <w:ind w:start="255" w:end="85"/>
        <w:rPr/>
      </w:pPr>
      <w:r>
        <w:rPr>
          <w:b/>
          <w:color w:val="D4A017"/>
          <w:sz w:val="17"/>
        </w:rPr>
        <w:t xml:space="preserve">Réponse : </w:t>
      </w:r>
      <w:r>
        <w:rPr>
          <w:color w:val="1F2937"/>
          <w:sz w:val="17"/>
        </w:rPr>
        <w:t>Une action insuffisamment planifiée risque de ne pas être mesurable.</w:t>
      </w:r>
    </w:p>
    <w:p>
      <w:pPr>
        <w:pStyle w:val="Normal"/>
        <w:keepNext w:val="true"/>
        <w:spacing w:before="40" w:after="0"/>
        <w:ind w:start="85" w:end="85"/>
        <w:rPr/>
      </w:pPr>
      <w:r>
        <w:rPr>
          <w:b/>
          <w:color w:val="0B3D91"/>
          <w:sz w:val="17"/>
        </w:rPr>
        <w:t>Q8. À quels publics ou bénéficiaires la section « Planifier » est-elle principalement destinée ?</w:t>
      </w:r>
    </w:p>
    <w:p>
      <w:pPr>
        <w:pStyle w:val="Normal"/>
        <w:spacing w:before="0" w:after="40"/>
        <w:ind w:start="255" w:end="85"/>
        <w:rPr/>
      </w:pPr>
      <w:r>
        <w:rPr>
          <w:b/>
          <w:color w:val="D4A017"/>
          <w:sz w:val="17"/>
        </w:rPr>
        <w:t xml:space="preserve">Réponse : </w:t>
      </w:r>
      <w:r>
        <w:rPr>
          <w:color w:val="1F2937"/>
          <w:sz w:val="17"/>
        </w:rPr>
        <w:t>Services chargés de mettre en œuvre les activités scolaires.</w:t>
      </w:r>
    </w:p>
    <w:p>
      <w:pPr>
        <w:pStyle w:val="Normal"/>
        <w:keepNext w:val="true"/>
        <w:spacing w:before="40" w:after="0"/>
        <w:ind w:start="85" w:end="85"/>
        <w:rPr/>
      </w:pPr>
      <w:r>
        <w:rPr>
          <w:b/>
          <w:color w:val="0B3D91"/>
          <w:sz w:val="17"/>
        </w:rPr>
        <w:t>Q9. À quelles autres rubriques ou fonctions du site « Planifier » est-il relié ?</w:t>
      </w:r>
    </w:p>
    <w:p>
      <w:pPr>
        <w:pStyle w:val="Normal"/>
        <w:spacing w:before="0" w:after="40"/>
        <w:ind w:start="255" w:end="85"/>
        <w:rPr/>
      </w:pPr>
      <w:r>
        <w:rPr>
          <w:b/>
          <w:color w:val="D4A017"/>
          <w:sz w:val="17"/>
        </w:rPr>
        <w:t xml:space="preserve">Réponse : </w:t>
      </w:r>
      <w:r>
        <w:rPr>
          <w:color w:val="1F2937"/>
          <w:sz w:val="17"/>
        </w:rPr>
        <w:t>Lien avec Mettre en œuvre et Vérifier.</w:t>
      </w:r>
    </w:p>
    <w:p>
      <w:pPr>
        <w:pStyle w:val="Normal"/>
        <w:keepNext w:val="true"/>
        <w:spacing w:before="40" w:after="0"/>
        <w:ind w:start="85" w:end="85"/>
        <w:rPr/>
      </w:pPr>
      <w:r>
        <w:rPr>
          <w:b/>
          <w:color w:val="0B3D91"/>
          <w:sz w:val="17"/>
        </w:rPr>
        <w:t>Q10. Quelle action, orientation ou résultat concret le lecteur peut-il retenir de « Planifier » ?</w:t>
      </w:r>
    </w:p>
    <w:p>
      <w:pPr>
        <w:pStyle w:val="Normal"/>
        <w:spacing w:before="0" w:after="40"/>
        <w:ind w:start="255" w:end="85"/>
        <w:rPr/>
      </w:pPr>
      <w:r>
        <w:rPr>
          <w:b/>
          <w:color w:val="D4A017"/>
          <w:sz w:val="17"/>
        </w:rPr>
        <w:t xml:space="preserve">Réponse : </w:t>
      </w:r>
      <w:r>
        <w:rPr>
          <w:color w:val="1F2937"/>
          <w:sz w:val="17"/>
        </w:rPr>
        <w:t>Formuler clairement ce qui doit être atteint, par qui et avec quelles preuves.</w:t>
      </w:r>
    </w:p>
    <w:p>
      <w:pPr>
        <w:pStyle w:val="Normal"/>
        <w:rPr/>
      </w:pPr>
      <w:r>
        <w:rPr/>
      </w:r>
      <w:r>
        <w:br w:type="page"/>
      </w:r>
    </w:p>
    <w:p>
      <w:pPr>
        <w:pStyle w:val="Heading2"/>
        <w:spacing w:before="0" w:after="80"/>
        <w:rPr/>
      </w:pPr>
      <w:r>
        <w:rPr/>
        <w:t>FICHE 20 — Mettre en œuvre</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Mettre en œuvre couvre les actions, ressources, accompagnement et traçabilité.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nomme la phase concrète du cycle.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assure que la qualité se traduit en pratiques et non seulement en documents.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ressources humaines, logistique, numérique et pédagogie.</w:t>
            </w:r>
          </w:p>
        </w:tc>
      </w:tr>
    </w:tbl>
    <w:p>
      <w:pPr>
        <w:pStyle w:val="Heading3"/>
        <w:rPr/>
      </w:pPr>
      <w:r>
        <w:rPr/>
        <w:t>Points développés</w:t>
      </w:r>
    </w:p>
    <w:p>
      <w:pPr>
        <w:pStyle w:val="ListBullet"/>
        <w:numPr>
          <w:ilvl w:val="0"/>
          <w:numId w:val="1"/>
        </w:numPr>
        <w:spacing w:before="0" w:after="20"/>
        <w:ind w:hanging="360" w:start="255"/>
        <w:contextualSpacing/>
        <w:rPr/>
      </w:pPr>
      <w:r>
        <w:rPr>
          <w:sz w:val="18"/>
        </w:rPr>
        <w:t>Actions</w:t>
      </w:r>
    </w:p>
    <w:p>
      <w:pPr>
        <w:pStyle w:val="ListBullet"/>
        <w:numPr>
          <w:ilvl w:val="0"/>
          <w:numId w:val="1"/>
        </w:numPr>
        <w:spacing w:before="0" w:after="20"/>
        <w:ind w:hanging="360" w:start="255"/>
        <w:contextualSpacing/>
        <w:rPr/>
      </w:pPr>
      <w:r>
        <w:rPr>
          <w:sz w:val="18"/>
        </w:rPr>
        <w:t>Ressources</w:t>
      </w:r>
    </w:p>
    <w:p>
      <w:pPr>
        <w:pStyle w:val="ListBullet"/>
        <w:numPr>
          <w:ilvl w:val="0"/>
          <w:numId w:val="1"/>
        </w:numPr>
        <w:spacing w:before="0" w:after="20"/>
        <w:ind w:hanging="360" w:start="255"/>
        <w:contextualSpacing/>
        <w:rPr/>
      </w:pPr>
      <w:r>
        <w:rPr>
          <w:sz w:val="18"/>
        </w:rPr>
        <w:t>Accompagnement</w:t>
      </w:r>
    </w:p>
    <w:p>
      <w:pPr>
        <w:pStyle w:val="ListBullet"/>
        <w:numPr>
          <w:ilvl w:val="0"/>
          <w:numId w:val="1"/>
        </w:numPr>
        <w:spacing w:before="0" w:after="20"/>
        <w:ind w:hanging="360" w:start="255"/>
        <w:contextualSpacing/>
        <w:rPr/>
      </w:pPr>
      <w:r>
        <w:rPr>
          <w:sz w:val="18"/>
        </w:rPr>
        <w:t>Traçabilité</w:t>
      </w:r>
    </w:p>
    <w:p>
      <w:pPr>
        <w:pStyle w:val="Heading3"/>
        <w:rPr/>
      </w:pPr>
      <w:r>
        <w:rPr/>
        <w:t>Banque de questions-réponses</w:t>
      </w:r>
    </w:p>
    <w:p>
      <w:pPr>
        <w:pStyle w:val="Normal"/>
        <w:keepNext w:val="true"/>
        <w:spacing w:before="40" w:after="0"/>
        <w:ind w:start="85" w:end="85"/>
        <w:rPr/>
      </w:pPr>
      <w:r>
        <w:rPr>
          <w:b/>
          <w:color w:val="0B3D91"/>
          <w:sz w:val="17"/>
        </w:rPr>
        <w:t>Q1. Que présente la section « Mettre en œuvre » ?</w:t>
      </w:r>
    </w:p>
    <w:p>
      <w:pPr>
        <w:pStyle w:val="Normal"/>
        <w:spacing w:before="0" w:after="40"/>
        <w:ind w:start="255" w:end="85"/>
        <w:rPr/>
      </w:pPr>
      <w:r>
        <w:rPr>
          <w:b/>
          <w:color w:val="D4A017"/>
          <w:sz w:val="17"/>
        </w:rPr>
        <w:t xml:space="preserve">Réponse : </w:t>
      </w:r>
      <w:r>
        <w:rPr>
          <w:color w:val="1F2937"/>
          <w:sz w:val="17"/>
        </w:rPr>
        <w:t>Mettre en œuvre couvre les actions, ressources, accompagnement et traçabilité.</w:t>
      </w:r>
    </w:p>
    <w:p>
      <w:pPr>
        <w:pStyle w:val="Normal"/>
        <w:keepNext w:val="true"/>
        <w:spacing w:before="40" w:after="0"/>
        <w:ind w:start="85" w:end="85"/>
        <w:rPr/>
      </w:pPr>
      <w:r>
        <w:rPr>
          <w:b/>
          <w:color w:val="0B3D91"/>
          <w:sz w:val="17"/>
        </w:rPr>
        <w:t>Q2. Quel est l’objectif principal exposé dans « Mettre en œuvre » ?</w:t>
      </w:r>
    </w:p>
    <w:p>
      <w:pPr>
        <w:pStyle w:val="Normal"/>
        <w:spacing w:before="0" w:after="40"/>
        <w:ind w:start="255" w:end="85"/>
        <w:rPr/>
      </w:pPr>
      <w:r>
        <w:rPr>
          <w:b/>
          <w:color w:val="D4A017"/>
          <w:sz w:val="17"/>
        </w:rPr>
        <w:t xml:space="preserve">Réponse : </w:t>
      </w:r>
      <w:r>
        <w:rPr>
          <w:color w:val="1F2937"/>
          <w:sz w:val="17"/>
        </w:rPr>
        <w:t>Passer du plan à l’exécution organisée.</w:t>
      </w:r>
    </w:p>
    <w:p>
      <w:pPr>
        <w:pStyle w:val="Normal"/>
        <w:keepNext w:val="true"/>
        <w:spacing w:before="40" w:after="0"/>
        <w:ind w:start="85" w:end="85"/>
        <w:rPr/>
      </w:pPr>
      <w:r>
        <w:rPr>
          <w:b/>
          <w:color w:val="0B3D91"/>
          <w:sz w:val="17"/>
        </w:rPr>
        <w:t>Q3. Quels éléments ou domaines sont couverts par « Mettre en œuvre » ?</w:t>
      </w:r>
    </w:p>
    <w:p>
      <w:pPr>
        <w:pStyle w:val="Normal"/>
        <w:spacing w:before="0" w:after="40"/>
        <w:ind w:start="255" w:end="85"/>
        <w:rPr/>
      </w:pPr>
      <w:r>
        <w:rPr>
          <w:b/>
          <w:color w:val="D4A017"/>
          <w:sz w:val="17"/>
        </w:rPr>
        <w:t xml:space="preserve">Réponse : </w:t>
      </w:r>
      <w:r>
        <w:rPr>
          <w:color w:val="1F2937"/>
          <w:sz w:val="17"/>
        </w:rPr>
        <w:t>Actions, ressources, soutien aux acteurs et traces de réalisation.</w:t>
      </w:r>
    </w:p>
    <w:p>
      <w:pPr>
        <w:pStyle w:val="Normal"/>
        <w:keepNext w:val="true"/>
        <w:spacing w:before="40" w:after="0"/>
        <w:ind w:start="85" w:end="85"/>
        <w:rPr/>
      </w:pPr>
      <w:r>
        <w:rPr>
          <w:b/>
          <w:color w:val="0B3D91"/>
          <w:sz w:val="17"/>
        </w:rPr>
        <w:t>Q4. Qui porte, coordonne ou garantit les éléments présentés dans « Mettre en œuvre » ?</w:t>
      </w:r>
    </w:p>
    <w:p>
      <w:pPr>
        <w:pStyle w:val="Normal"/>
        <w:spacing w:before="0" w:after="40"/>
        <w:ind w:start="255" w:end="85"/>
        <w:rPr/>
      </w:pPr>
      <w:r>
        <w:rPr>
          <w:b/>
          <w:color w:val="D4A017"/>
          <w:sz w:val="17"/>
        </w:rPr>
        <w:t xml:space="preserve">Réponse : </w:t>
      </w:r>
      <w:r>
        <w:rPr>
          <w:color w:val="1F2937"/>
          <w:sz w:val="17"/>
        </w:rPr>
        <w:t>Les responsables opérationnels exécutent les actions prévues.</w:t>
      </w:r>
    </w:p>
    <w:p>
      <w:pPr>
        <w:pStyle w:val="Normal"/>
        <w:keepNext w:val="true"/>
        <w:spacing w:before="40" w:after="0"/>
        <w:ind w:start="85" w:end="85"/>
        <w:rPr/>
      </w:pPr>
      <w:r>
        <w:rPr>
          <w:b/>
          <w:color w:val="0B3D91"/>
          <w:sz w:val="17"/>
        </w:rPr>
        <w:t>Q5. Comment la section « Mettre en œuvre » prévoit-elle la mise en œuvre ou le suivi ?</w:t>
      </w:r>
    </w:p>
    <w:p>
      <w:pPr>
        <w:pStyle w:val="Normal"/>
        <w:spacing w:before="0" w:after="40"/>
        <w:ind w:start="255" w:end="85"/>
        <w:rPr/>
      </w:pPr>
      <w:r>
        <w:rPr>
          <w:b/>
          <w:color w:val="D4A017"/>
          <w:sz w:val="17"/>
        </w:rPr>
        <w:t xml:space="preserve">Réponse : </w:t>
      </w:r>
      <w:r>
        <w:rPr>
          <w:color w:val="1F2937"/>
          <w:sz w:val="17"/>
        </w:rPr>
        <w:t>Les ressources sont mobilisées et les réalisations sont documentées.</w:t>
      </w:r>
    </w:p>
    <w:p>
      <w:pPr>
        <w:pStyle w:val="Normal"/>
        <w:keepNext w:val="true"/>
        <w:spacing w:before="40" w:after="0"/>
        <w:ind w:start="85" w:end="85"/>
        <w:rPr/>
      </w:pPr>
      <w:r>
        <w:rPr>
          <w:b/>
          <w:color w:val="0B3D91"/>
          <w:sz w:val="17"/>
        </w:rPr>
        <w:t>Q6. Quelle preuve, référence, règle ou information de statut accompagne « Mettre en œuvre » ?</w:t>
      </w:r>
    </w:p>
    <w:p>
      <w:pPr>
        <w:pStyle w:val="Normal"/>
        <w:spacing w:before="0" w:after="40"/>
        <w:ind w:start="255" w:end="85"/>
        <w:rPr/>
      </w:pPr>
      <w:r>
        <w:rPr>
          <w:b/>
          <w:color w:val="D4A017"/>
          <w:sz w:val="17"/>
        </w:rPr>
        <w:t xml:space="preserve">Réponse : </w:t>
      </w:r>
      <w:r>
        <w:rPr>
          <w:color w:val="1F2937"/>
          <w:sz w:val="17"/>
        </w:rPr>
        <w:t>Les traces d’exécution et l’utilisation des ressources servent de preuves.</w:t>
      </w:r>
    </w:p>
    <w:p>
      <w:pPr>
        <w:pStyle w:val="Normal"/>
        <w:keepNext w:val="true"/>
        <w:spacing w:before="40" w:after="0"/>
        <w:ind w:start="85" w:end="85"/>
        <w:rPr/>
      </w:pPr>
      <w:r>
        <w:rPr>
          <w:b/>
          <w:color w:val="0B3D91"/>
          <w:sz w:val="17"/>
        </w:rPr>
        <w:t>Q7. Quelles limites de diffusion, de décision ou d’accès sont précisées pour « Mettre en œuvre » ?</w:t>
      </w:r>
    </w:p>
    <w:p>
      <w:pPr>
        <w:pStyle w:val="Normal"/>
        <w:spacing w:before="0" w:after="40"/>
        <w:ind w:start="255" w:end="85"/>
        <w:rPr/>
      </w:pPr>
      <w:r>
        <w:rPr>
          <w:b/>
          <w:color w:val="D4A017"/>
          <w:sz w:val="17"/>
        </w:rPr>
        <w:t xml:space="preserve">Réponse : </w:t>
      </w:r>
      <w:r>
        <w:rPr>
          <w:color w:val="1F2937"/>
          <w:sz w:val="17"/>
        </w:rPr>
        <w:t>L’exécution doit respecter les rôles, habilitations et règles applicables.</w:t>
      </w:r>
    </w:p>
    <w:p>
      <w:pPr>
        <w:pStyle w:val="Normal"/>
        <w:keepNext w:val="true"/>
        <w:spacing w:before="40" w:after="0"/>
        <w:ind w:start="85" w:end="85"/>
        <w:rPr/>
      </w:pPr>
      <w:r>
        <w:rPr>
          <w:b/>
          <w:color w:val="0B3D91"/>
          <w:sz w:val="17"/>
        </w:rPr>
        <w:t>Q8. À quels publics ou bénéficiaires la section « Mettre en œuvre » est-elle principalement destinée ?</w:t>
      </w:r>
    </w:p>
    <w:p>
      <w:pPr>
        <w:pStyle w:val="Normal"/>
        <w:spacing w:before="0" w:after="40"/>
        <w:ind w:start="255" w:end="85"/>
        <w:rPr/>
      </w:pPr>
      <w:r>
        <w:rPr>
          <w:b/>
          <w:color w:val="D4A017"/>
          <w:sz w:val="17"/>
        </w:rPr>
        <w:t xml:space="preserve">Réponse : </w:t>
      </w:r>
      <w:r>
        <w:rPr>
          <w:color w:val="1F2937"/>
          <w:sz w:val="17"/>
        </w:rPr>
        <w:t>Personnel et services chargés de la réalisation.</w:t>
      </w:r>
    </w:p>
    <w:p>
      <w:pPr>
        <w:pStyle w:val="Normal"/>
        <w:keepNext w:val="true"/>
        <w:spacing w:before="40" w:after="0"/>
        <w:ind w:start="85" w:end="85"/>
        <w:rPr/>
      </w:pPr>
      <w:r>
        <w:rPr>
          <w:b/>
          <w:color w:val="0B3D91"/>
          <w:sz w:val="17"/>
        </w:rPr>
        <w:t>Q9. À quelles autres rubriques ou fonctions du site « Mettre en œuvre » est-il relié ?</w:t>
      </w:r>
    </w:p>
    <w:p>
      <w:pPr>
        <w:pStyle w:val="Normal"/>
        <w:spacing w:before="0" w:after="40"/>
        <w:ind w:start="255" w:end="85"/>
        <w:rPr/>
      </w:pPr>
      <w:r>
        <w:rPr>
          <w:b/>
          <w:color w:val="D4A017"/>
          <w:sz w:val="17"/>
        </w:rPr>
        <w:t xml:space="preserve">Réponse : </w:t>
      </w:r>
      <w:r>
        <w:rPr>
          <w:color w:val="1F2937"/>
          <w:sz w:val="17"/>
        </w:rPr>
        <w:t>Lien avec Planifier, Vérifier et les départements concernés.</w:t>
      </w:r>
    </w:p>
    <w:p>
      <w:pPr>
        <w:pStyle w:val="Normal"/>
        <w:keepNext w:val="true"/>
        <w:spacing w:before="40" w:after="0"/>
        <w:ind w:start="85" w:end="85"/>
        <w:rPr/>
      </w:pPr>
      <w:r>
        <w:rPr>
          <w:b/>
          <w:color w:val="0B3D91"/>
          <w:sz w:val="17"/>
        </w:rPr>
        <w:t>Q10. Quelle action, orientation ou résultat concret le lecteur peut-il retenir de « Mettre en œuvre » ?</w:t>
      </w:r>
    </w:p>
    <w:p>
      <w:pPr>
        <w:pStyle w:val="Normal"/>
        <w:spacing w:before="0" w:after="40"/>
        <w:ind w:start="255" w:end="85"/>
        <w:rPr/>
      </w:pPr>
      <w:r>
        <w:rPr>
          <w:b/>
          <w:color w:val="D4A017"/>
          <w:sz w:val="17"/>
        </w:rPr>
        <w:t xml:space="preserve">Réponse : </w:t>
      </w:r>
      <w:r>
        <w:rPr>
          <w:color w:val="1F2937"/>
          <w:sz w:val="17"/>
        </w:rPr>
        <w:t>Réaliser les actions prévues en conservant une traçabilité suffisante.</w:t>
      </w:r>
    </w:p>
    <w:p>
      <w:pPr>
        <w:pStyle w:val="Normal"/>
        <w:rPr/>
      </w:pPr>
      <w:r>
        <w:rPr/>
      </w:r>
      <w:r>
        <w:br w:type="page"/>
      </w:r>
    </w:p>
    <w:p>
      <w:pPr>
        <w:pStyle w:val="Heading2"/>
        <w:spacing w:before="0" w:after="80"/>
        <w:rPr/>
      </w:pPr>
      <w:r>
        <w:rPr/>
        <w:t>FICHE 21 — Vérifier</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Vérifier s’appuie sur les indicateurs, autoévaluations, audits et retours.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marque l’étape de contrôle fondée sur des faits.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Sans vérification, l’école ne peut ni démontrer la qualité ni cibler les corrections.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audits, preuves, satisfaction et résultats.</w:t>
            </w:r>
          </w:p>
        </w:tc>
      </w:tr>
    </w:tbl>
    <w:p>
      <w:pPr>
        <w:pStyle w:val="Heading3"/>
        <w:rPr/>
      </w:pPr>
      <w:r>
        <w:rPr/>
        <w:t>Points développés</w:t>
      </w:r>
    </w:p>
    <w:p>
      <w:pPr>
        <w:pStyle w:val="ListBullet"/>
        <w:numPr>
          <w:ilvl w:val="0"/>
          <w:numId w:val="1"/>
        </w:numPr>
        <w:spacing w:before="0" w:after="20"/>
        <w:ind w:hanging="360" w:start="255"/>
        <w:contextualSpacing/>
        <w:rPr/>
      </w:pPr>
      <w:r>
        <w:rPr>
          <w:sz w:val="18"/>
        </w:rPr>
        <w:t>Indicateurs</w:t>
      </w:r>
    </w:p>
    <w:p>
      <w:pPr>
        <w:pStyle w:val="ListBullet"/>
        <w:numPr>
          <w:ilvl w:val="0"/>
          <w:numId w:val="1"/>
        </w:numPr>
        <w:spacing w:before="0" w:after="20"/>
        <w:ind w:hanging="360" w:start="255"/>
        <w:contextualSpacing/>
        <w:rPr/>
      </w:pPr>
      <w:r>
        <w:rPr>
          <w:sz w:val="18"/>
        </w:rPr>
        <w:t>Autoévaluations</w:t>
      </w:r>
    </w:p>
    <w:p>
      <w:pPr>
        <w:pStyle w:val="ListBullet"/>
        <w:numPr>
          <w:ilvl w:val="0"/>
          <w:numId w:val="1"/>
        </w:numPr>
        <w:spacing w:before="0" w:after="20"/>
        <w:ind w:hanging="360" w:start="255"/>
        <w:contextualSpacing/>
        <w:rPr/>
      </w:pPr>
      <w:r>
        <w:rPr>
          <w:sz w:val="18"/>
        </w:rPr>
        <w:t>Audits</w:t>
      </w:r>
    </w:p>
    <w:p>
      <w:pPr>
        <w:pStyle w:val="ListBullet"/>
        <w:numPr>
          <w:ilvl w:val="0"/>
          <w:numId w:val="1"/>
        </w:numPr>
        <w:spacing w:before="0" w:after="20"/>
        <w:ind w:hanging="360" w:start="255"/>
        <w:contextualSpacing/>
        <w:rPr/>
      </w:pPr>
      <w:r>
        <w:rPr>
          <w:sz w:val="18"/>
        </w:rPr>
        <w:t>Retours</w:t>
      </w:r>
    </w:p>
    <w:p>
      <w:pPr>
        <w:pStyle w:val="Heading3"/>
        <w:rPr/>
      </w:pPr>
      <w:r>
        <w:rPr/>
        <w:t>Banque de questions-réponses</w:t>
      </w:r>
    </w:p>
    <w:p>
      <w:pPr>
        <w:pStyle w:val="Normal"/>
        <w:keepNext w:val="true"/>
        <w:spacing w:before="40" w:after="0"/>
        <w:ind w:start="85" w:end="85"/>
        <w:rPr/>
      </w:pPr>
      <w:r>
        <w:rPr>
          <w:b/>
          <w:color w:val="0B3D91"/>
          <w:sz w:val="17"/>
        </w:rPr>
        <w:t>Q1. Que présente la section « Vérifier » ?</w:t>
      </w:r>
    </w:p>
    <w:p>
      <w:pPr>
        <w:pStyle w:val="Normal"/>
        <w:spacing w:before="0" w:after="40"/>
        <w:ind w:start="255" w:end="85"/>
        <w:rPr/>
      </w:pPr>
      <w:r>
        <w:rPr>
          <w:b/>
          <w:color w:val="D4A017"/>
          <w:sz w:val="17"/>
        </w:rPr>
        <w:t xml:space="preserve">Réponse : </w:t>
      </w:r>
      <w:r>
        <w:rPr>
          <w:color w:val="1F2937"/>
          <w:sz w:val="17"/>
        </w:rPr>
        <w:t>Vérifier s’appuie sur les indicateurs, autoévaluations, audits et retours.</w:t>
      </w:r>
    </w:p>
    <w:p>
      <w:pPr>
        <w:pStyle w:val="Normal"/>
        <w:keepNext w:val="true"/>
        <w:spacing w:before="40" w:after="0"/>
        <w:ind w:start="85" w:end="85"/>
        <w:rPr/>
      </w:pPr>
      <w:r>
        <w:rPr>
          <w:b/>
          <w:color w:val="0B3D91"/>
          <w:sz w:val="17"/>
        </w:rPr>
        <w:t>Q2. Quel est l’objectif principal exposé dans « Vérifier » ?</w:t>
      </w:r>
    </w:p>
    <w:p>
      <w:pPr>
        <w:pStyle w:val="Normal"/>
        <w:spacing w:before="0" w:after="40"/>
        <w:ind w:start="255" w:end="85"/>
        <w:rPr/>
      </w:pPr>
      <w:r>
        <w:rPr>
          <w:b/>
          <w:color w:val="D4A017"/>
          <w:sz w:val="17"/>
        </w:rPr>
        <w:t xml:space="preserve">Réponse : </w:t>
      </w:r>
      <w:r>
        <w:rPr>
          <w:color w:val="1F2937"/>
          <w:sz w:val="17"/>
        </w:rPr>
        <w:t>Comparer les résultats obtenus aux attentes définies.</w:t>
      </w:r>
    </w:p>
    <w:p>
      <w:pPr>
        <w:pStyle w:val="Normal"/>
        <w:keepNext w:val="true"/>
        <w:spacing w:before="40" w:after="0"/>
        <w:ind w:start="85" w:end="85"/>
        <w:rPr/>
      </w:pPr>
      <w:r>
        <w:rPr>
          <w:b/>
          <w:color w:val="0B3D91"/>
          <w:sz w:val="17"/>
        </w:rPr>
        <w:t>Q3. Quels éléments ou domaines sont couverts par « Vérifier » ?</w:t>
      </w:r>
    </w:p>
    <w:p>
      <w:pPr>
        <w:pStyle w:val="Normal"/>
        <w:spacing w:before="0" w:after="40"/>
        <w:ind w:start="255" w:end="85"/>
        <w:rPr/>
      </w:pPr>
      <w:r>
        <w:rPr>
          <w:b/>
          <w:color w:val="D4A017"/>
          <w:sz w:val="17"/>
        </w:rPr>
        <w:t xml:space="preserve">Réponse : </w:t>
      </w:r>
      <w:r>
        <w:rPr>
          <w:color w:val="1F2937"/>
          <w:sz w:val="17"/>
        </w:rPr>
        <w:t>Indicateurs, autoévaluation, audit et retours des parties prenantes.</w:t>
      </w:r>
    </w:p>
    <w:p>
      <w:pPr>
        <w:pStyle w:val="Normal"/>
        <w:keepNext w:val="true"/>
        <w:spacing w:before="40" w:after="0"/>
        <w:ind w:start="85" w:end="85"/>
        <w:rPr/>
      </w:pPr>
      <w:r>
        <w:rPr>
          <w:b/>
          <w:color w:val="0B3D91"/>
          <w:sz w:val="17"/>
        </w:rPr>
        <w:t>Q4. Qui porte, coordonne ou garantit les éléments présentés dans « Vérifier » ?</w:t>
      </w:r>
    </w:p>
    <w:p>
      <w:pPr>
        <w:pStyle w:val="Normal"/>
        <w:spacing w:before="0" w:after="40"/>
        <w:ind w:start="255" w:end="85"/>
        <w:rPr/>
      </w:pPr>
      <w:r>
        <w:rPr>
          <w:b/>
          <w:color w:val="D4A017"/>
          <w:sz w:val="17"/>
        </w:rPr>
        <w:t xml:space="preserve">Réponse : </w:t>
      </w:r>
      <w:r>
        <w:rPr>
          <w:color w:val="1F2937"/>
          <w:sz w:val="17"/>
        </w:rPr>
        <w:t>Le DAQAC et les responsables concernés participent à la vérification.</w:t>
      </w:r>
    </w:p>
    <w:p>
      <w:pPr>
        <w:pStyle w:val="Normal"/>
        <w:keepNext w:val="true"/>
        <w:spacing w:before="40" w:after="0"/>
        <w:ind w:start="85" w:end="85"/>
        <w:rPr/>
      </w:pPr>
      <w:r>
        <w:rPr>
          <w:b/>
          <w:color w:val="0B3D91"/>
          <w:sz w:val="17"/>
        </w:rPr>
        <w:t>Q5. Comment la section « Vérifier » prévoit-elle la mise en œuvre ou le suivi ?</w:t>
      </w:r>
    </w:p>
    <w:p>
      <w:pPr>
        <w:pStyle w:val="Normal"/>
        <w:spacing w:before="0" w:after="40"/>
        <w:ind w:start="255" w:end="85"/>
        <w:rPr/>
      </w:pPr>
      <w:r>
        <w:rPr>
          <w:b/>
          <w:color w:val="D4A017"/>
          <w:sz w:val="17"/>
        </w:rPr>
        <w:t xml:space="preserve">Réponse : </w:t>
      </w:r>
      <w:r>
        <w:rPr>
          <w:color w:val="1F2937"/>
          <w:sz w:val="17"/>
        </w:rPr>
        <w:t>Les preuves sont examinées et les écarts sont identifiés.</w:t>
      </w:r>
    </w:p>
    <w:p>
      <w:pPr>
        <w:pStyle w:val="Normal"/>
        <w:keepNext w:val="true"/>
        <w:spacing w:before="40" w:after="0"/>
        <w:ind w:start="85" w:end="85"/>
        <w:rPr/>
      </w:pPr>
      <w:r>
        <w:rPr>
          <w:b/>
          <w:color w:val="0B3D91"/>
          <w:sz w:val="17"/>
        </w:rPr>
        <w:t>Q6. Quelle preuve, référence, règle ou information de statut accompagne « Vérifier » ?</w:t>
      </w:r>
    </w:p>
    <w:p>
      <w:pPr>
        <w:pStyle w:val="Normal"/>
        <w:spacing w:before="0" w:after="40"/>
        <w:ind w:start="255" w:end="85"/>
        <w:rPr/>
      </w:pPr>
      <w:r>
        <w:rPr>
          <w:b/>
          <w:color w:val="D4A017"/>
          <w:sz w:val="17"/>
        </w:rPr>
        <w:t xml:space="preserve">Réponse : </w:t>
      </w:r>
      <w:r>
        <w:rPr>
          <w:color w:val="1F2937"/>
          <w:sz w:val="17"/>
        </w:rPr>
        <w:t>Les indicateurs et rapports de vérification documentent les constats.</w:t>
      </w:r>
    </w:p>
    <w:p>
      <w:pPr>
        <w:pStyle w:val="Normal"/>
        <w:keepNext w:val="true"/>
        <w:spacing w:before="40" w:after="0"/>
        <w:ind w:start="85" w:end="85"/>
        <w:rPr/>
      </w:pPr>
      <w:r>
        <w:rPr>
          <w:b/>
          <w:color w:val="0B3D91"/>
          <w:sz w:val="17"/>
        </w:rPr>
        <w:t>Q7. Quelles limites de diffusion, de décision ou d’accès sont précisées pour « Vérifier » ?</w:t>
      </w:r>
    </w:p>
    <w:p>
      <w:pPr>
        <w:pStyle w:val="Normal"/>
        <w:spacing w:before="0" w:after="40"/>
        <w:ind w:start="255" w:end="85"/>
        <w:rPr/>
      </w:pPr>
      <w:r>
        <w:rPr>
          <w:b/>
          <w:color w:val="D4A017"/>
          <w:sz w:val="17"/>
        </w:rPr>
        <w:t xml:space="preserve">Réponse : </w:t>
      </w:r>
      <w:r>
        <w:rPr>
          <w:color w:val="1F2937"/>
          <w:sz w:val="17"/>
        </w:rPr>
        <w:t>La vérification doit rester objective et respecter la confidentialité.</w:t>
      </w:r>
    </w:p>
    <w:p>
      <w:pPr>
        <w:pStyle w:val="Normal"/>
        <w:keepNext w:val="true"/>
        <w:spacing w:before="40" w:after="0"/>
        <w:ind w:start="85" w:end="85"/>
        <w:rPr/>
      </w:pPr>
      <w:r>
        <w:rPr>
          <w:b/>
          <w:color w:val="0B3D91"/>
          <w:sz w:val="17"/>
        </w:rPr>
        <w:t>Q8. À quels publics ou bénéficiaires la section « Vérifier » est-elle principalement destinée ?</w:t>
      </w:r>
    </w:p>
    <w:p>
      <w:pPr>
        <w:pStyle w:val="Normal"/>
        <w:spacing w:before="0" w:after="40"/>
        <w:ind w:start="255" w:end="85"/>
        <w:rPr/>
      </w:pPr>
      <w:r>
        <w:rPr>
          <w:b/>
          <w:color w:val="D4A017"/>
          <w:sz w:val="17"/>
        </w:rPr>
        <w:t xml:space="preserve">Réponse : </w:t>
      </w:r>
      <w:r>
        <w:rPr>
          <w:color w:val="1F2937"/>
          <w:sz w:val="17"/>
        </w:rPr>
        <w:t>Responsables, équipes, familles et partenaires selon les sujets.</w:t>
      </w:r>
    </w:p>
    <w:p>
      <w:pPr>
        <w:pStyle w:val="Normal"/>
        <w:keepNext w:val="true"/>
        <w:spacing w:before="40" w:after="0"/>
        <w:ind w:start="85" w:end="85"/>
        <w:rPr/>
      </w:pPr>
      <w:r>
        <w:rPr>
          <w:b/>
          <w:color w:val="0B3D91"/>
          <w:sz w:val="17"/>
        </w:rPr>
        <w:t>Q9. À quelles autres rubriques ou fonctions du site « Vérifier » est-il relié ?</w:t>
      </w:r>
    </w:p>
    <w:p>
      <w:pPr>
        <w:pStyle w:val="Normal"/>
        <w:spacing w:before="0" w:after="40"/>
        <w:ind w:start="255" w:end="85"/>
        <w:rPr/>
      </w:pPr>
      <w:r>
        <w:rPr>
          <w:b/>
          <w:color w:val="D4A017"/>
          <w:sz w:val="17"/>
        </w:rPr>
        <w:t xml:space="preserve">Réponse : </w:t>
      </w:r>
      <w:r>
        <w:rPr>
          <w:color w:val="1F2937"/>
          <w:sz w:val="17"/>
        </w:rPr>
        <w:t>Lien avec Planifier, Améliorer et gestion des réclamations.</w:t>
      </w:r>
    </w:p>
    <w:p>
      <w:pPr>
        <w:pStyle w:val="Normal"/>
        <w:keepNext w:val="true"/>
        <w:spacing w:before="40" w:after="0"/>
        <w:ind w:start="85" w:end="85"/>
        <w:rPr/>
      </w:pPr>
      <w:r>
        <w:rPr>
          <w:b/>
          <w:color w:val="0B3D91"/>
          <w:sz w:val="17"/>
        </w:rPr>
        <w:t>Q10. Quelle action, orientation ou résultat concret le lecteur peut-il retenir de « Vérifier » ?</w:t>
      </w:r>
    </w:p>
    <w:p>
      <w:pPr>
        <w:pStyle w:val="Normal"/>
        <w:spacing w:before="0" w:after="40"/>
        <w:ind w:start="255" w:end="85"/>
        <w:rPr/>
      </w:pPr>
      <w:r>
        <w:rPr>
          <w:b/>
          <w:color w:val="D4A017"/>
          <w:sz w:val="17"/>
        </w:rPr>
        <w:t xml:space="preserve">Réponse : </w:t>
      </w:r>
      <w:r>
        <w:rPr>
          <w:color w:val="1F2937"/>
          <w:sz w:val="17"/>
        </w:rPr>
        <w:t>Établir ce qui fonctionne, ce qui manque et ce qui doit être corrigé.</w:t>
      </w:r>
    </w:p>
    <w:p>
      <w:pPr>
        <w:pStyle w:val="Normal"/>
        <w:rPr/>
      </w:pPr>
      <w:r>
        <w:rPr/>
      </w:r>
      <w:r>
        <w:br w:type="page"/>
      </w:r>
    </w:p>
    <w:p>
      <w:pPr>
        <w:pStyle w:val="Heading2"/>
        <w:spacing w:before="0" w:after="80"/>
        <w:rPr/>
      </w:pPr>
      <w:r>
        <w:rPr/>
        <w:t>FICHE 22 — Améliorer — étape du cycle</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Améliorer consiste à analyser les causes, définir les corrections et délais, puis vérifier l’efficacité.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conclut le cycle tout en préparant son redémarrage.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étape permet l’apprentissage institutionnel et la prévention de la récidive.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analyse des causes, actions correctives et suivi des délais.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Causes</w:t>
      </w:r>
    </w:p>
    <w:p>
      <w:pPr>
        <w:pStyle w:val="ListBullet"/>
        <w:numPr>
          <w:ilvl w:val="0"/>
          <w:numId w:val="1"/>
        </w:numPr>
        <w:spacing w:before="0" w:after="20"/>
        <w:ind w:hanging="360" w:start="255"/>
        <w:contextualSpacing/>
        <w:rPr/>
      </w:pPr>
      <w:r>
        <w:rPr>
          <w:sz w:val="18"/>
        </w:rPr>
        <w:t>Corrections</w:t>
      </w:r>
    </w:p>
    <w:p>
      <w:pPr>
        <w:pStyle w:val="ListBullet"/>
        <w:numPr>
          <w:ilvl w:val="0"/>
          <w:numId w:val="1"/>
        </w:numPr>
        <w:spacing w:before="0" w:after="20"/>
        <w:ind w:hanging="360" w:start="255"/>
        <w:contextualSpacing/>
        <w:rPr/>
      </w:pPr>
      <w:r>
        <w:rPr>
          <w:sz w:val="18"/>
        </w:rPr>
        <w:t>Délais</w:t>
      </w:r>
    </w:p>
    <w:p>
      <w:pPr>
        <w:pStyle w:val="ListBullet"/>
        <w:numPr>
          <w:ilvl w:val="0"/>
          <w:numId w:val="1"/>
        </w:numPr>
        <w:spacing w:before="0" w:after="20"/>
        <w:ind w:hanging="360" w:start="255"/>
        <w:contextualSpacing/>
        <w:rPr/>
      </w:pPr>
      <w:r>
        <w:rPr>
          <w:sz w:val="18"/>
        </w:rPr>
        <w:t>Vérification d’efficacité</w:t>
      </w:r>
    </w:p>
    <w:p>
      <w:pPr>
        <w:pStyle w:val="Heading3"/>
        <w:rPr/>
      </w:pPr>
      <w:r>
        <w:rPr/>
        <w:t>Banque de questions-réponses</w:t>
      </w:r>
    </w:p>
    <w:p>
      <w:pPr>
        <w:pStyle w:val="Normal"/>
        <w:keepNext w:val="true"/>
        <w:spacing w:before="40" w:after="0"/>
        <w:ind w:start="85" w:end="85"/>
        <w:rPr/>
      </w:pPr>
      <w:r>
        <w:rPr>
          <w:b/>
          <w:color w:val="0B3D91"/>
          <w:sz w:val="17"/>
        </w:rPr>
        <w:t>Q1. Que présente la section « Améliorer — étape du cycle » ?</w:t>
      </w:r>
    </w:p>
    <w:p>
      <w:pPr>
        <w:pStyle w:val="Normal"/>
        <w:spacing w:before="0" w:after="40"/>
        <w:ind w:start="255" w:end="85"/>
        <w:rPr/>
      </w:pPr>
      <w:r>
        <w:rPr>
          <w:b/>
          <w:color w:val="D4A017"/>
          <w:sz w:val="17"/>
        </w:rPr>
        <w:t xml:space="preserve">Réponse : </w:t>
      </w:r>
      <w:r>
        <w:rPr>
          <w:color w:val="1F2937"/>
          <w:sz w:val="17"/>
        </w:rPr>
        <w:t>Améliorer consiste à analyser les causes, définir les corrections et délais, puis vérifier l’efficacité.</w:t>
      </w:r>
    </w:p>
    <w:p>
      <w:pPr>
        <w:pStyle w:val="Normal"/>
        <w:keepNext w:val="true"/>
        <w:spacing w:before="40" w:after="0"/>
        <w:ind w:start="85" w:end="85"/>
        <w:rPr/>
      </w:pPr>
      <w:r>
        <w:rPr>
          <w:b/>
          <w:color w:val="0B3D91"/>
          <w:sz w:val="17"/>
        </w:rPr>
        <w:t>Q2. Quel est l’objectif principal exposé dans « Améliorer — étape du cycle » ?</w:t>
      </w:r>
    </w:p>
    <w:p>
      <w:pPr>
        <w:pStyle w:val="Normal"/>
        <w:spacing w:before="0" w:after="40"/>
        <w:ind w:start="255" w:end="85"/>
        <w:rPr/>
      </w:pPr>
      <w:r>
        <w:rPr>
          <w:b/>
          <w:color w:val="D4A017"/>
          <w:sz w:val="17"/>
        </w:rPr>
        <w:t xml:space="preserve">Réponse : </w:t>
      </w:r>
      <w:r>
        <w:rPr>
          <w:color w:val="1F2937"/>
          <w:sz w:val="17"/>
        </w:rPr>
        <w:t>Corriger durablement les écarts constatés.</w:t>
      </w:r>
    </w:p>
    <w:p>
      <w:pPr>
        <w:pStyle w:val="Normal"/>
        <w:keepNext w:val="true"/>
        <w:spacing w:before="40" w:after="0"/>
        <w:ind w:start="85" w:end="85"/>
        <w:rPr/>
      </w:pPr>
      <w:r>
        <w:rPr>
          <w:b/>
          <w:color w:val="0B3D91"/>
          <w:sz w:val="17"/>
        </w:rPr>
        <w:t>Q3. Quels éléments ou domaines sont couverts par « Améliorer — étape du cycle » ?</w:t>
      </w:r>
    </w:p>
    <w:p>
      <w:pPr>
        <w:pStyle w:val="Normal"/>
        <w:spacing w:before="0" w:after="40"/>
        <w:ind w:start="255" w:end="85"/>
        <w:rPr/>
      </w:pPr>
      <w:r>
        <w:rPr>
          <w:b/>
          <w:color w:val="D4A017"/>
          <w:sz w:val="17"/>
        </w:rPr>
        <w:t xml:space="preserve">Réponse : </w:t>
      </w:r>
      <w:r>
        <w:rPr>
          <w:color w:val="1F2937"/>
          <w:sz w:val="17"/>
        </w:rPr>
        <w:t>Causes, corrections, responsables, délais et efficacité.</w:t>
      </w:r>
    </w:p>
    <w:p>
      <w:pPr>
        <w:pStyle w:val="Normal"/>
        <w:keepNext w:val="true"/>
        <w:spacing w:before="40" w:after="0"/>
        <w:ind w:start="85" w:end="85"/>
        <w:rPr/>
      </w:pPr>
      <w:r>
        <w:rPr>
          <w:b/>
          <w:color w:val="0B3D91"/>
          <w:sz w:val="17"/>
        </w:rPr>
        <w:t>Q4. Qui porte, coordonne ou garantit les éléments présentés dans « Améliorer — étape du cycle » ?</w:t>
      </w:r>
    </w:p>
    <w:p>
      <w:pPr>
        <w:pStyle w:val="Normal"/>
        <w:spacing w:before="0" w:after="40"/>
        <w:ind w:start="255" w:end="85"/>
        <w:rPr/>
      </w:pPr>
      <w:r>
        <w:rPr>
          <w:b/>
          <w:color w:val="D4A017"/>
          <w:sz w:val="17"/>
        </w:rPr>
        <w:t xml:space="preserve">Réponse : </w:t>
      </w:r>
      <w:r>
        <w:rPr>
          <w:color w:val="1F2937"/>
          <w:sz w:val="17"/>
        </w:rPr>
        <w:t>Les responsables opérationnels corrigent; le DAQAC suit et vérifie.</w:t>
      </w:r>
    </w:p>
    <w:p>
      <w:pPr>
        <w:pStyle w:val="Normal"/>
        <w:keepNext w:val="true"/>
        <w:spacing w:before="40" w:after="0"/>
        <w:ind w:start="85" w:end="85"/>
        <w:rPr/>
      </w:pPr>
      <w:r>
        <w:rPr>
          <w:b/>
          <w:color w:val="0B3D91"/>
          <w:sz w:val="17"/>
        </w:rPr>
        <w:t>Q5. Comment la section « Améliorer — étape du cycle » prévoit-elle la mise en œuvre ou le suivi ?</w:t>
      </w:r>
    </w:p>
    <w:p>
      <w:pPr>
        <w:pStyle w:val="Normal"/>
        <w:spacing w:before="0" w:after="40"/>
        <w:ind w:start="255" w:end="85"/>
        <w:rPr/>
      </w:pPr>
      <w:r>
        <w:rPr>
          <w:b/>
          <w:color w:val="D4A017"/>
          <w:sz w:val="17"/>
        </w:rPr>
        <w:t xml:space="preserve">Réponse : </w:t>
      </w:r>
      <w:r>
        <w:rPr>
          <w:color w:val="1F2937"/>
          <w:sz w:val="17"/>
        </w:rPr>
        <w:t>Les causes sont examinées avant de choisir l’action corrective.</w:t>
      </w:r>
    </w:p>
    <w:p>
      <w:pPr>
        <w:pStyle w:val="Normal"/>
        <w:keepNext w:val="true"/>
        <w:spacing w:before="40" w:after="0"/>
        <w:ind w:start="85" w:end="85"/>
        <w:rPr/>
      </w:pPr>
      <w:r>
        <w:rPr>
          <w:b/>
          <w:color w:val="0B3D91"/>
          <w:sz w:val="17"/>
        </w:rPr>
        <w:t>Q6. Quelle preuve, référence, règle ou information de statut accompagne « Améliorer — étape du cycle » ?</w:t>
      </w:r>
    </w:p>
    <w:p>
      <w:pPr>
        <w:pStyle w:val="Normal"/>
        <w:spacing w:before="0" w:after="40"/>
        <w:ind w:start="255" w:end="85"/>
        <w:rPr/>
      </w:pPr>
      <w:r>
        <w:rPr>
          <w:b/>
          <w:color w:val="D4A017"/>
          <w:sz w:val="17"/>
        </w:rPr>
        <w:t xml:space="preserve">Réponse : </w:t>
      </w:r>
      <w:r>
        <w:rPr>
          <w:color w:val="1F2937"/>
          <w:sz w:val="17"/>
        </w:rPr>
        <w:t>Le plan d’action et la vérification d’efficacité prouvent la clôture.</w:t>
      </w:r>
    </w:p>
    <w:p>
      <w:pPr>
        <w:pStyle w:val="Normal"/>
        <w:keepNext w:val="true"/>
        <w:spacing w:before="40" w:after="0"/>
        <w:ind w:start="85" w:end="85"/>
        <w:rPr/>
      </w:pPr>
      <w:r>
        <w:rPr>
          <w:b/>
          <w:color w:val="0B3D91"/>
          <w:sz w:val="17"/>
        </w:rPr>
        <w:t>Q7. Quelles limites de diffusion, de décision ou d’accès sont précisées pour « Améliorer — étape du cycle » ?</w:t>
      </w:r>
    </w:p>
    <w:p>
      <w:pPr>
        <w:pStyle w:val="Normal"/>
        <w:spacing w:before="0" w:after="40"/>
        <w:ind w:start="255" w:end="85"/>
        <w:rPr/>
      </w:pPr>
      <w:r>
        <w:rPr>
          <w:b/>
          <w:color w:val="D4A017"/>
          <w:sz w:val="17"/>
        </w:rPr>
        <w:t xml:space="preserve">Réponse : </w:t>
      </w:r>
      <w:r>
        <w:rPr>
          <w:color w:val="1F2937"/>
          <w:sz w:val="17"/>
        </w:rPr>
        <w:t>Une correction superficielle ou non vérifiée n’est pas suffisante.</w:t>
      </w:r>
    </w:p>
    <w:p>
      <w:pPr>
        <w:pStyle w:val="Normal"/>
        <w:keepNext w:val="true"/>
        <w:spacing w:before="40" w:after="0"/>
        <w:ind w:start="85" w:end="85"/>
        <w:rPr/>
      </w:pPr>
      <w:r>
        <w:rPr>
          <w:b/>
          <w:color w:val="0B3D91"/>
          <w:sz w:val="17"/>
        </w:rPr>
        <w:t>Q8. À quels publics ou bénéficiaires la section « Améliorer — étape du cycle » est-elle principalement destinée ?</w:t>
      </w:r>
    </w:p>
    <w:p>
      <w:pPr>
        <w:pStyle w:val="Normal"/>
        <w:spacing w:before="0" w:after="40"/>
        <w:ind w:start="255" w:end="85"/>
        <w:rPr/>
      </w:pPr>
      <w:r>
        <w:rPr>
          <w:b/>
          <w:color w:val="D4A017"/>
          <w:sz w:val="17"/>
        </w:rPr>
        <w:t xml:space="preserve">Réponse : </w:t>
      </w:r>
      <w:r>
        <w:rPr>
          <w:color w:val="1F2937"/>
          <w:sz w:val="17"/>
        </w:rPr>
        <w:t>Tous les services et les bénéficiaires de leurs prestations.</w:t>
      </w:r>
    </w:p>
    <w:p>
      <w:pPr>
        <w:pStyle w:val="Normal"/>
        <w:keepNext w:val="true"/>
        <w:spacing w:before="40" w:after="0"/>
        <w:ind w:start="85" w:end="85"/>
        <w:rPr/>
      </w:pPr>
      <w:r>
        <w:rPr>
          <w:b/>
          <w:color w:val="0B3D91"/>
          <w:sz w:val="17"/>
        </w:rPr>
        <w:t>Q9. À quelles autres rubriques ou fonctions du site « Améliorer — étape du cycle » est-il relié ?</w:t>
      </w:r>
    </w:p>
    <w:p>
      <w:pPr>
        <w:pStyle w:val="Normal"/>
        <w:spacing w:before="0" w:after="40"/>
        <w:ind w:start="255" w:end="85"/>
        <w:rPr/>
      </w:pPr>
      <w:r>
        <w:rPr>
          <w:b/>
          <w:color w:val="D4A017"/>
          <w:sz w:val="17"/>
        </w:rPr>
        <w:t xml:space="preserve">Réponse : </w:t>
      </w:r>
      <w:r>
        <w:rPr>
          <w:color w:val="1F2937"/>
          <w:sz w:val="17"/>
        </w:rPr>
        <w:t>Lien avec Redevabilité et nouvelle planification.</w:t>
      </w:r>
    </w:p>
    <w:p>
      <w:pPr>
        <w:pStyle w:val="Normal"/>
        <w:keepNext w:val="true"/>
        <w:spacing w:before="40" w:after="0"/>
        <w:ind w:start="85" w:end="85"/>
        <w:rPr/>
      </w:pPr>
      <w:r>
        <w:rPr>
          <w:b/>
          <w:color w:val="0B3D91"/>
          <w:sz w:val="17"/>
        </w:rPr>
        <w:t>Q10. Quelle action, orientation ou résultat concret le lecteur peut-il retenir de « Améliorer — étape du cycle » ?</w:t>
      </w:r>
    </w:p>
    <w:p>
      <w:pPr>
        <w:pStyle w:val="Normal"/>
        <w:spacing w:before="0" w:after="40"/>
        <w:ind w:start="255" w:end="85"/>
        <w:rPr/>
      </w:pPr>
      <w:r>
        <w:rPr>
          <w:b/>
          <w:color w:val="D4A017"/>
          <w:sz w:val="17"/>
        </w:rPr>
        <w:t xml:space="preserve">Réponse : </w:t>
      </w:r>
      <w:r>
        <w:rPr>
          <w:color w:val="1F2937"/>
          <w:sz w:val="17"/>
        </w:rPr>
        <w:t>Mettre en place une correction durable puis confirmer son résultat.</w:t>
      </w:r>
    </w:p>
    <w:p>
      <w:pPr>
        <w:pStyle w:val="Normal"/>
        <w:rPr/>
      </w:pPr>
      <w:r>
        <w:rPr/>
      </w:r>
      <w:r>
        <w:br w:type="page"/>
      </w:r>
    </w:p>
    <w:p>
      <w:pPr>
        <w:pStyle w:val="Heading2"/>
        <w:spacing w:before="0" w:after="80"/>
        <w:rPr/>
      </w:pPr>
      <w:r>
        <w:rPr/>
        <w:t>FICHE 23 — Écoute, réclamations et suggestions</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Les familles et partenaires peuvent signaler une difficulté ou proposer une amélioration; chaque demande reçoit un accusé, un responsable et un suivi adapté.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reconnaît l’écoute comme composante formelle de la qualité.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Les retours externes aident l’école à détecter les problèmes et à améliorer ses services.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satisfaction, redevabilité, protection et actions correctives.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Difficulté</w:t>
      </w:r>
    </w:p>
    <w:p>
      <w:pPr>
        <w:pStyle w:val="ListBullet"/>
        <w:numPr>
          <w:ilvl w:val="0"/>
          <w:numId w:val="1"/>
        </w:numPr>
        <w:spacing w:before="0" w:after="20"/>
        <w:ind w:hanging="360" w:start="255"/>
        <w:contextualSpacing/>
        <w:rPr/>
      </w:pPr>
      <w:r>
        <w:rPr>
          <w:sz w:val="18"/>
        </w:rPr>
        <w:t>Suggestion</w:t>
      </w:r>
    </w:p>
    <w:p>
      <w:pPr>
        <w:pStyle w:val="ListBullet"/>
        <w:numPr>
          <w:ilvl w:val="0"/>
          <w:numId w:val="1"/>
        </w:numPr>
        <w:spacing w:before="0" w:after="20"/>
        <w:ind w:hanging="360" w:start="255"/>
        <w:contextualSpacing/>
        <w:rPr/>
      </w:pPr>
      <w:r>
        <w:rPr>
          <w:sz w:val="18"/>
        </w:rPr>
        <w:t>Accusé de réception</w:t>
      </w:r>
    </w:p>
    <w:p>
      <w:pPr>
        <w:pStyle w:val="ListBullet"/>
        <w:numPr>
          <w:ilvl w:val="0"/>
          <w:numId w:val="1"/>
        </w:numPr>
        <w:spacing w:before="0" w:after="20"/>
        <w:ind w:hanging="360" w:start="255"/>
        <w:contextualSpacing/>
        <w:rPr/>
      </w:pPr>
      <w:r>
        <w:rPr>
          <w:sz w:val="18"/>
        </w:rPr>
        <w:t>Responsable</w:t>
      </w:r>
    </w:p>
    <w:p>
      <w:pPr>
        <w:pStyle w:val="ListBullet"/>
        <w:numPr>
          <w:ilvl w:val="0"/>
          <w:numId w:val="1"/>
        </w:numPr>
        <w:spacing w:before="0" w:after="20"/>
        <w:ind w:hanging="360" w:start="255"/>
        <w:contextualSpacing/>
        <w:rPr/>
      </w:pPr>
      <w:r>
        <w:rPr>
          <w:sz w:val="18"/>
        </w:rPr>
        <w:t>Suivi proportionné</w:t>
      </w:r>
    </w:p>
    <w:p>
      <w:pPr>
        <w:pStyle w:val="ListBullet"/>
        <w:numPr>
          <w:ilvl w:val="0"/>
          <w:numId w:val="1"/>
        </w:numPr>
        <w:spacing w:before="0" w:after="20"/>
        <w:ind w:hanging="360" w:start="255"/>
        <w:contextualSpacing/>
        <w:rPr/>
      </w:pPr>
      <w:r>
        <w:rPr>
          <w:sz w:val="18"/>
        </w:rPr>
        <w:t>Circuits spécialisés</w:t>
      </w:r>
    </w:p>
    <w:p>
      <w:pPr>
        <w:pStyle w:val="Heading3"/>
        <w:rPr/>
      </w:pPr>
      <w:r>
        <w:rPr/>
        <w:t>Banque de questions-réponses</w:t>
      </w:r>
    </w:p>
    <w:p>
      <w:pPr>
        <w:pStyle w:val="Normal"/>
        <w:keepNext w:val="true"/>
        <w:spacing w:before="40" w:after="0"/>
        <w:ind w:start="85" w:end="85"/>
        <w:rPr/>
      </w:pPr>
      <w:r>
        <w:rPr>
          <w:b/>
          <w:color w:val="0B3D91"/>
          <w:sz w:val="17"/>
        </w:rPr>
        <w:t>Q1. Que présente la section « Écoute, réclamations et suggestions » ?</w:t>
      </w:r>
    </w:p>
    <w:p>
      <w:pPr>
        <w:pStyle w:val="Normal"/>
        <w:spacing w:before="0" w:after="40"/>
        <w:ind w:start="255" w:end="85"/>
        <w:rPr/>
      </w:pPr>
      <w:r>
        <w:rPr>
          <w:b/>
          <w:color w:val="D4A017"/>
          <w:sz w:val="17"/>
        </w:rPr>
        <w:t xml:space="preserve">Réponse : </w:t>
      </w:r>
      <w:r>
        <w:rPr>
          <w:color w:val="1F2937"/>
          <w:sz w:val="17"/>
        </w:rPr>
        <w:t>Les familles et partenaires peuvent signaler une difficulté ou proposer une amélioration; chaque demande reçoit un accusé, un responsable et un suivi adapté.</w:t>
      </w:r>
    </w:p>
    <w:p>
      <w:pPr>
        <w:pStyle w:val="Normal"/>
        <w:keepNext w:val="true"/>
        <w:spacing w:before="40" w:after="0"/>
        <w:ind w:start="85" w:end="85"/>
        <w:rPr/>
      </w:pPr>
      <w:r>
        <w:rPr>
          <w:b/>
          <w:color w:val="0B3D91"/>
          <w:sz w:val="17"/>
        </w:rPr>
        <w:t>Q2. Quel est l’objectif principal exposé dans « Écoute, réclamations et suggestions » ?</w:t>
      </w:r>
    </w:p>
    <w:p>
      <w:pPr>
        <w:pStyle w:val="Normal"/>
        <w:spacing w:before="0" w:after="40"/>
        <w:ind w:start="255" w:end="85"/>
        <w:rPr/>
      </w:pPr>
      <w:r>
        <w:rPr>
          <w:b/>
          <w:color w:val="D4A017"/>
          <w:sz w:val="17"/>
        </w:rPr>
        <w:t xml:space="preserve">Réponse : </w:t>
      </w:r>
      <w:r>
        <w:rPr>
          <w:color w:val="1F2937"/>
          <w:sz w:val="17"/>
        </w:rPr>
        <w:t>Organiser une voie d’expression utile à l’amélioration et à la protection.</w:t>
      </w:r>
    </w:p>
    <w:p>
      <w:pPr>
        <w:pStyle w:val="Normal"/>
        <w:keepNext w:val="true"/>
        <w:spacing w:before="40" w:after="0"/>
        <w:ind w:start="85" w:end="85"/>
        <w:rPr/>
      </w:pPr>
      <w:r>
        <w:rPr>
          <w:b/>
          <w:color w:val="0B3D91"/>
          <w:sz w:val="17"/>
        </w:rPr>
        <w:t>Q3. Quels éléments ou domaines sont couverts par « Écoute, réclamations et suggestions » ?</w:t>
      </w:r>
    </w:p>
    <w:p>
      <w:pPr>
        <w:pStyle w:val="Normal"/>
        <w:spacing w:before="0" w:after="40"/>
        <w:ind w:start="255" w:end="85"/>
        <w:rPr/>
      </w:pPr>
      <w:r>
        <w:rPr>
          <w:b/>
          <w:color w:val="D4A017"/>
          <w:sz w:val="17"/>
        </w:rPr>
        <w:t xml:space="preserve">Réponse : </w:t>
      </w:r>
      <w:r>
        <w:rPr>
          <w:color w:val="1F2937"/>
          <w:sz w:val="17"/>
        </w:rPr>
        <w:t>Signalement de difficultés, suggestions, accusé de réception, attribution et suivi.</w:t>
      </w:r>
    </w:p>
    <w:p>
      <w:pPr>
        <w:pStyle w:val="Normal"/>
        <w:keepNext w:val="true"/>
        <w:spacing w:before="40" w:after="0"/>
        <w:ind w:start="85" w:end="85"/>
        <w:rPr/>
      </w:pPr>
      <w:r>
        <w:rPr>
          <w:b/>
          <w:color w:val="0B3D91"/>
          <w:sz w:val="17"/>
        </w:rPr>
        <w:t>Q4. Qui porte, coordonne ou garantit les éléments présentés dans « Écoute, réclamations et suggestions » ?</w:t>
      </w:r>
    </w:p>
    <w:p>
      <w:pPr>
        <w:pStyle w:val="Normal"/>
        <w:spacing w:before="0" w:after="40"/>
        <w:ind w:start="255" w:end="85"/>
        <w:rPr/>
      </w:pPr>
      <w:r>
        <w:rPr>
          <w:b/>
          <w:color w:val="D4A017"/>
          <w:sz w:val="17"/>
        </w:rPr>
        <w:t xml:space="preserve">Réponse : </w:t>
      </w:r>
      <w:r>
        <w:rPr>
          <w:color w:val="1F2937"/>
          <w:sz w:val="17"/>
        </w:rPr>
        <w:t>Le service compétent reçoit la demande; les situations sensibles suivent les circuits spécialisés.</w:t>
      </w:r>
    </w:p>
    <w:p>
      <w:pPr>
        <w:pStyle w:val="Normal"/>
        <w:keepNext w:val="true"/>
        <w:spacing w:before="40" w:after="0"/>
        <w:ind w:start="85" w:end="85"/>
        <w:rPr/>
      </w:pPr>
      <w:r>
        <w:rPr>
          <w:b/>
          <w:color w:val="0B3D91"/>
          <w:sz w:val="17"/>
        </w:rPr>
        <w:t>Q5. Comment la section « Écoute, réclamations et suggestions » prévoit-elle la mise en œuvre ou le suivi ?</w:t>
      </w:r>
    </w:p>
    <w:p>
      <w:pPr>
        <w:pStyle w:val="Normal"/>
        <w:spacing w:before="0" w:after="40"/>
        <w:ind w:start="255" w:end="85"/>
        <w:rPr/>
      </w:pPr>
      <w:r>
        <w:rPr>
          <w:b/>
          <w:color w:val="D4A017"/>
          <w:sz w:val="17"/>
        </w:rPr>
        <w:t xml:space="preserve">Réponse : </w:t>
      </w:r>
      <w:r>
        <w:rPr>
          <w:color w:val="1F2937"/>
          <w:sz w:val="17"/>
        </w:rPr>
        <w:t>La demande est enregistrée, attribuée et suivie proportionnellement à sa nature.</w:t>
      </w:r>
    </w:p>
    <w:p>
      <w:pPr>
        <w:pStyle w:val="Normal"/>
        <w:keepNext w:val="true"/>
        <w:spacing w:before="40" w:after="0"/>
        <w:ind w:start="85" w:end="85"/>
        <w:rPr/>
      </w:pPr>
      <w:r>
        <w:rPr>
          <w:b/>
          <w:color w:val="0B3D91"/>
          <w:sz w:val="17"/>
        </w:rPr>
        <w:t>Q6. Quelle preuve, référence, règle ou information de statut accompagne « Écoute, réclamations et suggestions » ?</w:t>
      </w:r>
    </w:p>
    <w:p>
      <w:pPr>
        <w:pStyle w:val="Normal"/>
        <w:spacing w:before="0" w:after="40"/>
        <w:ind w:start="255" w:end="85"/>
        <w:rPr/>
      </w:pPr>
      <w:r>
        <w:rPr>
          <w:b/>
          <w:color w:val="D4A017"/>
          <w:sz w:val="17"/>
        </w:rPr>
        <w:t xml:space="preserve">Réponse : </w:t>
      </w:r>
      <w:r>
        <w:rPr>
          <w:color w:val="1F2937"/>
          <w:sz w:val="17"/>
        </w:rPr>
        <w:t>L’accusé de réception, le responsable désigné et les traces de suivi constituent les preuves.</w:t>
      </w:r>
    </w:p>
    <w:p>
      <w:pPr>
        <w:pStyle w:val="Normal"/>
        <w:keepNext w:val="true"/>
        <w:spacing w:before="40" w:after="0"/>
        <w:ind w:start="85" w:end="85"/>
        <w:rPr/>
      </w:pPr>
      <w:r>
        <w:rPr>
          <w:b/>
          <w:color w:val="0B3D91"/>
          <w:sz w:val="17"/>
        </w:rPr>
        <w:t>Q7. Quelles limites de diffusion, de décision ou d’accès sont précisées pour « Écoute, réclamations et suggestions » ?</w:t>
      </w:r>
    </w:p>
    <w:p>
      <w:pPr>
        <w:pStyle w:val="Normal"/>
        <w:spacing w:before="0" w:after="40"/>
        <w:ind w:start="255" w:end="85"/>
        <w:rPr/>
      </w:pPr>
      <w:r>
        <w:rPr>
          <w:b/>
          <w:color w:val="D4A017"/>
          <w:sz w:val="17"/>
        </w:rPr>
        <w:t xml:space="preserve">Réponse : </w:t>
      </w:r>
      <w:r>
        <w:rPr>
          <w:color w:val="1F2937"/>
          <w:sz w:val="17"/>
        </w:rPr>
        <w:t>Les situations de protection, santé ou sécurité sont orientées immédiatement et ne suivent pas un traitement ordinaire.</w:t>
      </w:r>
    </w:p>
    <w:p>
      <w:pPr>
        <w:pStyle w:val="Normal"/>
        <w:keepNext w:val="true"/>
        <w:spacing w:before="40" w:after="0"/>
        <w:ind w:start="85" w:end="85"/>
        <w:rPr/>
      </w:pPr>
      <w:r>
        <w:rPr>
          <w:b/>
          <w:color w:val="0B3D91"/>
          <w:sz w:val="17"/>
        </w:rPr>
        <w:t>Q8. À quels publics ou bénéficiaires la section « Écoute, réclamations et suggestions » est-elle principalement destinée ?</w:t>
      </w:r>
    </w:p>
    <w:p>
      <w:pPr>
        <w:pStyle w:val="Normal"/>
        <w:spacing w:before="0" w:after="40"/>
        <w:ind w:start="255" w:end="85"/>
        <w:rPr/>
      </w:pPr>
      <w:r>
        <w:rPr>
          <w:b/>
          <w:color w:val="D4A017"/>
          <w:sz w:val="17"/>
        </w:rPr>
        <w:t xml:space="preserve">Réponse : </w:t>
      </w:r>
      <w:r>
        <w:rPr>
          <w:color w:val="1F2937"/>
          <w:sz w:val="17"/>
        </w:rPr>
        <w:t>Familles, partenaires et toute personne concernée par un service de l’école.</w:t>
      </w:r>
    </w:p>
    <w:p>
      <w:pPr>
        <w:pStyle w:val="Normal"/>
        <w:keepNext w:val="true"/>
        <w:spacing w:before="40" w:after="0"/>
        <w:ind w:start="85" w:end="85"/>
        <w:rPr/>
      </w:pPr>
      <w:r>
        <w:rPr>
          <w:b/>
          <w:color w:val="0B3D91"/>
          <w:sz w:val="17"/>
        </w:rPr>
        <w:t>Q9. À quelles autres rubriques ou fonctions du site « Écoute, réclamations et suggestions » est-il relié ?</w:t>
      </w:r>
    </w:p>
    <w:p>
      <w:pPr>
        <w:pStyle w:val="Normal"/>
        <w:spacing w:before="0" w:after="40"/>
        <w:ind w:start="255" w:end="85"/>
        <w:rPr/>
      </w:pPr>
      <w:r>
        <w:rPr>
          <w:b/>
          <w:color w:val="D4A017"/>
          <w:sz w:val="17"/>
        </w:rPr>
        <w:t xml:space="preserve">Réponse : </w:t>
      </w:r>
      <w:r>
        <w:rPr>
          <w:color w:val="1F2937"/>
          <w:sz w:val="17"/>
        </w:rPr>
        <w:t>Lien avec Contact, DBSPE, santé scolaire, DAQAC et ÉMINA.</w:t>
      </w:r>
    </w:p>
    <w:p>
      <w:pPr>
        <w:pStyle w:val="Normal"/>
        <w:keepNext w:val="true"/>
        <w:spacing w:before="40" w:after="0"/>
        <w:ind w:start="85" w:end="85"/>
        <w:rPr/>
      </w:pPr>
      <w:r>
        <w:rPr>
          <w:b/>
          <w:color w:val="0B3D91"/>
          <w:sz w:val="17"/>
        </w:rPr>
        <w:t>Q10. Quelle action, orientation ou résultat concret le lecteur peut-il retenir de « Écoute, réclamations et suggestions » ?</w:t>
      </w:r>
    </w:p>
    <w:p>
      <w:pPr>
        <w:pStyle w:val="Normal"/>
        <w:spacing w:before="0" w:after="40"/>
        <w:ind w:start="255" w:end="85"/>
        <w:rPr/>
      </w:pPr>
      <w:r>
        <w:rPr>
          <w:b/>
          <w:color w:val="D4A017"/>
          <w:sz w:val="17"/>
        </w:rPr>
        <w:t xml:space="preserve">Réponse : </w:t>
      </w:r>
      <w:r>
        <w:rPr>
          <w:color w:val="1F2937"/>
          <w:sz w:val="17"/>
        </w:rPr>
        <w:t>Contacter le service compétent ou demander à ÉMINA une orientation non décisionnelle.</w:t>
      </w:r>
    </w:p>
    <w:p>
      <w:pPr>
        <w:pStyle w:val="Normal"/>
        <w:rPr/>
      </w:pPr>
      <w:r>
        <w:rPr/>
      </w:r>
      <w:r>
        <w:br w:type="page"/>
      </w:r>
    </w:p>
    <w:p>
      <w:pPr>
        <w:pStyle w:val="Heading2"/>
        <w:spacing w:before="0" w:after="80"/>
        <w:rPr/>
      </w:pPr>
      <w:r>
        <w:rPr/>
        <w:t>FICHE 24 — Documentation associée — Assurance qualité</w:t>
      </w:r>
    </w:p>
    <w:p>
      <w:pPr>
        <w:pStyle w:val="Normal"/>
        <w:spacing w:before="40" w:after="100"/>
        <w:rPr/>
      </w:pPr>
      <w:r>
        <w:rPr>
          <w:b/>
          <w:color w:val="0B3D91"/>
          <w:sz w:val="16"/>
        </w:rPr>
        <w:t xml:space="preserve">Source contrôlée : </w:t>
      </w:r>
      <w:r>
        <w:rPr>
          <w:color w:val="555555"/>
          <w:sz w:val="16"/>
        </w:rPr>
        <w:t>Assurance qualité et amélioration continue — https://test.gsleseminents.com/assurance-qualite/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renvoie vers Documentation publique et Contact et visite de l’école.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montre que la démarche qualité s’appuie sur des sources et des voies de dialogue.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rend le dispositif plus accessible et vérifiable.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bibliothèque documentaire et assistance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GSE-PUB-DOC-001</w:t>
      </w:r>
    </w:p>
    <w:p>
      <w:pPr>
        <w:pStyle w:val="ListBullet"/>
        <w:numPr>
          <w:ilvl w:val="0"/>
          <w:numId w:val="1"/>
        </w:numPr>
        <w:spacing w:before="0" w:after="20"/>
        <w:ind w:hanging="360" w:start="255"/>
        <w:contextualSpacing/>
        <w:rPr/>
      </w:pPr>
      <w:r>
        <w:rPr>
          <w:sz w:val="18"/>
        </w:rPr>
        <w:t>GSE-PUB-REC-001</w:t>
      </w:r>
    </w:p>
    <w:p>
      <w:pPr>
        <w:pStyle w:val="ListBullet"/>
        <w:numPr>
          <w:ilvl w:val="0"/>
          <w:numId w:val="1"/>
        </w:numPr>
        <w:spacing w:before="0" w:after="20"/>
        <w:ind w:hanging="360" w:start="255"/>
        <w:contextualSpacing/>
        <w:rPr/>
      </w:pPr>
      <w:r>
        <w:rPr>
          <w:sz w:val="18"/>
        </w:rPr>
        <w:t>FR/EN</w:t>
      </w:r>
    </w:p>
    <w:p>
      <w:pPr>
        <w:pStyle w:val="ListBullet"/>
        <w:numPr>
          <w:ilvl w:val="0"/>
          <w:numId w:val="1"/>
        </w:numPr>
        <w:spacing w:before="0" w:after="20"/>
        <w:ind w:hanging="360" w:start="255"/>
        <w:contextualSpacing/>
        <w:rPr/>
      </w:pPr>
      <w:r>
        <w:rPr>
          <w:sz w:val="18"/>
        </w:rPr>
        <w:t>Bibliothèque publique</w:t>
      </w:r>
    </w:p>
    <w:p>
      <w:pPr>
        <w:pStyle w:val="Heading3"/>
        <w:rPr/>
      </w:pPr>
      <w:r>
        <w:rPr/>
        <w:t>Banque de questions-réponses</w:t>
      </w:r>
    </w:p>
    <w:p>
      <w:pPr>
        <w:pStyle w:val="Normal"/>
        <w:keepNext w:val="true"/>
        <w:spacing w:before="40" w:after="0"/>
        <w:ind w:start="85" w:end="85"/>
        <w:rPr/>
      </w:pPr>
      <w:r>
        <w:rPr>
          <w:b/>
          <w:color w:val="0B3D91"/>
          <w:sz w:val="17"/>
        </w:rPr>
        <w:t>Q1. Que présente la section « Documentation associée — Assurance qualité » ?</w:t>
      </w:r>
    </w:p>
    <w:p>
      <w:pPr>
        <w:pStyle w:val="Normal"/>
        <w:spacing w:before="0" w:after="40"/>
        <w:ind w:start="255" w:end="85"/>
        <w:rPr/>
      </w:pPr>
      <w:r>
        <w:rPr>
          <w:b/>
          <w:color w:val="D4A017"/>
          <w:sz w:val="17"/>
        </w:rPr>
        <w:t xml:space="preserve">Réponse : </w:t>
      </w:r>
      <w:r>
        <w:rPr>
          <w:color w:val="1F2937"/>
          <w:sz w:val="17"/>
        </w:rPr>
        <w:t>La page renvoie vers Documentation publique et Contact et visite de l’école.</w:t>
      </w:r>
    </w:p>
    <w:p>
      <w:pPr>
        <w:pStyle w:val="Normal"/>
        <w:keepNext w:val="true"/>
        <w:spacing w:before="40" w:after="0"/>
        <w:ind w:start="85" w:end="85"/>
        <w:rPr/>
      </w:pPr>
      <w:r>
        <w:rPr>
          <w:b/>
          <w:color w:val="0B3D91"/>
          <w:sz w:val="17"/>
        </w:rPr>
        <w:t>Q2. Quel est l’objectif principal exposé dans « Documentation associée — Assurance qualité » ?</w:t>
      </w:r>
    </w:p>
    <w:p>
      <w:pPr>
        <w:pStyle w:val="Normal"/>
        <w:spacing w:before="0" w:after="40"/>
        <w:ind w:start="255" w:end="85"/>
        <w:rPr/>
      </w:pPr>
      <w:r>
        <w:rPr>
          <w:b/>
          <w:color w:val="D4A017"/>
          <w:sz w:val="17"/>
        </w:rPr>
        <w:t xml:space="preserve">Réponse : </w:t>
      </w:r>
      <w:r>
        <w:rPr>
          <w:color w:val="1F2937"/>
          <w:sz w:val="17"/>
        </w:rPr>
        <w:t>Donner accès aux sources et aux canaux d’échange qui complètent le dispositif qualité.</w:t>
      </w:r>
    </w:p>
    <w:p>
      <w:pPr>
        <w:pStyle w:val="Normal"/>
        <w:keepNext w:val="true"/>
        <w:spacing w:before="40" w:after="0"/>
        <w:ind w:start="85" w:end="85"/>
        <w:rPr/>
      </w:pPr>
      <w:r>
        <w:rPr>
          <w:b/>
          <w:color w:val="0B3D91"/>
          <w:sz w:val="17"/>
        </w:rPr>
        <w:t>Q3. Quels éléments ou domaines sont couverts par « Documentation associée — Assurance qualité » ?</w:t>
      </w:r>
    </w:p>
    <w:p>
      <w:pPr>
        <w:pStyle w:val="Normal"/>
        <w:spacing w:before="0" w:after="40"/>
        <w:ind w:start="255" w:end="85"/>
        <w:rPr/>
      </w:pPr>
      <w:r>
        <w:rPr>
          <w:b/>
          <w:color w:val="D4A017"/>
          <w:sz w:val="17"/>
        </w:rPr>
        <w:t xml:space="preserve">Réponse : </w:t>
      </w:r>
      <w:r>
        <w:rPr>
          <w:color w:val="1F2937"/>
          <w:sz w:val="17"/>
        </w:rPr>
        <w:t>GSE-PUB-DOC-001 et GSE-PUB-REC-001, publiés en FR/EN.</w:t>
      </w:r>
    </w:p>
    <w:p>
      <w:pPr>
        <w:pStyle w:val="Normal"/>
        <w:keepNext w:val="true"/>
        <w:spacing w:before="40" w:after="0"/>
        <w:ind w:start="85" w:end="85"/>
        <w:rPr/>
      </w:pPr>
      <w:r>
        <w:rPr>
          <w:b/>
          <w:color w:val="0B3D91"/>
          <w:sz w:val="17"/>
        </w:rPr>
        <w:t>Q4. Qui porte, coordonne ou garantit les éléments présentés dans « Documentation associée — Assurance qualité » ?</w:t>
      </w:r>
    </w:p>
    <w:p>
      <w:pPr>
        <w:pStyle w:val="Normal"/>
        <w:spacing w:before="0" w:after="40"/>
        <w:ind w:start="255" w:end="85"/>
        <w:rPr/>
      </w:pPr>
      <w:r>
        <w:rPr>
          <w:b/>
          <w:color w:val="D4A017"/>
          <w:sz w:val="17"/>
        </w:rPr>
        <w:t xml:space="preserve">Réponse : </w:t>
      </w:r>
      <w:r>
        <w:rPr>
          <w:color w:val="1F2937"/>
          <w:sz w:val="17"/>
        </w:rPr>
        <w:t>Les propriétaires des documents et le service Contact assurent leur mise à disposition.</w:t>
      </w:r>
    </w:p>
    <w:p>
      <w:pPr>
        <w:pStyle w:val="Normal"/>
        <w:keepNext w:val="true"/>
        <w:spacing w:before="40" w:after="0"/>
        <w:ind w:start="85" w:end="85"/>
        <w:rPr/>
      </w:pPr>
      <w:r>
        <w:rPr>
          <w:b/>
          <w:color w:val="0B3D91"/>
          <w:sz w:val="17"/>
        </w:rPr>
        <w:t>Q5. Comment la section « Documentation associée — Assurance qualité » prévoit-elle la mise en œuvre ou le suivi ?</w:t>
      </w:r>
    </w:p>
    <w:p>
      <w:pPr>
        <w:pStyle w:val="Normal"/>
        <w:spacing w:before="0" w:after="40"/>
        <w:ind w:start="255" w:end="85"/>
        <w:rPr/>
      </w:pPr>
      <w:r>
        <w:rPr>
          <w:b/>
          <w:color w:val="D4A017"/>
          <w:sz w:val="17"/>
        </w:rPr>
        <w:t xml:space="preserve">Réponse : </w:t>
      </w:r>
      <w:r>
        <w:rPr>
          <w:color w:val="1F2937"/>
          <w:sz w:val="17"/>
        </w:rPr>
        <w:t>Les liens permettent d’ouvrir la bibliothèque ou le canal de contact.</w:t>
      </w:r>
    </w:p>
    <w:p>
      <w:pPr>
        <w:pStyle w:val="Normal"/>
        <w:keepNext w:val="true"/>
        <w:spacing w:before="40" w:after="0"/>
        <w:ind w:start="85" w:end="85"/>
        <w:rPr/>
      </w:pPr>
      <w:r>
        <w:rPr>
          <w:b/>
          <w:color w:val="0B3D91"/>
          <w:sz w:val="17"/>
        </w:rPr>
        <w:t>Q6. Quelle preuve, référence, règle ou information de statut accompagne « Documentation associée — Assurance qualité » ?</w:t>
      </w:r>
    </w:p>
    <w:p>
      <w:pPr>
        <w:pStyle w:val="Normal"/>
        <w:spacing w:before="0" w:after="40"/>
        <w:ind w:start="255" w:end="85"/>
        <w:rPr/>
      </w:pPr>
      <w:r>
        <w:rPr>
          <w:b/>
          <w:color w:val="D4A017"/>
          <w:sz w:val="17"/>
        </w:rPr>
        <w:t xml:space="preserve">Réponse : </w:t>
      </w:r>
      <w:r>
        <w:rPr>
          <w:color w:val="1F2937"/>
          <w:sz w:val="17"/>
        </w:rPr>
        <w:t>Les codes, statuts et langues identifient les documents.</w:t>
      </w:r>
    </w:p>
    <w:p>
      <w:pPr>
        <w:pStyle w:val="Normal"/>
        <w:keepNext w:val="true"/>
        <w:spacing w:before="40" w:after="0"/>
        <w:ind w:start="85" w:end="85"/>
        <w:rPr/>
      </w:pPr>
      <w:r>
        <w:rPr>
          <w:b/>
          <w:color w:val="0B3D91"/>
          <w:sz w:val="17"/>
        </w:rPr>
        <w:t>Q7. Quelles limites de diffusion, de décision ou d’accès sont précisées pour « Documentation associée — Assurance qualité » ?</w:t>
      </w:r>
    </w:p>
    <w:p>
      <w:pPr>
        <w:pStyle w:val="Normal"/>
        <w:spacing w:before="0" w:after="40"/>
        <w:ind w:start="255" w:end="85"/>
        <w:rPr/>
      </w:pPr>
      <w:r>
        <w:rPr>
          <w:b/>
          <w:color w:val="D4A017"/>
          <w:sz w:val="17"/>
        </w:rPr>
        <w:t xml:space="preserve">Réponse : </w:t>
      </w:r>
      <w:r>
        <w:rPr>
          <w:color w:val="1F2937"/>
          <w:sz w:val="17"/>
        </w:rPr>
        <w:t>Les canaux publics ne remplacent pas les circuits spécialisés pour les situations sensibles.</w:t>
      </w:r>
    </w:p>
    <w:p>
      <w:pPr>
        <w:pStyle w:val="Normal"/>
        <w:keepNext w:val="true"/>
        <w:spacing w:before="40" w:after="0"/>
        <w:ind w:start="85" w:end="85"/>
        <w:rPr/>
      </w:pPr>
      <w:r>
        <w:rPr>
          <w:b/>
          <w:color w:val="0B3D91"/>
          <w:sz w:val="17"/>
        </w:rPr>
        <w:t>Q8. À quels publics ou bénéficiaires la section « Documentation associée — Assurance qualité » est-elle principalement destinée ?</w:t>
      </w:r>
    </w:p>
    <w:p>
      <w:pPr>
        <w:pStyle w:val="Normal"/>
        <w:spacing w:before="0" w:after="40"/>
        <w:ind w:start="255" w:end="85"/>
        <w:rPr/>
      </w:pPr>
      <w:r>
        <w:rPr>
          <w:b/>
          <w:color w:val="D4A017"/>
          <w:sz w:val="17"/>
        </w:rPr>
        <w:t xml:space="preserve">Réponse : </w:t>
      </w:r>
      <w:r>
        <w:rPr>
          <w:color w:val="1F2937"/>
          <w:sz w:val="17"/>
        </w:rPr>
        <w:t>Familles, partenaires, visiteurs et acteurs souhaitant approfondir ou signaler.</w:t>
      </w:r>
    </w:p>
    <w:p>
      <w:pPr>
        <w:pStyle w:val="Normal"/>
        <w:keepNext w:val="true"/>
        <w:spacing w:before="40" w:after="0"/>
        <w:ind w:start="85" w:end="85"/>
        <w:rPr/>
      </w:pPr>
      <w:r>
        <w:rPr>
          <w:b/>
          <w:color w:val="0B3D91"/>
          <w:sz w:val="17"/>
        </w:rPr>
        <w:t>Q9. À quelles autres rubriques ou fonctions du site « Documentation associée — Assurance qualité » est-il relié ?</w:t>
      </w:r>
    </w:p>
    <w:p>
      <w:pPr>
        <w:pStyle w:val="Normal"/>
        <w:spacing w:before="0" w:after="40"/>
        <w:ind w:start="255" w:end="85"/>
        <w:rPr/>
      </w:pPr>
      <w:r>
        <w:rPr>
          <w:b/>
          <w:color w:val="D4A017"/>
          <w:sz w:val="17"/>
        </w:rPr>
        <w:t xml:space="preserve">Réponse : </w:t>
      </w:r>
      <w:r>
        <w:rPr>
          <w:color w:val="1F2937"/>
          <w:sz w:val="17"/>
        </w:rPr>
        <w:t>Lien avec Documentation publique, Contact, ÉMINA et gestion des réclamations.</w:t>
      </w:r>
    </w:p>
    <w:p>
      <w:pPr>
        <w:pStyle w:val="Normal"/>
        <w:keepNext w:val="true"/>
        <w:spacing w:before="40" w:after="0"/>
        <w:ind w:start="85" w:end="85"/>
        <w:rPr/>
      </w:pPr>
      <w:r>
        <w:rPr>
          <w:b/>
          <w:color w:val="0B3D91"/>
          <w:sz w:val="17"/>
        </w:rPr>
        <w:t>Q10. Quelle action, orientation ou résultat concret le lecteur peut-il retenir de « Documentation associée — Assurance qualité » ?</w:t>
      </w:r>
    </w:p>
    <w:p>
      <w:pPr>
        <w:pStyle w:val="Normal"/>
        <w:spacing w:before="0" w:after="40"/>
        <w:ind w:start="255" w:end="85"/>
        <w:rPr/>
      </w:pPr>
      <w:r>
        <w:rPr>
          <w:b/>
          <w:color w:val="D4A017"/>
          <w:sz w:val="17"/>
        </w:rPr>
        <w:t xml:space="preserve">Réponse : </w:t>
      </w:r>
      <w:r>
        <w:rPr>
          <w:color w:val="1F2937"/>
          <w:sz w:val="17"/>
        </w:rPr>
        <w:t>Consulter les références actives ou contacter le service compétent.</w:t>
      </w:r>
    </w:p>
    <w:p>
      <w:pPr>
        <w:pStyle w:val="Normal"/>
        <w:rPr/>
      </w:pPr>
      <w:r>
        <w:rPr/>
      </w:r>
      <w:r>
        <w:br w:type="page"/>
      </w:r>
    </w:p>
    <w:p>
      <w:pPr>
        <w:pStyle w:val="Normal"/>
        <w:spacing w:before="0" w:after="60"/>
        <w:jc w:val="center"/>
        <w:rPr/>
      </w:pPr>
      <w:r>
        <w:rPr>
          <w:b/>
          <w:color w:val="D4A017"/>
          <w:sz w:val="28"/>
        </w:rPr>
        <w:t>PARTIE III</w:t>
      </w:r>
    </w:p>
    <w:p>
      <w:pPr>
        <w:pStyle w:val="Normal"/>
        <w:jc w:val="center"/>
        <w:rPr/>
      </w:pPr>
      <w:r>
        <w:rPr>
          <w:b/>
          <w:color w:val="0B3D91"/>
          <w:sz w:val="44"/>
        </w:rPr>
        <w:t>DOCUMENTATION PUBLIQUE</w:t>
      </w:r>
    </w:p>
    <w:p>
      <w:pPr>
        <w:pStyle w:val="Normal"/>
        <w:jc w:val="center"/>
        <w:rPr/>
      </w:pPr>
      <w:r>
        <w:rPr>
          <w:i/>
          <w:color w:val="1F2937"/>
          <w:sz w:val="20"/>
        </w:rPr>
        <w:t>Relevé • Analyse • Banque de questions-réponses</w:t>
      </w:r>
    </w:p>
    <w:p>
      <w:pPr>
        <w:pStyle w:val="Normal"/>
        <w:rPr/>
      </w:pPr>
      <w:r>
        <w:rPr/>
      </w:r>
      <w:r>
        <w:br w:type="page"/>
      </w:r>
    </w:p>
    <w:p>
      <w:pPr>
        <w:pStyle w:val="Heading2"/>
        <w:spacing w:before="0" w:after="80"/>
        <w:rPr/>
      </w:pPr>
      <w:r>
        <w:rPr/>
        <w:t>FICHE 25 — Documentation publique — présentation</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constitue une bibliothèque publique de références institutionnelles approuvées avec statut, propriétaire et langue.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précise que la bibliothèque est publique tout en restant institutionnellement contrôlée.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Elle protège contre les doublons, les versions périmées et les informations non autorisées.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Assurance qualité, Agrément, Veille, Protection, Admissions et Confidentialité.</w:t>
            </w:r>
          </w:p>
        </w:tc>
      </w:tr>
    </w:tbl>
    <w:p>
      <w:pPr>
        <w:pStyle w:val="Heading3"/>
        <w:rPr/>
      </w:pPr>
      <w:r>
        <w:rPr/>
        <w:t>Points développés</w:t>
      </w:r>
    </w:p>
    <w:p>
      <w:pPr>
        <w:pStyle w:val="ListBullet"/>
        <w:numPr>
          <w:ilvl w:val="0"/>
          <w:numId w:val="1"/>
        </w:numPr>
        <w:spacing w:before="0" w:after="20"/>
        <w:ind w:hanging="360" w:start="255"/>
        <w:contextualSpacing/>
        <w:rPr/>
      </w:pPr>
      <w:r>
        <w:rPr>
          <w:sz w:val="18"/>
        </w:rPr>
        <w:t>Bibliothèque publique</w:t>
      </w:r>
    </w:p>
    <w:p>
      <w:pPr>
        <w:pStyle w:val="ListBullet"/>
        <w:numPr>
          <w:ilvl w:val="0"/>
          <w:numId w:val="1"/>
        </w:numPr>
        <w:spacing w:before="0" w:after="20"/>
        <w:ind w:hanging="360" w:start="255"/>
        <w:contextualSpacing/>
        <w:rPr/>
      </w:pPr>
      <w:r>
        <w:rPr>
          <w:sz w:val="18"/>
        </w:rPr>
        <w:t>Références approuvées</w:t>
      </w:r>
    </w:p>
    <w:p>
      <w:pPr>
        <w:pStyle w:val="ListBullet"/>
        <w:numPr>
          <w:ilvl w:val="0"/>
          <w:numId w:val="1"/>
        </w:numPr>
        <w:spacing w:before="0" w:after="20"/>
        <w:ind w:hanging="360" w:start="255"/>
        <w:contextualSpacing/>
        <w:rPr/>
      </w:pPr>
      <w:r>
        <w:rPr>
          <w:sz w:val="18"/>
        </w:rPr>
        <w:t>Métadonnées</w:t>
      </w:r>
    </w:p>
    <w:p>
      <w:pPr>
        <w:pStyle w:val="ListBullet"/>
        <w:numPr>
          <w:ilvl w:val="0"/>
          <w:numId w:val="1"/>
        </w:numPr>
        <w:spacing w:before="0" w:after="20"/>
        <w:ind w:hanging="360" w:start="255"/>
        <w:contextualSpacing/>
        <w:rPr/>
      </w:pPr>
      <w:r>
        <w:rPr>
          <w:sz w:val="18"/>
        </w:rPr>
        <w:t>Versions actives</w:t>
      </w:r>
    </w:p>
    <w:p>
      <w:pPr>
        <w:pStyle w:val="Heading3"/>
        <w:rPr/>
      </w:pPr>
      <w:r>
        <w:rPr/>
        <w:t>Banque de questions-réponses</w:t>
      </w:r>
    </w:p>
    <w:p>
      <w:pPr>
        <w:pStyle w:val="Normal"/>
        <w:keepNext w:val="true"/>
        <w:spacing w:before="40" w:after="0"/>
        <w:ind w:start="85" w:end="85"/>
        <w:rPr/>
      </w:pPr>
      <w:r>
        <w:rPr>
          <w:b/>
          <w:color w:val="0B3D91"/>
          <w:sz w:val="17"/>
        </w:rPr>
        <w:t>Q1. Que présente la section « Documentation publique — présentation » ?</w:t>
      </w:r>
    </w:p>
    <w:p>
      <w:pPr>
        <w:pStyle w:val="Normal"/>
        <w:spacing w:before="0" w:after="40"/>
        <w:ind w:start="255" w:end="85"/>
        <w:rPr/>
      </w:pPr>
      <w:r>
        <w:rPr>
          <w:b/>
          <w:color w:val="D4A017"/>
          <w:sz w:val="17"/>
        </w:rPr>
        <w:t xml:space="preserve">Réponse : </w:t>
      </w:r>
      <w:r>
        <w:rPr>
          <w:color w:val="1F2937"/>
          <w:sz w:val="17"/>
        </w:rPr>
        <w:t>La page constitue une bibliothèque publique de références institutionnelles approuvées avec statut, propriétaire et langue.</w:t>
      </w:r>
    </w:p>
    <w:p>
      <w:pPr>
        <w:pStyle w:val="Normal"/>
        <w:keepNext w:val="true"/>
        <w:spacing w:before="40" w:after="0"/>
        <w:ind w:start="85" w:end="85"/>
        <w:rPr/>
      </w:pPr>
      <w:r>
        <w:rPr>
          <w:b/>
          <w:color w:val="0B3D91"/>
          <w:sz w:val="17"/>
        </w:rPr>
        <w:t>Q2. Quel est l’objectif principal exposé dans « Documentation publique — présentation » ?</w:t>
      </w:r>
    </w:p>
    <w:p>
      <w:pPr>
        <w:pStyle w:val="Normal"/>
        <w:spacing w:before="0" w:after="40"/>
        <w:ind w:start="255" w:end="85"/>
        <w:rPr/>
      </w:pPr>
      <w:r>
        <w:rPr>
          <w:b/>
          <w:color w:val="D4A017"/>
          <w:sz w:val="17"/>
        </w:rPr>
        <w:t xml:space="preserve">Réponse : </w:t>
      </w:r>
      <w:r>
        <w:rPr>
          <w:color w:val="1F2937"/>
          <w:sz w:val="17"/>
        </w:rPr>
        <w:t>Fournir un point d’accès fiable aux sources officielles du GSE.</w:t>
      </w:r>
    </w:p>
    <w:p>
      <w:pPr>
        <w:pStyle w:val="Normal"/>
        <w:keepNext w:val="true"/>
        <w:spacing w:before="40" w:after="0"/>
        <w:ind w:start="85" w:end="85"/>
        <w:rPr/>
      </w:pPr>
      <w:r>
        <w:rPr>
          <w:b/>
          <w:color w:val="0B3D91"/>
          <w:sz w:val="17"/>
        </w:rPr>
        <w:t>Q3. Quels éléments ou domaines sont couverts par « Documentation publique — présentation » ?</w:t>
      </w:r>
    </w:p>
    <w:p>
      <w:pPr>
        <w:pStyle w:val="Normal"/>
        <w:spacing w:before="0" w:after="40"/>
        <w:ind w:start="255" w:end="85"/>
        <w:rPr/>
      </w:pPr>
      <w:r>
        <w:rPr>
          <w:b/>
          <w:color w:val="D4A017"/>
          <w:sz w:val="17"/>
        </w:rPr>
        <w:t xml:space="preserve">Réponse : </w:t>
      </w:r>
      <w:r>
        <w:rPr>
          <w:color w:val="1F2937"/>
          <w:sz w:val="17"/>
        </w:rPr>
        <w:t>Références approuvées, codes, versions, statuts, propriétaires, langues et liens.</w:t>
      </w:r>
    </w:p>
    <w:p>
      <w:pPr>
        <w:pStyle w:val="Normal"/>
        <w:keepNext w:val="true"/>
        <w:spacing w:before="40" w:after="0"/>
        <w:ind w:start="85" w:end="85"/>
        <w:rPr/>
      </w:pPr>
      <w:r>
        <w:rPr>
          <w:b/>
          <w:color w:val="0B3D91"/>
          <w:sz w:val="17"/>
        </w:rPr>
        <w:t>Q4. Qui porte, coordonne ou garantit les éléments présentés dans « Documentation publique — présentation » ?</w:t>
      </w:r>
    </w:p>
    <w:p>
      <w:pPr>
        <w:pStyle w:val="Normal"/>
        <w:spacing w:before="0" w:after="40"/>
        <w:ind w:start="255" w:end="85"/>
        <w:rPr/>
      </w:pPr>
      <w:r>
        <w:rPr>
          <w:b/>
          <w:color w:val="D4A017"/>
          <w:sz w:val="17"/>
        </w:rPr>
        <w:t xml:space="preserve">Réponse : </w:t>
      </w:r>
      <w:r>
        <w:rPr>
          <w:color w:val="1F2937"/>
          <w:sz w:val="17"/>
        </w:rPr>
        <w:t>Chaque propriétaire institutionnel maintient son contenu; la bibliothèque organise l’accès.</w:t>
      </w:r>
    </w:p>
    <w:p>
      <w:pPr>
        <w:pStyle w:val="Normal"/>
        <w:keepNext w:val="true"/>
        <w:spacing w:before="40" w:after="0"/>
        <w:ind w:start="85" w:end="85"/>
        <w:rPr/>
      </w:pPr>
      <w:r>
        <w:rPr>
          <w:b/>
          <w:color w:val="0B3D91"/>
          <w:sz w:val="17"/>
        </w:rPr>
        <w:t>Q5. Comment la section « Documentation publique — présentation » prévoit-elle la mise en œuvre ou le suivi ?</w:t>
      </w:r>
    </w:p>
    <w:p>
      <w:pPr>
        <w:pStyle w:val="Normal"/>
        <w:spacing w:before="0" w:after="40"/>
        <w:ind w:start="255" w:end="85"/>
        <w:rPr/>
      </w:pPr>
      <w:r>
        <w:rPr>
          <w:b/>
          <w:color w:val="D4A017"/>
          <w:sz w:val="17"/>
        </w:rPr>
        <w:t xml:space="preserve">Réponse : </w:t>
      </w:r>
      <w:r>
        <w:rPr>
          <w:color w:val="1F2937"/>
          <w:sz w:val="17"/>
        </w:rPr>
        <w:t>Les ressources sont classées et seules les versions actives sont proposées.</w:t>
      </w:r>
    </w:p>
    <w:p>
      <w:pPr>
        <w:pStyle w:val="Normal"/>
        <w:keepNext w:val="true"/>
        <w:spacing w:before="40" w:after="0"/>
        <w:ind w:start="85" w:end="85"/>
        <w:rPr/>
      </w:pPr>
      <w:r>
        <w:rPr>
          <w:b/>
          <w:color w:val="0B3D91"/>
          <w:sz w:val="17"/>
        </w:rPr>
        <w:t>Q6. Quelle preuve, référence, règle ou information de statut accompagne « Documentation publique — présentation » ?</w:t>
      </w:r>
    </w:p>
    <w:p>
      <w:pPr>
        <w:pStyle w:val="Normal"/>
        <w:spacing w:before="0" w:after="40"/>
        <w:ind w:start="255" w:end="85"/>
        <w:rPr/>
      </w:pPr>
      <w:r>
        <w:rPr>
          <w:b/>
          <w:color w:val="D4A017"/>
          <w:sz w:val="17"/>
        </w:rPr>
        <w:t xml:space="preserve">Réponse : </w:t>
      </w:r>
      <w:r>
        <w:rPr>
          <w:color w:val="1F2937"/>
          <w:sz w:val="17"/>
        </w:rPr>
        <w:t>Les métadonnées documentaires permettent d’identifier chaque source.</w:t>
      </w:r>
    </w:p>
    <w:p>
      <w:pPr>
        <w:pStyle w:val="Normal"/>
        <w:keepNext w:val="true"/>
        <w:spacing w:before="40" w:after="0"/>
        <w:ind w:start="85" w:end="85"/>
        <w:rPr/>
      </w:pPr>
      <w:r>
        <w:rPr>
          <w:b/>
          <w:color w:val="0B3D91"/>
          <w:sz w:val="17"/>
        </w:rPr>
        <w:t>Q7. Quelles limites de diffusion, de décision ou d’accès sont précisées pour « Documentation publique — présentation » ?</w:t>
      </w:r>
    </w:p>
    <w:p>
      <w:pPr>
        <w:pStyle w:val="Normal"/>
        <w:spacing w:before="0" w:after="40"/>
        <w:ind w:start="255" w:end="85"/>
        <w:rPr/>
      </w:pPr>
      <w:r>
        <w:rPr>
          <w:b/>
          <w:color w:val="D4A017"/>
          <w:sz w:val="17"/>
        </w:rPr>
        <w:t xml:space="preserve">Réponse : </w:t>
      </w:r>
      <w:r>
        <w:rPr>
          <w:color w:val="1F2937"/>
          <w:sz w:val="17"/>
        </w:rPr>
        <w:t>Les documents internes, dossiers parentaux et données sensibles sont séparés.</w:t>
      </w:r>
    </w:p>
    <w:p>
      <w:pPr>
        <w:pStyle w:val="Normal"/>
        <w:keepNext w:val="true"/>
        <w:spacing w:before="40" w:after="0"/>
        <w:ind w:start="85" w:end="85"/>
        <w:rPr/>
      </w:pPr>
      <w:r>
        <w:rPr>
          <w:b/>
          <w:color w:val="0B3D91"/>
          <w:sz w:val="17"/>
        </w:rPr>
        <w:t>Q8. À quels publics ou bénéficiaires la section « Documentation publique — présentation » est-elle principalement destinée ?</w:t>
      </w:r>
    </w:p>
    <w:p>
      <w:pPr>
        <w:pStyle w:val="Normal"/>
        <w:spacing w:before="0" w:after="40"/>
        <w:ind w:start="255" w:end="85"/>
        <w:rPr/>
      </w:pPr>
      <w:r>
        <w:rPr>
          <w:b/>
          <w:color w:val="D4A017"/>
          <w:sz w:val="17"/>
        </w:rPr>
        <w:t xml:space="preserve">Réponse : </w:t>
      </w:r>
      <w:r>
        <w:rPr>
          <w:color w:val="1F2937"/>
          <w:sz w:val="17"/>
        </w:rPr>
        <w:t>Public, familles, partenaires et agents recherchant une information officielle.</w:t>
      </w:r>
    </w:p>
    <w:p>
      <w:pPr>
        <w:pStyle w:val="Normal"/>
        <w:keepNext w:val="true"/>
        <w:spacing w:before="40" w:after="0"/>
        <w:ind w:start="85" w:end="85"/>
        <w:rPr/>
      </w:pPr>
      <w:r>
        <w:rPr>
          <w:b/>
          <w:color w:val="0B3D91"/>
          <w:sz w:val="17"/>
        </w:rPr>
        <w:t>Q9. À quelles autres rubriques ou fonctions du site « Documentation publique — présentation » est-il relié ?</w:t>
      </w:r>
    </w:p>
    <w:p>
      <w:pPr>
        <w:pStyle w:val="Normal"/>
        <w:spacing w:before="0" w:after="40"/>
        <w:ind w:start="255" w:end="85"/>
        <w:rPr/>
      </w:pPr>
      <w:r>
        <w:rPr>
          <w:b/>
          <w:color w:val="D4A017"/>
          <w:sz w:val="17"/>
        </w:rPr>
        <w:t xml:space="preserve">Réponse : </w:t>
      </w:r>
      <w:r>
        <w:rPr>
          <w:color w:val="1F2937"/>
          <w:sz w:val="17"/>
        </w:rPr>
        <w:t>Lien avec ÉMINA, qui cite les sources actives, et avec tous les domaines propriétaires.</w:t>
      </w:r>
    </w:p>
    <w:p>
      <w:pPr>
        <w:pStyle w:val="Normal"/>
        <w:keepNext w:val="true"/>
        <w:spacing w:before="40" w:after="0"/>
        <w:ind w:start="85" w:end="85"/>
        <w:rPr/>
      </w:pPr>
      <w:r>
        <w:rPr>
          <w:b/>
          <w:color w:val="0B3D91"/>
          <w:sz w:val="17"/>
        </w:rPr>
        <w:t>Q10. Quelle action, orientation ou résultat concret le lecteur peut-il retenir de « Documentation publique — présentation » ?</w:t>
      </w:r>
    </w:p>
    <w:p>
      <w:pPr>
        <w:pStyle w:val="Normal"/>
        <w:spacing w:before="0" w:after="40"/>
        <w:ind w:start="255" w:end="85"/>
        <w:rPr/>
      </w:pPr>
      <w:r>
        <w:rPr>
          <w:b/>
          <w:color w:val="D4A017"/>
          <w:sz w:val="17"/>
        </w:rPr>
        <w:t xml:space="preserve">Réponse : </w:t>
      </w:r>
      <w:r>
        <w:rPr>
          <w:color w:val="1F2937"/>
          <w:sz w:val="17"/>
        </w:rPr>
        <w:t>Ouvrir la source publique approuvée correspondant au besoin.</w:t>
      </w:r>
    </w:p>
    <w:p>
      <w:pPr>
        <w:pStyle w:val="Normal"/>
        <w:rPr/>
      </w:pPr>
      <w:r>
        <w:rPr/>
      </w:r>
      <w:r>
        <w:br w:type="page"/>
      </w:r>
    </w:p>
    <w:p>
      <w:pPr>
        <w:pStyle w:val="Heading2"/>
        <w:spacing w:before="0" w:after="80"/>
        <w:rPr/>
      </w:pPr>
      <w:r>
        <w:rPr/>
        <w:t>FICHE 26 — Une source officielle, sans doublon ni confusion</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bibliothèque ne présente que les contenus validés pour diffusion publique et distingue les documents internes et données sensibles.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résume le principe de maîtrise documentaire.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évite les contradictions et renforce la confiance dans les réponses institutionnelles.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la gestion des versions et les sources citées par ÉMINA.</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Contenus validés</w:t>
      </w:r>
    </w:p>
    <w:p>
      <w:pPr>
        <w:pStyle w:val="ListBullet"/>
        <w:numPr>
          <w:ilvl w:val="0"/>
          <w:numId w:val="1"/>
        </w:numPr>
        <w:spacing w:before="0" w:after="20"/>
        <w:ind w:hanging="360" w:start="255"/>
        <w:contextualSpacing/>
        <w:rPr/>
      </w:pPr>
      <w:r>
        <w:rPr>
          <w:sz w:val="18"/>
        </w:rPr>
        <w:t>Séparation interne/public</w:t>
      </w:r>
    </w:p>
    <w:p>
      <w:pPr>
        <w:pStyle w:val="ListBullet"/>
        <w:numPr>
          <w:ilvl w:val="0"/>
          <w:numId w:val="1"/>
        </w:numPr>
        <w:spacing w:before="0" w:after="20"/>
        <w:ind w:hanging="360" w:start="255"/>
        <w:contextualSpacing/>
        <w:rPr/>
      </w:pPr>
      <w:r>
        <w:rPr>
          <w:sz w:val="18"/>
        </w:rPr>
        <w:t>Version active</w:t>
      </w:r>
    </w:p>
    <w:p>
      <w:pPr>
        <w:pStyle w:val="ListBullet"/>
        <w:numPr>
          <w:ilvl w:val="0"/>
          <w:numId w:val="1"/>
        </w:numPr>
        <w:spacing w:before="0" w:after="20"/>
        <w:ind w:hanging="360" w:start="255"/>
        <w:contextualSpacing/>
        <w:rPr/>
      </w:pPr>
      <w:r>
        <w:rPr>
          <w:sz w:val="18"/>
        </w:rPr>
        <w:t>Absence de doublon</w:t>
      </w:r>
    </w:p>
    <w:p>
      <w:pPr>
        <w:pStyle w:val="Heading3"/>
        <w:rPr/>
      </w:pPr>
      <w:r>
        <w:rPr/>
        <w:t>Banque de questions-réponses</w:t>
      </w:r>
    </w:p>
    <w:p>
      <w:pPr>
        <w:pStyle w:val="Normal"/>
        <w:keepNext w:val="true"/>
        <w:spacing w:before="40" w:after="0"/>
        <w:ind w:start="85" w:end="85"/>
        <w:rPr/>
      </w:pPr>
      <w:r>
        <w:rPr>
          <w:b/>
          <w:color w:val="0B3D91"/>
          <w:sz w:val="17"/>
        </w:rPr>
        <w:t>Q1. Que présente la section « Une source officielle, sans doublon ni confusion » ?</w:t>
      </w:r>
    </w:p>
    <w:p>
      <w:pPr>
        <w:pStyle w:val="Normal"/>
        <w:spacing w:before="0" w:after="40"/>
        <w:ind w:start="255" w:end="85"/>
        <w:rPr/>
      </w:pPr>
      <w:r>
        <w:rPr>
          <w:b/>
          <w:color w:val="D4A017"/>
          <w:sz w:val="17"/>
        </w:rPr>
        <w:t xml:space="preserve">Réponse : </w:t>
      </w:r>
      <w:r>
        <w:rPr>
          <w:color w:val="1F2937"/>
          <w:sz w:val="17"/>
        </w:rPr>
        <w:t>La bibliothèque ne présente que les contenus validés pour diffusion publique et distingue les documents internes et données sensibles.</w:t>
      </w:r>
    </w:p>
    <w:p>
      <w:pPr>
        <w:pStyle w:val="Normal"/>
        <w:keepNext w:val="true"/>
        <w:spacing w:before="40" w:after="0"/>
        <w:ind w:start="85" w:end="85"/>
        <w:rPr/>
      </w:pPr>
      <w:r>
        <w:rPr>
          <w:b/>
          <w:color w:val="0B3D91"/>
          <w:sz w:val="17"/>
        </w:rPr>
        <w:t>Q2. Quel est l’objectif principal exposé dans « Une source officielle, sans doublon ni confusion » ?</w:t>
      </w:r>
    </w:p>
    <w:p>
      <w:pPr>
        <w:pStyle w:val="Normal"/>
        <w:spacing w:before="0" w:after="40"/>
        <w:ind w:start="255" w:end="85"/>
        <w:rPr/>
      </w:pPr>
      <w:r>
        <w:rPr>
          <w:b/>
          <w:color w:val="D4A017"/>
          <w:sz w:val="17"/>
        </w:rPr>
        <w:t xml:space="preserve">Réponse : </w:t>
      </w:r>
      <w:r>
        <w:rPr>
          <w:color w:val="1F2937"/>
          <w:sz w:val="17"/>
        </w:rPr>
        <w:t>Garantir une seule version active et clairement identifiée pour chaque référence.</w:t>
      </w:r>
    </w:p>
    <w:p>
      <w:pPr>
        <w:pStyle w:val="Normal"/>
        <w:keepNext w:val="true"/>
        <w:spacing w:before="40" w:after="0"/>
        <w:ind w:start="85" w:end="85"/>
        <w:rPr/>
      </w:pPr>
      <w:r>
        <w:rPr>
          <w:b/>
          <w:color w:val="0B3D91"/>
          <w:sz w:val="17"/>
        </w:rPr>
        <w:t>Q3. Quels éléments ou domaines sont couverts par « Une source officielle, sans doublon ni confusion » ?</w:t>
      </w:r>
    </w:p>
    <w:p>
      <w:pPr>
        <w:pStyle w:val="Normal"/>
        <w:spacing w:before="0" w:after="40"/>
        <w:ind w:start="255" w:end="85"/>
        <w:rPr/>
      </w:pPr>
      <w:r>
        <w:rPr>
          <w:b/>
          <w:color w:val="D4A017"/>
          <w:sz w:val="17"/>
        </w:rPr>
        <w:t xml:space="preserve">Réponse : </w:t>
      </w:r>
      <w:r>
        <w:rPr>
          <w:color w:val="1F2937"/>
          <w:sz w:val="17"/>
        </w:rPr>
        <w:t>Validation publique, séparation des données, domaine, propriétaire, statut et version.</w:t>
      </w:r>
    </w:p>
    <w:p>
      <w:pPr>
        <w:pStyle w:val="Normal"/>
        <w:keepNext w:val="true"/>
        <w:spacing w:before="40" w:after="0"/>
        <w:ind w:start="85" w:end="85"/>
        <w:rPr/>
      </w:pPr>
      <w:r>
        <w:rPr>
          <w:b/>
          <w:color w:val="0B3D91"/>
          <w:sz w:val="17"/>
        </w:rPr>
        <w:t>Q4. Qui porte, coordonne ou garantit les éléments présentés dans « Une source officielle, sans doublon ni confusion » ?</w:t>
      </w:r>
    </w:p>
    <w:p>
      <w:pPr>
        <w:pStyle w:val="Normal"/>
        <w:spacing w:before="0" w:after="40"/>
        <w:ind w:start="255" w:end="85"/>
        <w:rPr/>
      </w:pPr>
      <w:r>
        <w:rPr>
          <w:b/>
          <w:color w:val="D4A017"/>
          <w:sz w:val="17"/>
        </w:rPr>
        <w:t xml:space="preserve">Réponse : </w:t>
      </w:r>
      <w:r>
        <w:rPr>
          <w:color w:val="1F2937"/>
          <w:sz w:val="17"/>
        </w:rPr>
        <w:t>Le propriétaire du document et la gouvernance documentaire garantissent la source.</w:t>
      </w:r>
    </w:p>
    <w:p>
      <w:pPr>
        <w:pStyle w:val="Normal"/>
        <w:keepNext w:val="true"/>
        <w:spacing w:before="40" w:after="0"/>
        <w:ind w:start="85" w:end="85"/>
        <w:rPr/>
      </w:pPr>
      <w:r>
        <w:rPr>
          <w:b/>
          <w:color w:val="0B3D91"/>
          <w:sz w:val="17"/>
        </w:rPr>
        <w:t>Q5. Comment la section « Une source officielle, sans doublon ni confusion » prévoit-elle la mise en œuvre ou le suivi ?</w:t>
      </w:r>
    </w:p>
    <w:p>
      <w:pPr>
        <w:pStyle w:val="Normal"/>
        <w:spacing w:before="0" w:after="40"/>
        <w:ind w:start="255" w:end="85"/>
        <w:rPr/>
      </w:pPr>
      <w:r>
        <w:rPr>
          <w:b/>
          <w:color w:val="D4A017"/>
          <w:sz w:val="17"/>
        </w:rPr>
        <w:t xml:space="preserve">Réponse : </w:t>
      </w:r>
      <w:r>
        <w:rPr>
          <w:color w:val="1F2937"/>
          <w:sz w:val="17"/>
        </w:rPr>
        <w:t>Lorsqu’une page est remplacée, la version active est privilégiée dans les réponses courantes d’ÉMINA.</w:t>
      </w:r>
    </w:p>
    <w:p>
      <w:pPr>
        <w:pStyle w:val="Normal"/>
        <w:keepNext w:val="true"/>
        <w:spacing w:before="40" w:after="0"/>
        <w:ind w:start="85" w:end="85"/>
        <w:rPr/>
      </w:pPr>
      <w:r>
        <w:rPr>
          <w:b/>
          <w:color w:val="0B3D91"/>
          <w:sz w:val="17"/>
        </w:rPr>
        <w:t>Q6. Quelle preuve, référence, règle ou information de statut accompagne « Une source officielle, sans doublon ni confusion » ?</w:t>
      </w:r>
    </w:p>
    <w:p>
      <w:pPr>
        <w:pStyle w:val="Normal"/>
        <w:spacing w:before="0" w:after="40"/>
        <w:ind w:start="255" w:end="85"/>
        <w:rPr/>
      </w:pPr>
      <w:r>
        <w:rPr>
          <w:b/>
          <w:color w:val="D4A017"/>
          <w:sz w:val="17"/>
        </w:rPr>
        <w:t xml:space="preserve">Réponse : </w:t>
      </w:r>
      <w:r>
        <w:rPr>
          <w:color w:val="1F2937"/>
          <w:sz w:val="17"/>
        </w:rPr>
        <w:t>Les métadonnées et le statut Publié apportent la preuve de validité.</w:t>
      </w:r>
    </w:p>
    <w:p>
      <w:pPr>
        <w:pStyle w:val="Normal"/>
        <w:keepNext w:val="true"/>
        <w:spacing w:before="40" w:after="0"/>
        <w:ind w:start="85" w:end="85"/>
        <w:rPr/>
      </w:pPr>
      <w:r>
        <w:rPr>
          <w:b/>
          <w:color w:val="0B3D91"/>
          <w:sz w:val="17"/>
        </w:rPr>
        <w:t>Q7. Quelles limites de diffusion, de décision ou d’accès sont précisées pour « Une source officielle, sans doublon ni confusion » ?</w:t>
      </w:r>
    </w:p>
    <w:p>
      <w:pPr>
        <w:pStyle w:val="Normal"/>
        <w:spacing w:before="0" w:after="40"/>
        <w:ind w:start="255" w:end="85"/>
        <w:rPr/>
      </w:pPr>
      <w:r>
        <w:rPr>
          <w:b/>
          <w:color w:val="D4A017"/>
          <w:sz w:val="17"/>
        </w:rPr>
        <w:t xml:space="preserve">Réponse : </w:t>
      </w:r>
      <w:r>
        <w:rPr>
          <w:color w:val="1F2937"/>
          <w:sz w:val="17"/>
        </w:rPr>
        <w:t>Les copies non contrôlées, dossiers nominatifs et contenus internes ne sont pas exposés.</w:t>
      </w:r>
    </w:p>
    <w:p>
      <w:pPr>
        <w:pStyle w:val="Normal"/>
        <w:keepNext w:val="true"/>
        <w:spacing w:before="40" w:after="0"/>
        <w:ind w:start="85" w:end="85"/>
        <w:rPr/>
      </w:pPr>
      <w:r>
        <w:rPr>
          <w:b/>
          <w:color w:val="0B3D91"/>
          <w:sz w:val="17"/>
        </w:rPr>
        <w:t>Q8. À quels publics ou bénéficiaires la section « Une source officielle, sans doublon ni confusion » est-elle principalement destinée ?</w:t>
      </w:r>
    </w:p>
    <w:p>
      <w:pPr>
        <w:pStyle w:val="Normal"/>
        <w:spacing w:before="0" w:after="40"/>
        <w:ind w:start="255" w:end="85"/>
        <w:rPr/>
      </w:pPr>
      <w:r>
        <w:rPr>
          <w:b/>
          <w:color w:val="D4A017"/>
          <w:sz w:val="17"/>
        </w:rPr>
        <w:t xml:space="preserve">Réponse : </w:t>
      </w:r>
      <w:r>
        <w:rPr>
          <w:color w:val="1F2937"/>
          <w:sz w:val="17"/>
        </w:rPr>
        <w:t>Toute personne ayant besoin d’une information fiable et actuelle.</w:t>
      </w:r>
    </w:p>
    <w:p>
      <w:pPr>
        <w:pStyle w:val="Normal"/>
        <w:keepNext w:val="true"/>
        <w:spacing w:before="40" w:after="0"/>
        <w:ind w:start="85" w:end="85"/>
        <w:rPr/>
      </w:pPr>
      <w:r>
        <w:rPr>
          <w:b/>
          <w:color w:val="0B3D91"/>
          <w:sz w:val="17"/>
        </w:rPr>
        <w:t>Q9. À quelles autres rubriques ou fonctions du site « Une source officielle, sans doublon ni confusion » est-il relié ?</w:t>
      </w:r>
    </w:p>
    <w:p>
      <w:pPr>
        <w:pStyle w:val="Normal"/>
        <w:spacing w:before="0" w:after="40"/>
        <w:ind w:start="255" w:end="85"/>
        <w:rPr/>
      </w:pPr>
      <w:r>
        <w:rPr>
          <w:b/>
          <w:color w:val="D4A017"/>
          <w:sz w:val="17"/>
        </w:rPr>
        <w:t xml:space="preserve">Réponse : </w:t>
      </w:r>
      <w:r>
        <w:rPr>
          <w:color w:val="1F2937"/>
          <w:sz w:val="17"/>
        </w:rPr>
        <w:t>Lien avec ÉMINA, DSI, DAQAC et politique de confidentialité.</w:t>
      </w:r>
    </w:p>
    <w:p>
      <w:pPr>
        <w:pStyle w:val="Normal"/>
        <w:keepNext w:val="true"/>
        <w:spacing w:before="40" w:after="0"/>
        <w:ind w:start="85" w:end="85"/>
        <w:rPr/>
      </w:pPr>
      <w:r>
        <w:rPr>
          <w:b/>
          <w:color w:val="0B3D91"/>
          <w:sz w:val="17"/>
        </w:rPr>
        <w:t>Q10. Quelle action, orientation ou résultat concret le lecteur peut-il retenir de « Une source officielle, sans doublon ni confusion » ?</w:t>
      </w:r>
    </w:p>
    <w:p>
      <w:pPr>
        <w:pStyle w:val="Normal"/>
        <w:spacing w:before="0" w:after="40"/>
        <w:ind w:start="255" w:end="85"/>
        <w:rPr/>
      </w:pPr>
      <w:r>
        <w:rPr>
          <w:b/>
          <w:color w:val="D4A017"/>
          <w:sz w:val="17"/>
        </w:rPr>
        <w:t xml:space="preserve">Réponse : </w:t>
      </w:r>
      <w:r>
        <w:rPr>
          <w:color w:val="1F2937"/>
          <w:sz w:val="17"/>
        </w:rPr>
        <w:t>Vérifier code, version, propriétaire et statut avant d’utiliser une information.</w:t>
      </w:r>
    </w:p>
    <w:p>
      <w:pPr>
        <w:pStyle w:val="Normal"/>
        <w:rPr/>
      </w:pPr>
      <w:r>
        <w:rPr/>
      </w:r>
      <w:r>
        <w:br w:type="page"/>
      </w:r>
    </w:p>
    <w:p>
      <w:pPr>
        <w:pStyle w:val="Heading2"/>
        <w:spacing w:before="0" w:after="80"/>
        <w:rPr/>
      </w:pPr>
      <w:r>
        <w:rPr/>
        <w:t>FICHE 27 — Filtrer les documents publics</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bibliothèque permet de filtrer les références publiques et affiche leur statut de publication.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décrit une fonction pratique de la bibliothèque.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 filtrage réduit le temps de recherche et le risque d’erreur.</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 statut Publié et les métadonnées documentaires.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Champ de filtrage</w:t>
      </w:r>
    </w:p>
    <w:p>
      <w:pPr>
        <w:pStyle w:val="ListBullet"/>
        <w:numPr>
          <w:ilvl w:val="0"/>
          <w:numId w:val="1"/>
        </w:numPr>
        <w:spacing w:before="0" w:after="20"/>
        <w:ind w:hanging="360" w:start="255"/>
        <w:contextualSpacing/>
        <w:rPr/>
      </w:pPr>
      <w:r>
        <w:rPr>
          <w:sz w:val="18"/>
        </w:rPr>
        <w:t>Statut Publié</w:t>
      </w:r>
    </w:p>
    <w:p>
      <w:pPr>
        <w:pStyle w:val="ListBullet"/>
        <w:numPr>
          <w:ilvl w:val="0"/>
          <w:numId w:val="1"/>
        </w:numPr>
        <w:spacing w:before="0" w:after="20"/>
        <w:ind w:hanging="360" w:start="255"/>
        <w:contextualSpacing/>
        <w:rPr/>
      </w:pPr>
      <w:r>
        <w:rPr>
          <w:sz w:val="18"/>
        </w:rPr>
        <w:t>Résultat pertinent</w:t>
      </w:r>
    </w:p>
    <w:p>
      <w:pPr>
        <w:pStyle w:val="ListBullet"/>
        <w:numPr>
          <w:ilvl w:val="0"/>
          <w:numId w:val="1"/>
        </w:numPr>
        <w:spacing w:before="0" w:after="20"/>
        <w:ind w:hanging="360" w:start="255"/>
        <w:contextualSpacing/>
        <w:rPr/>
      </w:pPr>
      <w:r>
        <w:rPr>
          <w:sz w:val="18"/>
        </w:rPr>
        <w:t>Message en cas d’absence</w:t>
      </w:r>
    </w:p>
    <w:p>
      <w:pPr>
        <w:pStyle w:val="Heading3"/>
        <w:rPr/>
      </w:pPr>
      <w:r>
        <w:rPr/>
        <w:t>Banque de questions-réponses</w:t>
      </w:r>
    </w:p>
    <w:p>
      <w:pPr>
        <w:pStyle w:val="Normal"/>
        <w:keepNext w:val="true"/>
        <w:spacing w:before="40" w:after="0"/>
        <w:ind w:start="85" w:end="85"/>
        <w:rPr/>
      </w:pPr>
      <w:r>
        <w:rPr>
          <w:b/>
          <w:color w:val="0B3D91"/>
          <w:sz w:val="17"/>
        </w:rPr>
        <w:t>Q1. Que présente la section « Filtrer les documents publics » ?</w:t>
      </w:r>
    </w:p>
    <w:p>
      <w:pPr>
        <w:pStyle w:val="Normal"/>
        <w:spacing w:before="0" w:after="40"/>
        <w:ind w:start="255" w:end="85"/>
        <w:rPr/>
      </w:pPr>
      <w:r>
        <w:rPr>
          <w:b/>
          <w:color w:val="D4A017"/>
          <w:sz w:val="17"/>
        </w:rPr>
        <w:t xml:space="preserve">Réponse : </w:t>
      </w:r>
      <w:r>
        <w:rPr>
          <w:color w:val="1F2937"/>
          <w:sz w:val="17"/>
        </w:rPr>
        <w:t>La bibliothèque permet de filtrer les références publiques et affiche leur statut de publication.</w:t>
      </w:r>
    </w:p>
    <w:p>
      <w:pPr>
        <w:pStyle w:val="Normal"/>
        <w:keepNext w:val="true"/>
        <w:spacing w:before="40" w:after="0"/>
        <w:ind w:start="85" w:end="85"/>
        <w:rPr/>
      </w:pPr>
      <w:r>
        <w:rPr>
          <w:b/>
          <w:color w:val="0B3D91"/>
          <w:sz w:val="17"/>
        </w:rPr>
        <w:t>Q2. Quel est l’objectif principal exposé dans « Filtrer les documents publics » ?</w:t>
      </w:r>
    </w:p>
    <w:p>
      <w:pPr>
        <w:pStyle w:val="Normal"/>
        <w:spacing w:before="0" w:after="40"/>
        <w:ind w:start="255" w:end="85"/>
        <w:rPr/>
      </w:pPr>
      <w:r>
        <w:rPr>
          <w:b/>
          <w:color w:val="D4A017"/>
          <w:sz w:val="17"/>
        </w:rPr>
        <w:t xml:space="preserve">Réponse : </w:t>
      </w:r>
      <w:r>
        <w:rPr>
          <w:color w:val="1F2937"/>
          <w:sz w:val="17"/>
        </w:rPr>
        <w:t>Faciliter la recherche d’une source pertinente dans la bibliothèque.</w:t>
      </w:r>
    </w:p>
    <w:p>
      <w:pPr>
        <w:pStyle w:val="Normal"/>
        <w:keepNext w:val="true"/>
        <w:spacing w:before="40" w:after="0"/>
        <w:ind w:start="85" w:end="85"/>
        <w:rPr/>
      </w:pPr>
      <w:r>
        <w:rPr>
          <w:b/>
          <w:color w:val="0B3D91"/>
          <w:sz w:val="17"/>
        </w:rPr>
        <w:t>Q3. Quels éléments ou domaines sont couverts par « Filtrer les documents publics » ?</w:t>
      </w:r>
    </w:p>
    <w:p>
      <w:pPr>
        <w:pStyle w:val="Normal"/>
        <w:spacing w:before="0" w:after="40"/>
        <w:ind w:start="255" w:end="85"/>
        <w:rPr/>
      </w:pPr>
      <w:r>
        <w:rPr>
          <w:b/>
          <w:color w:val="D4A017"/>
          <w:sz w:val="17"/>
        </w:rPr>
        <w:t xml:space="preserve">Réponse : </w:t>
      </w:r>
      <w:r>
        <w:rPr>
          <w:color w:val="1F2937"/>
          <w:sz w:val="17"/>
        </w:rPr>
        <w:t>Filtre, statut Publié et cartes documentaires.</w:t>
      </w:r>
    </w:p>
    <w:p>
      <w:pPr>
        <w:pStyle w:val="Normal"/>
        <w:keepNext w:val="true"/>
        <w:spacing w:before="40" w:after="0"/>
        <w:ind w:start="85" w:end="85"/>
        <w:rPr/>
      </w:pPr>
      <w:r>
        <w:rPr>
          <w:b/>
          <w:color w:val="0B3D91"/>
          <w:sz w:val="17"/>
        </w:rPr>
        <w:t>Q4. Qui porte, coordonne ou garantit les éléments présentés dans « Filtrer les documents publics » ?</w:t>
      </w:r>
    </w:p>
    <w:p>
      <w:pPr>
        <w:pStyle w:val="Normal"/>
        <w:spacing w:before="0" w:after="40"/>
        <w:ind w:start="255" w:end="85"/>
        <w:rPr/>
      </w:pPr>
      <w:r>
        <w:rPr>
          <w:b/>
          <w:color w:val="D4A017"/>
          <w:sz w:val="17"/>
        </w:rPr>
        <w:t xml:space="preserve">Réponse : </w:t>
      </w:r>
      <w:r>
        <w:rPr>
          <w:color w:val="1F2937"/>
          <w:sz w:val="17"/>
        </w:rPr>
        <w:t>La plateforme documentaire du GSE fournit la fonction de recherche.</w:t>
      </w:r>
    </w:p>
    <w:p>
      <w:pPr>
        <w:pStyle w:val="Normal"/>
        <w:keepNext w:val="true"/>
        <w:spacing w:before="40" w:after="0"/>
        <w:ind w:start="85" w:end="85"/>
        <w:rPr/>
      </w:pPr>
      <w:r>
        <w:rPr>
          <w:b/>
          <w:color w:val="0B3D91"/>
          <w:sz w:val="17"/>
        </w:rPr>
        <w:t>Q5. Comment la section « Filtrer les documents publics » prévoit-elle la mise en œuvre ou le suivi ?</w:t>
      </w:r>
    </w:p>
    <w:p>
      <w:pPr>
        <w:pStyle w:val="Normal"/>
        <w:spacing w:before="0" w:after="40"/>
        <w:ind w:start="255" w:end="85"/>
        <w:rPr/>
      </w:pPr>
      <w:r>
        <w:rPr>
          <w:b/>
          <w:color w:val="D4A017"/>
          <w:sz w:val="17"/>
        </w:rPr>
        <w:t xml:space="preserve">Réponse : </w:t>
      </w:r>
      <w:r>
        <w:rPr>
          <w:color w:val="1F2937"/>
          <w:sz w:val="17"/>
        </w:rPr>
        <w:t>Le lecteur utilise le filtre puis ouvre la carte correspondante.</w:t>
      </w:r>
    </w:p>
    <w:p>
      <w:pPr>
        <w:pStyle w:val="Normal"/>
        <w:keepNext w:val="true"/>
        <w:spacing w:before="40" w:after="0"/>
        <w:ind w:start="85" w:end="85"/>
        <w:rPr/>
      </w:pPr>
      <w:r>
        <w:rPr>
          <w:b/>
          <w:color w:val="0B3D91"/>
          <w:sz w:val="17"/>
        </w:rPr>
        <w:t>Q6. Quelle preuve, référence, règle ou information de statut accompagne « Filtrer les documents publics » ?</w:t>
      </w:r>
    </w:p>
    <w:p>
      <w:pPr>
        <w:pStyle w:val="Normal"/>
        <w:spacing w:before="0" w:after="40"/>
        <w:ind w:start="255" w:end="85"/>
        <w:rPr/>
      </w:pPr>
      <w:r>
        <w:rPr>
          <w:b/>
          <w:color w:val="D4A017"/>
          <w:sz w:val="17"/>
        </w:rPr>
        <w:t xml:space="preserve">Réponse : </w:t>
      </w:r>
      <w:r>
        <w:rPr>
          <w:color w:val="1F2937"/>
          <w:sz w:val="17"/>
        </w:rPr>
        <w:t>Chaque résultat affiche code, version, propriétaire et langue.</w:t>
      </w:r>
    </w:p>
    <w:p>
      <w:pPr>
        <w:pStyle w:val="Normal"/>
        <w:keepNext w:val="true"/>
        <w:spacing w:before="40" w:after="0"/>
        <w:ind w:start="85" w:end="85"/>
        <w:rPr/>
      </w:pPr>
      <w:r>
        <w:rPr>
          <w:b/>
          <w:color w:val="0B3D91"/>
          <w:sz w:val="17"/>
        </w:rPr>
        <w:t>Q7. Quelles limites de diffusion, de décision ou d’accès sont précisées pour « Filtrer les documents publics » ?</w:t>
      </w:r>
    </w:p>
    <w:p>
      <w:pPr>
        <w:pStyle w:val="Normal"/>
        <w:spacing w:before="0" w:after="40"/>
        <w:ind w:start="255" w:end="85"/>
        <w:rPr/>
      </w:pPr>
      <w:r>
        <w:rPr>
          <w:b/>
          <w:color w:val="D4A017"/>
          <w:sz w:val="17"/>
        </w:rPr>
        <w:t xml:space="preserve">Réponse : </w:t>
      </w:r>
      <w:r>
        <w:rPr>
          <w:color w:val="1F2937"/>
          <w:sz w:val="17"/>
        </w:rPr>
        <w:t>Aucun document non public ou non correspondant ne doit apparaître comme résultat.</w:t>
      </w:r>
    </w:p>
    <w:p>
      <w:pPr>
        <w:pStyle w:val="Normal"/>
        <w:keepNext w:val="true"/>
        <w:spacing w:before="40" w:after="0"/>
        <w:ind w:start="85" w:end="85"/>
        <w:rPr/>
      </w:pPr>
      <w:r>
        <w:rPr>
          <w:b/>
          <w:color w:val="0B3D91"/>
          <w:sz w:val="17"/>
        </w:rPr>
        <w:t>Q8. À quels publics ou bénéficiaires la section « Filtrer les documents publics » est-elle principalement destinée ?</w:t>
      </w:r>
    </w:p>
    <w:p>
      <w:pPr>
        <w:pStyle w:val="Normal"/>
        <w:spacing w:before="0" w:after="40"/>
        <w:ind w:start="255" w:end="85"/>
        <w:rPr/>
      </w:pPr>
      <w:r>
        <w:rPr>
          <w:b/>
          <w:color w:val="D4A017"/>
          <w:sz w:val="17"/>
        </w:rPr>
        <w:t xml:space="preserve">Réponse : </w:t>
      </w:r>
      <w:r>
        <w:rPr>
          <w:color w:val="1F2937"/>
          <w:sz w:val="17"/>
        </w:rPr>
        <w:t>Visiteurs, parents, partenaires, personnel et ÉMINA.</w:t>
      </w:r>
    </w:p>
    <w:p>
      <w:pPr>
        <w:pStyle w:val="Normal"/>
        <w:keepNext w:val="true"/>
        <w:spacing w:before="40" w:after="0"/>
        <w:ind w:start="85" w:end="85"/>
        <w:rPr/>
      </w:pPr>
      <w:r>
        <w:rPr>
          <w:b/>
          <w:color w:val="0B3D91"/>
          <w:sz w:val="17"/>
        </w:rPr>
        <w:t>Q9. À quelles autres rubriques ou fonctions du site « Filtrer les documents publics » est-il relié ?</w:t>
      </w:r>
    </w:p>
    <w:p>
      <w:pPr>
        <w:pStyle w:val="Normal"/>
        <w:spacing w:before="0" w:after="40"/>
        <w:ind w:start="255" w:end="85"/>
        <w:rPr/>
      </w:pPr>
      <w:r>
        <w:rPr>
          <w:b/>
          <w:color w:val="D4A017"/>
          <w:sz w:val="17"/>
        </w:rPr>
        <w:t xml:space="preserve">Réponse : </w:t>
      </w:r>
      <w:r>
        <w:rPr>
          <w:color w:val="1F2937"/>
          <w:sz w:val="17"/>
        </w:rPr>
        <w:t>Lien avec les sept références actuellement publiées.</w:t>
      </w:r>
    </w:p>
    <w:p>
      <w:pPr>
        <w:pStyle w:val="Normal"/>
        <w:keepNext w:val="true"/>
        <w:spacing w:before="40" w:after="0"/>
        <w:ind w:start="85" w:end="85"/>
        <w:rPr/>
      </w:pPr>
      <w:r>
        <w:rPr>
          <w:b/>
          <w:color w:val="0B3D91"/>
          <w:sz w:val="17"/>
        </w:rPr>
        <w:t>Q10. Quelle action, orientation ou résultat concret le lecteur peut-il retenir de « Filtrer les documents publics » ?</w:t>
      </w:r>
    </w:p>
    <w:p>
      <w:pPr>
        <w:pStyle w:val="Normal"/>
        <w:spacing w:before="0" w:after="40"/>
        <w:ind w:start="255" w:end="85"/>
        <w:rPr/>
      </w:pPr>
      <w:r>
        <w:rPr>
          <w:b/>
          <w:color w:val="D4A017"/>
          <w:sz w:val="17"/>
        </w:rPr>
        <w:t xml:space="preserve">Réponse : </w:t>
      </w:r>
      <w:r>
        <w:rPr>
          <w:color w:val="1F2937"/>
          <w:sz w:val="17"/>
        </w:rPr>
        <w:t>Rechercher un domaine ou un mot-clé puis ouvrir la source active.</w:t>
      </w:r>
    </w:p>
    <w:p>
      <w:pPr>
        <w:pStyle w:val="Normal"/>
        <w:rPr/>
      </w:pPr>
      <w:r>
        <w:rPr/>
      </w:r>
      <w:r>
        <w:br w:type="page"/>
      </w:r>
    </w:p>
    <w:p>
      <w:pPr>
        <w:pStyle w:val="Heading2"/>
        <w:spacing w:before="0" w:after="80"/>
        <w:rPr/>
      </w:pPr>
      <w:r>
        <w:rPr/>
        <w:t>FICHE 28 — Agrément et reconnaissance officielle — GSE-PUB-AGR-001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publique renvoie à l’Arrêté ministériel n° MINEDU-NC/CABMINETAT/0008/2026.</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associe le statut administratif à une référence identifiable.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L’agrément constitue un élément majeur de légitimité et de confiance.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textes applicables et la veille officielle.</w:t>
            </w:r>
          </w:p>
        </w:tc>
      </w:tr>
    </w:tbl>
    <w:p>
      <w:pPr>
        <w:pStyle w:val="Heading3"/>
        <w:rPr/>
      </w:pPr>
      <w:r>
        <w:rPr/>
        <w:t>Points développés</w:t>
      </w:r>
    </w:p>
    <w:p>
      <w:pPr>
        <w:pStyle w:val="ListBullet"/>
        <w:numPr>
          <w:ilvl w:val="0"/>
          <w:numId w:val="1"/>
        </w:numPr>
        <w:spacing w:before="0" w:after="20"/>
        <w:ind w:hanging="360" w:start="255"/>
        <w:contextualSpacing/>
        <w:rPr/>
      </w:pPr>
      <w:r>
        <w:rPr>
          <w:sz w:val="18"/>
        </w:rPr>
        <w:t>Arrêté ministériel 0008/2026</w:t>
      </w:r>
    </w:p>
    <w:p>
      <w:pPr>
        <w:pStyle w:val="ListBullet"/>
        <w:numPr>
          <w:ilvl w:val="0"/>
          <w:numId w:val="1"/>
        </w:numPr>
        <w:spacing w:before="0" w:after="20"/>
        <w:ind w:hanging="360" w:start="255"/>
        <w:contextualSpacing/>
        <w:rPr/>
      </w:pPr>
      <w:r>
        <w:rPr>
          <w:sz w:val="18"/>
        </w:rPr>
        <w:t>Code AGR</w:t>
      </w:r>
    </w:p>
    <w:p>
      <w:pPr>
        <w:pStyle w:val="ListBullet"/>
        <w:numPr>
          <w:ilvl w:val="0"/>
          <w:numId w:val="1"/>
        </w:numPr>
        <w:spacing w:before="0" w:after="20"/>
        <w:ind w:hanging="360" w:start="255"/>
        <w:contextualSpacing/>
        <w:rPr/>
      </w:pPr>
      <w:r>
        <w:rPr>
          <w:sz w:val="18"/>
        </w:rPr>
        <w:t>Version 1.0</w:t>
      </w:r>
    </w:p>
    <w:p>
      <w:pPr>
        <w:pStyle w:val="ListBullet"/>
        <w:numPr>
          <w:ilvl w:val="0"/>
          <w:numId w:val="1"/>
        </w:numPr>
        <w:spacing w:before="0" w:after="20"/>
        <w:ind w:hanging="360" w:start="255"/>
        <w:contextualSpacing/>
        <w:rPr/>
      </w:pPr>
      <w:r>
        <w:rPr>
          <w:sz w:val="18"/>
        </w:rPr>
        <w:t>Direction générale</w:t>
      </w:r>
    </w:p>
    <w:p>
      <w:pPr>
        <w:pStyle w:val="ListBullet"/>
        <w:numPr>
          <w:ilvl w:val="0"/>
          <w:numId w:val="1"/>
        </w:numPr>
        <w:spacing w:before="0" w:after="20"/>
        <w:ind w:hanging="360" w:start="255"/>
        <w:contextualSpacing/>
        <w:rPr/>
      </w:pPr>
      <w:r>
        <w:rPr>
          <w:sz w:val="18"/>
        </w:rPr>
        <w:t>FR/EN</w:t>
      </w:r>
    </w:p>
    <w:p>
      <w:pPr>
        <w:pStyle w:val="Heading3"/>
        <w:rPr/>
      </w:pPr>
      <w:r>
        <w:rPr/>
        <w:t>Banque de questions-réponses</w:t>
      </w:r>
    </w:p>
    <w:p>
      <w:pPr>
        <w:pStyle w:val="Normal"/>
        <w:keepNext w:val="true"/>
        <w:spacing w:before="40" w:after="0"/>
        <w:ind w:start="85" w:end="85"/>
        <w:rPr/>
      </w:pPr>
      <w:r>
        <w:rPr>
          <w:b/>
          <w:color w:val="0B3D91"/>
          <w:sz w:val="17"/>
        </w:rPr>
        <w:t>Q1. Que présente la section « Agrément et reconnaissance officielle — GSE-PUB-AGR-001 » ?</w:t>
      </w:r>
    </w:p>
    <w:p>
      <w:pPr>
        <w:pStyle w:val="Normal"/>
        <w:spacing w:before="0" w:after="40"/>
        <w:ind w:start="255" w:end="85"/>
        <w:rPr/>
      </w:pPr>
      <w:r>
        <w:rPr>
          <w:b/>
          <w:color w:val="D4A017"/>
          <w:sz w:val="17"/>
        </w:rPr>
        <w:t xml:space="preserve">Réponse : </w:t>
      </w:r>
      <w:r>
        <w:rPr>
          <w:color w:val="1F2937"/>
          <w:sz w:val="17"/>
        </w:rPr>
        <w:t>Cette référence publique renvoie à l’Arrêté ministériel n° MINEDU-NC/CABMINETAT/0008/2026.</w:t>
      </w:r>
    </w:p>
    <w:p>
      <w:pPr>
        <w:pStyle w:val="Normal"/>
        <w:keepNext w:val="true"/>
        <w:spacing w:before="40" w:after="0"/>
        <w:ind w:start="85" w:end="85"/>
        <w:rPr/>
      </w:pPr>
      <w:r>
        <w:rPr>
          <w:b/>
          <w:color w:val="0B3D91"/>
          <w:sz w:val="17"/>
        </w:rPr>
        <w:t>Q2. Quel est l’objectif principal exposé dans « Agrément et reconnaissance officielle — GSE-PUB-AGR-001 » ?</w:t>
      </w:r>
    </w:p>
    <w:p>
      <w:pPr>
        <w:pStyle w:val="Normal"/>
        <w:spacing w:before="0" w:after="40"/>
        <w:ind w:start="255" w:end="85"/>
        <w:rPr/>
      </w:pPr>
      <w:r>
        <w:rPr>
          <w:b/>
          <w:color w:val="D4A017"/>
          <w:sz w:val="17"/>
        </w:rPr>
        <w:t xml:space="preserve">Réponse : </w:t>
      </w:r>
      <w:r>
        <w:rPr>
          <w:color w:val="1F2937"/>
          <w:sz w:val="17"/>
        </w:rPr>
        <w:t>Fournir la preuve publique de l’agrément et de la reconnaissance officielle de l’école.</w:t>
      </w:r>
    </w:p>
    <w:p>
      <w:pPr>
        <w:pStyle w:val="Normal"/>
        <w:keepNext w:val="true"/>
        <w:spacing w:before="40" w:after="0"/>
        <w:ind w:start="85" w:end="85"/>
        <w:rPr/>
      </w:pPr>
      <w:r>
        <w:rPr>
          <w:b/>
          <w:color w:val="0B3D91"/>
          <w:sz w:val="17"/>
        </w:rPr>
        <w:t>Q3. Quels éléments ou domaines sont couverts par « Agrément et reconnaissance officielle — GSE-PUB-AGR-001 » ?</w:t>
      </w:r>
    </w:p>
    <w:p>
      <w:pPr>
        <w:pStyle w:val="Normal"/>
        <w:spacing w:before="0" w:after="40"/>
        <w:ind w:start="255" w:end="85"/>
        <w:rPr/>
      </w:pPr>
      <w:r>
        <w:rPr>
          <w:b/>
          <w:color w:val="D4A017"/>
          <w:sz w:val="17"/>
        </w:rPr>
        <w:t xml:space="preserve">Réponse : </w:t>
      </w:r>
      <w:r>
        <w:rPr>
          <w:color w:val="1F2937"/>
          <w:sz w:val="17"/>
        </w:rPr>
        <w:t>Référence ministérielle, code documentaire, version, propriétaire et langue.</w:t>
      </w:r>
    </w:p>
    <w:p>
      <w:pPr>
        <w:pStyle w:val="Normal"/>
        <w:keepNext w:val="true"/>
        <w:spacing w:before="40" w:after="0"/>
        <w:ind w:start="85" w:end="85"/>
        <w:rPr/>
      </w:pPr>
      <w:r>
        <w:rPr>
          <w:b/>
          <w:color w:val="0B3D91"/>
          <w:sz w:val="17"/>
        </w:rPr>
        <w:t>Q4. Qui porte, coordonne ou garantit les éléments présentés dans « Agrément et reconnaissance officielle — GSE-PUB-AGR-001 » ?</w:t>
      </w:r>
    </w:p>
    <w:p>
      <w:pPr>
        <w:pStyle w:val="Normal"/>
        <w:spacing w:before="0" w:after="40"/>
        <w:ind w:start="255" w:end="85"/>
        <w:rPr/>
      </w:pPr>
      <w:r>
        <w:rPr>
          <w:b/>
          <w:color w:val="D4A017"/>
          <w:sz w:val="17"/>
        </w:rPr>
        <w:t xml:space="preserve">Réponse : </w:t>
      </w:r>
      <w:r>
        <w:rPr>
          <w:color w:val="1F2937"/>
          <w:sz w:val="17"/>
        </w:rPr>
        <w:t>La Direction générale est propriétaire de cette référence.</w:t>
      </w:r>
    </w:p>
    <w:p>
      <w:pPr>
        <w:pStyle w:val="Normal"/>
        <w:keepNext w:val="true"/>
        <w:spacing w:before="40" w:after="0"/>
        <w:ind w:start="85" w:end="85"/>
        <w:rPr/>
      </w:pPr>
      <w:r>
        <w:rPr>
          <w:b/>
          <w:color w:val="0B3D91"/>
          <w:sz w:val="17"/>
        </w:rPr>
        <w:t>Q5. Comment la section « Agrément et reconnaissance officielle — GSE-PUB-AGR-001 » prévoit-elle la mise en œuvre ou le suivi ?</w:t>
      </w:r>
    </w:p>
    <w:p>
      <w:pPr>
        <w:pStyle w:val="Normal"/>
        <w:spacing w:before="0" w:after="40"/>
        <w:ind w:start="255" w:end="85"/>
        <w:rPr/>
      </w:pPr>
      <w:r>
        <w:rPr>
          <w:b/>
          <w:color w:val="D4A017"/>
          <w:sz w:val="17"/>
        </w:rPr>
        <w:t xml:space="preserve">Réponse : </w:t>
      </w:r>
      <w:r>
        <w:rPr>
          <w:color w:val="1F2937"/>
          <w:sz w:val="17"/>
        </w:rPr>
        <w:t>La carte permet d’ouvrir la source publique approuvée.</w:t>
      </w:r>
    </w:p>
    <w:p>
      <w:pPr>
        <w:pStyle w:val="Normal"/>
        <w:keepNext w:val="true"/>
        <w:spacing w:before="40" w:after="0"/>
        <w:ind w:start="85" w:end="85"/>
        <w:rPr/>
      </w:pPr>
      <w:r>
        <w:rPr>
          <w:b/>
          <w:color w:val="0B3D91"/>
          <w:sz w:val="17"/>
        </w:rPr>
        <w:t>Q6. Quelle preuve, référence, règle ou information de statut accompagne « Agrément et reconnaissance officielle — GSE-PUB-AGR-001 » ?</w:t>
      </w:r>
    </w:p>
    <w:p>
      <w:pPr>
        <w:pStyle w:val="Normal"/>
        <w:spacing w:before="0" w:after="40"/>
        <w:ind w:start="255" w:end="85"/>
        <w:rPr/>
      </w:pPr>
      <w:r>
        <w:rPr>
          <w:b/>
          <w:color w:val="D4A017"/>
          <w:sz w:val="17"/>
        </w:rPr>
        <w:t xml:space="preserve">Réponse : </w:t>
      </w:r>
      <w:r>
        <w:rPr>
          <w:color w:val="1F2937"/>
          <w:sz w:val="17"/>
        </w:rPr>
        <w:t>Code GSE-PUB-AGR-001,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Agrément et reconnaissance officielle — GSE-PUB-AGR-001 » ?</w:t>
      </w:r>
    </w:p>
    <w:p>
      <w:pPr>
        <w:pStyle w:val="Normal"/>
        <w:spacing w:before="0" w:after="40"/>
        <w:ind w:start="255" w:end="85"/>
        <w:rPr/>
      </w:pPr>
      <w:r>
        <w:rPr>
          <w:b/>
          <w:color w:val="D4A017"/>
          <w:sz w:val="17"/>
        </w:rPr>
        <w:t xml:space="preserve">Réponse : </w:t>
      </w:r>
      <w:r>
        <w:rPr>
          <w:color w:val="1F2937"/>
          <w:sz w:val="17"/>
        </w:rPr>
        <w:t>La référence publique ne remplace pas les dossiers administratifs internes complets.</w:t>
      </w:r>
    </w:p>
    <w:p>
      <w:pPr>
        <w:pStyle w:val="Normal"/>
        <w:keepNext w:val="true"/>
        <w:spacing w:before="40" w:after="0"/>
        <w:ind w:start="85" w:end="85"/>
        <w:rPr/>
      </w:pPr>
      <w:r>
        <w:rPr>
          <w:b/>
          <w:color w:val="0B3D91"/>
          <w:sz w:val="17"/>
        </w:rPr>
        <w:t>Q8. À quels publics ou bénéficiaires la section « Agrément et reconnaissance officielle — GSE-PUB-AGR-001 » est-elle principalement destinée ?</w:t>
      </w:r>
    </w:p>
    <w:p>
      <w:pPr>
        <w:pStyle w:val="Normal"/>
        <w:spacing w:before="0" w:after="40"/>
        <w:ind w:start="255" w:end="85"/>
        <w:rPr/>
      </w:pPr>
      <w:r>
        <w:rPr>
          <w:b/>
          <w:color w:val="D4A017"/>
          <w:sz w:val="17"/>
        </w:rPr>
        <w:t xml:space="preserve">Réponse : </w:t>
      </w:r>
      <w:r>
        <w:rPr>
          <w:color w:val="1F2937"/>
          <w:sz w:val="17"/>
        </w:rPr>
        <w:t>Familles, partenaires, autorités et personnes vérifiant le statut de l’école.</w:t>
      </w:r>
    </w:p>
    <w:p>
      <w:pPr>
        <w:pStyle w:val="Normal"/>
        <w:keepNext w:val="true"/>
        <w:spacing w:before="40" w:after="0"/>
        <w:ind w:start="85" w:end="85"/>
        <w:rPr/>
      </w:pPr>
      <w:r>
        <w:rPr>
          <w:b/>
          <w:color w:val="0B3D91"/>
          <w:sz w:val="17"/>
        </w:rPr>
        <w:t>Q9. À quelles autres rubriques ou fonctions du site « Agrément et reconnaissance officielle — GSE-PUB-AGR-001 » est-il relié ?</w:t>
      </w:r>
    </w:p>
    <w:p>
      <w:pPr>
        <w:pStyle w:val="Normal"/>
        <w:spacing w:before="0" w:after="40"/>
        <w:ind w:start="255" w:end="85"/>
        <w:rPr/>
      </w:pPr>
      <w:r>
        <w:rPr>
          <w:b/>
          <w:color w:val="D4A017"/>
          <w:sz w:val="17"/>
        </w:rPr>
        <w:t xml:space="preserve">Réponse : </w:t>
      </w:r>
      <w:r>
        <w:rPr>
          <w:color w:val="1F2937"/>
          <w:sz w:val="17"/>
        </w:rPr>
        <w:t>Lien avec À propos/Agrément, Conformité, Admissions et Gouvernance.</w:t>
      </w:r>
    </w:p>
    <w:p>
      <w:pPr>
        <w:pStyle w:val="Normal"/>
        <w:keepNext w:val="true"/>
        <w:spacing w:before="40" w:after="0"/>
        <w:ind w:start="85" w:end="85"/>
        <w:rPr/>
      </w:pPr>
      <w:r>
        <w:rPr>
          <w:b/>
          <w:color w:val="0B3D91"/>
          <w:sz w:val="17"/>
        </w:rPr>
        <w:t>Q10. Quelle action, orientation ou résultat concret le lecteur peut-il retenir de « Agrément et reconnaissance officielle — GSE-PUB-AGR-001 » ?</w:t>
      </w:r>
    </w:p>
    <w:p>
      <w:pPr>
        <w:pStyle w:val="Normal"/>
        <w:spacing w:before="0" w:after="40"/>
        <w:ind w:start="255" w:end="85"/>
        <w:rPr/>
      </w:pPr>
      <w:r>
        <w:rPr>
          <w:b/>
          <w:color w:val="D4A017"/>
          <w:sz w:val="17"/>
        </w:rPr>
        <w:t xml:space="preserve">Réponse : </w:t>
      </w:r>
      <w:r>
        <w:rPr>
          <w:color w:val="1F2937"/>
          <w:sz w:val="17"/>
        </w:rPr>
        <w:t>Ouvrir la source approuvée pour vérifier l’agrément.</w:t>
      </w:r>
    </w:p>
    <w:p>
      <w:pPr>
        <w:pStyle w:val="Normal"/>
        <w:rPr/>
      </w:pPr>
      <w:r>
        <w:rPr/>
      </w:r>
      <w:r>
        <w:br w:type="page"/>
      </w:r>
    </w:p>
    <w:p>
      <w:pPr>
        <w:pStyle w:val="Heading2"/>
        <w:spacing w:before="0" w:after="80"/>
        <w:rPr/>
      </w:pPr>
      <w:r>
        <w:rPr/>
        <w:t>FICHE 29 — Assurance qualité et amélioration continue — GSE-PUB-QUA-001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décrit les engagements publics, domaines qualité, écoute des familles et cycle d’amélioration.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reprend exactement le domaine institutionnel couvert.</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source garantit une réponse cohérente et versionnée sur la qualité.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DAQAC, engagements et réclamations.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QUA</w:t>
      </w:r>
    </w:p>
    <w:p>
      <w:pPr>
        <w:pStyle w:val="ListBullet"/>
        <w:numPr>
          <w:ilvl w:val="0"/>
          <w:numId w:val="1"/>
        </w:numPr>
        <w:spacing w:before="0" w:after="20"/>
        <w:ind w:hanging="360" w:start="255"/>
        <w:contextualSpacing/>
        <w:rPr/>
      </w:pPr>
      <w:r>
        <w:rPr>
          <w:sz w:val="18"/>
        </w:rPr>
        <w:t>Version 1.0</w:t>
      </w:r>
    </w:p>
    <w:p>
      <w:pPr>
        <w:pStyle w:val="ListBullet"/>
        <w:numPr>
          <w:ilvl w:val="0"/>
          <w:numId w:val="1"/>
        </w:numPr>
        <w:spacing w:before="0" w:after="20"/>
        <w:ind w:hanging="360" w:start="255"/>
        <w:contextualSpacing/>
        <w:rPr/>
      </w:pPr>
      <w:r>
        <w:rPr>
          <w:sz w:val="18"/>
        </w:rPr>
        <w:t>Propriétaire DAQAC</w:t>
      </w:r>
    </w:p>
    <w:p>
      <w:pPr>
        <w:pStyle w:val="ListBullet"/>
        <w:numPr>
          <w:ilvl w:val="0"/>
          <w:numId w:val="1"/>
        </w:numPr>
        <w:spacing w:before="0" w:after="20"/>
        <w:ind w:hanging="360" w:start="255"/>
        <w:contextualSpacing/>
        <w:rPr/>
      </w:pPr>
      <w:r>
        <w:rPr>
          <w:sz w:val="18"/>
        </w:rPr>
        <w:t>FR/EN</w:t>
      </w:r>
    </w:p>
    <w:p>
      <w:pPr>
        <w:pStyle w:val="Heading3"/>
        <w:rPr/>
      </w:pPr>
      <w:r>
        <w:rPr/>
        <w:t>Banque de questions-réponses</w:t>
      </w:r>
    </w:p>
    <w:p>
      <w:pPr>
        <w:pStyle w:val="Normal"/>
        <w:keepNext w:val="true"/>
        <w:spacing w:before="40" w:after="0"/>
        <w:ind w:start="85" w:end="85"/>
        <w:rPr/>
      </w:pPr>
      <w:r>
        <w:rPr>
          <w:b/>
          <w:color w:val="0B3D91"/>
          <w:sz w:val="17"/>
        </w:rPr>
        <w:t>Q1. Que présente la section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Cette référence décrit les engagements publics, domaines qualité, écoute des familles et cycle d’amélioration.</w:t>
      </w:r>
    </w:p>
    <w:p>
      <w:pPr>
        <w:pStyle w:val="Normal"/>
        <w:keepNext w:val="true"/>
        <w:spacing w:before="40" w:after="0"/>
        <w:ind w:start="85" w:end="85"/>
        <w:rPr/>
      </w:pPr>
      <w:r>
        <w:rPr>
          <w:b/>
          <w:color w:val="0B3D91"/>
          <w:sz w:val="17"/>
        </w:rPr>
        <w:t>Q2. Quel est l’objectif principal exposé dans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Identifier la source officielle du dispositif public d’assurance qualité.</w:t>
      </w:r>
    </w:p>
    <w:p>
      <w:pPr>
        <w:pStyle w:val="Normal"/>
        <w:keepNext w:val="true"/>
        <w:spacing w:before="40" w:after="0"/>
        <w:ind w:start="85" w:end="85"/>
        <w:rPr/>
      </w:pPr>
      <w:r>
        <w:rPr>
          <w:b/>
          <w:color w:val="0B3D91"/>
          <w:sz w:val="17"/>
        </w:rPr>
        <w:t>Q3. Quels éléments ou domaines sont couverts par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Engagements, domaines, écoute et cycle.</w:t>
      </w:r>
    </w:p>
    <w:p>
      <w:pPr>
        <w:pStyle w:val="Normal"/>
        <w:keepNext w:val="true"/>
        <w:spacing w:before="40" w:after="0"/>
        <w:ind w:start="85" w:end="85"/>
        <w:rPr/>
      </w:pPr>
      <w:r>
        <w:rPr>
          <w:b/>
          <w:color w:val="0B3D91"/>
          <w:sz w:val="17"/>
        </w:rPr>
        <w:t>Q4. Qui porte, coordonne ou garantit les éléments présentés dans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Le DAQAC est propriétaire de la référence.</w:t>
      </w:r>
    </w:p>
    <w:p>
      <w:pPr>
        <w:pStyle w:val="Normal"/>
        <w:keepNext w:val="true"/>
        <w:spacing w:before="40" w:after="0"/>
        <w:ind w:start="85" w:end="85"/>
        <w:rPr/>
      </w:pPr>
      <w:r>
        <w:rPr>
          <w:b/>
          <w:color w:val="0B3D91"/>
          <w:sz w:val="17"/>
        </w:rPr>
        <w:t>Q5. Comment la section « Assurance qualité et amélioration continue — GSE-PUB-QUA-001 » prévoit-elle la mise en œuvre ou le suivi ?</w:t>
      </w:r>
    </w:p>
    <w:p>
      <w:pPr>
        <w:pStyle w:val="Normal"/>
        <w:spacing w:before="0" w:after="40"/>
        <w:ind w:start="255" w:end="85"/>
        <w:rPr/>
      </w:pPr>
      <w:r>
        <w:rPr>
          <w:b/>
          <w:color w:val="D4A017"/>
          <w:sz w:val="17"/>
        </w:rPr>
        <w:t xml:space="preserve">Réponse : </w:t>
      </w:r>
      <w:r>
        <w:rPr>
          <w:color w:val="1F2937"/>
          <w:sz w:val="17"/>
        </w:rPr>
        <w:t>Le lien ouvre la page publique approuvée sur l’assurance qualité.</w:t>
      </w:r>
    </w:p>
    <w:p>
      <w:pPr>
        <w:pStyle w:val="Normal"/>
        <w:keepNext w:val="true"/>
        <w:spacing w:before="40" w:after="0"/>
        <w:ind w:start="85" w:end="85"/>
        <w:rPr/>
      </w:pPr>
      <w:r>
        <w:rPr>
          <w:b/>
          <w:color w:val="0B3D91"/>
          <w:sz w:val="17"/>
        </w:rPr>
        <w:t>Q6. Quelle preuve, référence, règle ou information de statut accompagne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Code GSE-PUB-QUA-001,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Les audits détaillés et informations sensibles restent internes.</w:t>
      </w:r>
    </w:p>
    <w:p>
      <w:pPr>
        <w:pStyle w:val="Normal"/>
        <w:keepNext w:val="true"/>
        <w:spacing w:before="40" w:after="0"/>
        <w:ind w:start="85" w:end="85"/>
        <w:rPr/>
      </w:pPr>
      <w:r>
        <w:rPr>
          <w:b/>
          <w:color w:val="0B3D91"/>
          <w:sz w:val="17"/>
        </w:rPr>
        <w:t>Q8. À quels publics ou bénéficiaires la section « Assurance qualité et amélioration continue — GSE-PUB-QUA-001 » est-elle principalement destinée ?</w:t>
      </w:r>
    </w:p>
    <w:p>
      <w:pPr>
        <w:pStyle w:val="Normal"/>
        <w:spacing w:before="0" w:after="40"/>
        <w:ind w:start="255" w:end="85"/>
        <w:rPr/>
      </w:pPr>
      <w:r>
        <w:rPr>
          <w:b/>
          <w:color w:val="D4A017"/>
          <w:sz w:val="17"/>
        </w:rPr>
        <w:t xml:space="preserve">Réponse : </w:t>
      </w:r>
      <w:r>
        <w:rPr>
          <w:color w:val="1F2937"/>
          <w:sz w:val="17"/>
        </w:rPr>
        <w:t>Familles, partenaires et responsables intéressés par la qualité.</w:t>
      </w:r>
    </w:p>
    <w:p>
      <w:pPr>
        <w:pStyle w:val="Normal"/>
        <w:keepNext w:val="true"/>
        <w:spacing w:before="40" w:after="0"/>
        <w:ind w:start="85" w:end="85"/>
        <w:rPr/>
      </w:pPr>
      <w:r>
        <w:rPr>
          <w:b/>
          <w:color w:val="0B3D91"/>
          <w:sz w:val="17"/>
        </w:rPr>
        <w:t>Q9. À quelles autres rubriques ou fonctions du site « Assurance qualité et amélioration continue — GSE-PUB-QUA-001 » est-il relié ?</w:t>
      </w:r>
    </w:p>
    <w:p>
      <w:pPr>
        <w:pStyle w:val="Normal"/>
        <w:spacing w:before="0" w:after="40"/>
        <w:ind w:start="255" w:end="85"/>
        <w:rPr/>
      </w:pPr>
      <w:r>
        <w:rPr>
          <w:b/>
          <w:color w:val="D4A017"/>
          <w:sz w:val="17"/>
        </w:rPr>
        <w:t xml:space="preserve">Réponse : </w:t>
      </w:r>
      <w:r>
        <w:rPr>
          <w:color w:val="1F2937"/>
          <w:sz w:val="17"/>
        </w:rPr>
        <w:t>Lien avec la page Assurance qualité et le menu Qualité et engagements.</w:t>
      </w:r>
    </w:p>
    <w:p>
      <w:pPr>
        <w:pStyle w:val="Normal"/>
        <w:keepNext w:val="true"/>
        <w:spacing w:before="40" w:after="0"/>
        <w:ind w:start="85" w:end="85"/>
        <w:rPr/>
      </w:pPr>
      <w:r>
        <w:rPr>
          <w:b/>
          <w:color w:val="0B3D91"/>
          <w:sz w:val="17"/>
        </w:rPr>
        <w:t>Q10. Quelle action, orientation ou résultat concret le lecteur peut-il retenir de « Assurance qualité et amélioration continue — GSE-PUB-QUA-001 » ?</w:t>
      </w:r>
    </w:p>
    <w:p>
      <w:pPr>
        <w:pStyle w:val="Normal"/>
        <w:spacing w:before="0" w:after="40"/>
        <w:ind w:start="255" w:end="85"/>
        <w:rPr/>
      </w:pPr>
      <w:r>
        <w:rPr>
          <w:b/>
          <w:color w:val="D4A017"/>
          <w:sz w:val="17"/>
        </w:rPr>
        <w:t xml:space="preserve">Réponse : </w:t>
      </w:r>
      <w:r>
        <w:rPr>
          <w:color w:val="1F2937"/>
          <w:sz w:val="17"/>
        </w:rPr>
        <w:t>Ouvrir la source active pour comprendre le dispositif qualité.</w:t>
      </w:r>
    </w:p>
    <w:p>
      <w:pPr>
        <w:pStyle w:val="Normal"/>
        <w:rPr/>
      </w:pPr>
      <w:r>
        <w:rPr/>
      </w:r>
      <w:r>
        <w:br w:type="page"/>
      </w:r>
    </w:p>
    <w:p>
      <w:pPr>
        <w:pStyle w:val="Heading2"/>
        <w:spacing w:before="0" w:after="80"/>
        <w:rPr/>
      </w:pPr>
      <w:r>
        <w:rPr/>
        <w:t>FICHE 30 — Veille officielle et système d’alerte gradué — GSE-PUB-VEI-001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couvre les sources institutionnelles, l’analyse d’impact, les alertes graduées et la validation humaine des décisions.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distingue la surveillance de l’information de la décision institutionnelle.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veille protège l’école contre les informations dépassées et les réactions non maîtrisées.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alertes, analyse d’impact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VEI</w:t>
      </w:r>
    </w:p>
    <w:p>
      <w:pPr>
        <w:pStyle w:val="ListBullet"/>
        <w:numPr>
          <w:ilvl w:val="0"/>
          <w:numId w:val="1"/>
        </w:numPr>
        <w:spacing w:before="0" w:after="20"/>
        <w:ind w:hanging="360" w:start="255"/>
        <w:contextualSpacing/>
        <w:rPr/>
      </w:pPr>
      <w:r>
        <w:rPr>
          <w:sz w:val="18"/>
        </w:rPr>
        <w:t>Alertes graduées</w:t>
      </w:r>
    </w:p>
    <w:p>
      <w:pPr>
        <w:pStyle w:val="ListBullet"/>
        <w:numPr>
          <w:ilvl w:val="0"/>
          <w:numId w:val="1"/>
        </w:numPr>
        <w:spacing w:before="0" w:after="20"/>
        <w:ind w:hanging="360" w:start="255"/>
        <w:contextualSpacing/>
        <w:rPr/>
      </w:pPr>
      <w:r>
        <w:rPr>
          <w:sz w:val="18"/>
        </w:rPr>
        <w:t>Analyse d’impact</w:t>
      </w:r>
    </w:p>
    <w:p>
      <w:pPr>
        <w:pStyle w:val="ListBullet"/>
        <w:numPr>
          <w:ilvl w:val="0"/>
          <w:numId w:val="1"/>
        </w:numPr>
        <w:spacing w:before="0" w:after="20"/>
        <w:ind w:hanging="360" w:start="255"/>
        <w:contextualSpacing/>
        <w:rPr/>
      </w:pPr>
      <w:r>
        <w:rPr>
          <w:sz w:val="18"/>
        </w:rPr>
        <w:t>Validation humaine</w:t>
      </w:r>
    </w:p>
    <w:p>
      <w:pPr>
        <w:pStyle w:val="Heading3"/>
        <w:rPr/>
      </w:pPr>
      <w:r>
        <w:rPr/>
        <w:t>Banque de questions-réponses</w:t>
      </w:r>
    </w:p>
    <w:p>
      <w:pPr>
        <w:pStyle w:val="Normal"/>
        <w:keepNext w:val="true"/>
        <w:spacing w:before="40" w:after="0"/>
        <w:ind w:start="85" w:end="85"/>
        <w:rPr/>
      </w:pPr>
      <w:r>
        <w:rPr>
          <w:b/>
          <w:color w:val="0B3D91"/>
          <w:sz w:val="17"/>
        </w:rPr>
        <w:t>Q1. Que présente la section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Cette référence couvre les sources institutionnelles, l’analyse d’impact, les alertes graduées et la validation humaine des décisions.</w:t>
      </w:r>
    </w:p>
    <w:p>
      <w:pPr>
        <w:pStyle w:val="Normal"/>
        <w:keepNext w:val="true"/>
        <w:spacing w:before="40" w:after="0"/>
        <w:ind w:start="85" w:end="85"/>
        <w:rPr/>
      </w:pPr>
      <w:r>
        <w:rPr>
          <w:b/>
          <w:color w:val="0B3D91"/>
          <w:sz w:val="17"/>
        </w:rPr>
        <w:t>Q2. Quel est l’objectif principal exposé dans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Définir la source publique du dispositif de veille et d’alerte.</w:t>
      </w:r>
    </w:p>
    <w:p>
      <w:pPr>
        <w:pStyle w:val="Normal"/>
        <w:keepNext w:val="true"/>
        <w:spacing w:before="40" w:after="0"/>
        <w:ind w:start="85" w:end="85"/>
        <w:rPr/>
      </w:pPr>
      <w:r>
        <w:rPr>
          <w:b/>
          <w:color w:val="0B3D91"/>
          <w:sz w:val="17"/>
        </w:rPr>
        <w:t>Q3. Quels éléments ou domaines sont couverts par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Sources officielles, analyse d’impact, niveaux d’alerte et décision humaine.</w:t>
      </w:r>
    </w:p>
    <w:p>
      <w:pPr>
        <w:pStyle w:val="Normal"/>
        <w:keepNext w:val="true"/>
        <w:spacing w:before="40" w:after="0"/>
        <w:ind w:start="85" w:end="85"/>
        <w:rPr/>
      </w:pPr>
      <w:r>
        <w:rPr>
          <w:b/>
          <w:color w:val="0B3D91"/>
          <w:sz w:val="17"/>
        </w:rPr>
        <w:t>Q4. Qui porte, coordonne ou garantit les éléments présentés dans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La Direction et le DAQAC sont propriétaires de la référence.</w:t>
      </w:r>
    </w:p>
    <w:p>
      <w:pPr>
        <w:pStyle w:val="Normal"/>
        <w:keepNext w:val="true"/>
        <w:spacing w:before="40" w:after="0"/>
        <w:ind w:start="85" w:end="85"/>
        <w:rPr/>
      </w:pPr>
      <w:r>
        <w:rPr>
          <w:b/>
          <w:color w:val="0B3D91"/>
          <w:sz w:val="17"/>
        </w:rPr>
        <w:t>Q5. Comment la section « Veille officielle et système d’alerte gradué — GSE-PUB-VEI-001 » prévoit-elle la mise en œuvre ou le suivi ?</w:t>
      </w:r>
    </w:p>
    <w:p>
      <w:pPr>
        <w:pStyle w:val="Normal"/>
        <w:spacing w:before="0" w:after="40"/>
        <w:ind w:start="255" w:end="85"/>
        <w:rPr/>
      </w:pPr>
      <w:r>
        <w:rPr>
          <w:b/>
          <w:color w:val="D4A017"/>
          <w:sz w:val="17"/>
        </w:rPr>
        <w:t xml:space="preserve">Réponse : </w:t>
      </w:r>
      <w:r>
        <w:rPr>
          <w:color w:val="1F2937"/>
          <w:sz w:val="17"/>
        </w:rPr>
        <w:t>Les informations sont surveillées, analysées puis validées humainement avant décision.</w:t>
      </w:r>
    </w:p>
    <w:p>
      <w:pPr>
        <w:pStyle w:val="Normal"/>
        <w:keepNext w:val="true"/>
        <w:spacing w:before="40" w:after="0"/>
        <w:ind w:start="85" w:end="85"/>
        <w:rPr/>
      </w:pPr>
      <w:r>
        <w:rPr>
          <w:b/>
          <w:color w:val="0B3D91"/>
          <w:sz w:val="17"/>
        </w:rPr>
        <w:t>Q6. Quelle preuve, référence, règle ou information de statut accompagne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Code GSE-PUB-VEI-001,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Une alerte ne devient pas automatiquement une décision sans validation humaine.</w:t>
      </w:r>
    </w:p>
    <w:p>
      <w:pPr>
        <w:pStyle w:val="Normal"/>
        <w:keepNext w:val="true"/>
        <w:spacing w:before="40" w:after="0"/>
        <w:ind w:start="85" w:end="85"/>
        <w:rPr/>
      </w:pPr>
      <w:r>
        <w:rPr>
          <w:b/>
          <w:color w:val="0B3D91"/>
          <w:sz w:val="17"/>
        </w:rPr>
        <w:t>Q8. À quels publics ou bénéficiaires la section « Veille officielle et système d’alerte gradué — GSE-PUB-VEI-001 » est-elle principalement destinée ?</w:t>
      </w:r>
    </w:p>
    <w:p>
      <w:pPr>
        <w:pStyle w:val="Normal"/>
        <w:spacing w:before="0" w:after="40"/>
        <w:ind w:start="255" w:end="85"/>
        <w:rPr/>
      </w:pPr>
      <w:r>
        <w:rPr>
          <w:b/>
          <w:color w:val="D4A017"/>
          <w:sz w:val="17"/>
        </w:rPr>
        <w:t xml:space="preserve">Réponse : </w:t>
      </w:r>
      <w:r>
        <w:rPr>
          <w:color w:val="1F2937"/>
          <w:sz w:val="17"/>
        </w:rPr>
        <w:t>Direction, services, familles et partenaires concernés par des changements officiels.</w:t>
      </w:r>
    </w:p>
    <w:p>
      <w:pPr>
        <w:pStyle w:val="Normal"/>
        <w:keepNext w:val="true"/>
        <w:spacing w:before="40" w:after="0"/>
        <w:ind w:start="85" w:end="85"/>
        <w:rPr/>
      </w:pPr>
      <w:r>
        <w:rPr>
          <w:b/>
          <w:color w:val="0B3D91"/>
          <w:sz w:val="17"/>
        </w:rPr>
        <w:t>Q9. À quelles autres rubriques ou fonctions du site « Veille officielle et système d’alerte gradué — GSE-PUB-VEI-001 » est-il relié ?</w:t>
      </w:r>
    </w:p>
    <w:p>
      <w:pPr>
        <w:pStyle w:val="Normal"/>
        <w:spacing w:before="0" w:after="40"/>
        <w:ind w:start="255" w:end="85"/>
        <w:rPr/>
      </w:pPr>
      <w:r>
        <w:rPr>
          <w:b/>
          <w:color w:val="D4A017"/>
          <w:sz w:val="17"/>
        </w:rPr>
        <w:t xml:space="preserve">Réponse : </w:t>
      </w:r>
      <w:r>
        <w:rPr>
          <w:color w:val="1F2937"/>
          <w:sz w:val="17"/>
        </w:rPr>
        <w:t>Lien avec Conformité, DAQAC, Documentation et ÉMINA.</w:t>
      </w:r>
    </w:p>
    <w:p>
      <w:pPr>
        <w:pStyle w:val="Normal"/>
        <w:keepNext w:val="true"/>
        <w:spacing w:before="40" w:after="0"/>
        <w:ind w:start="85" w:end="85"/>
        <w:rPr/>
      </w:pPr>
      <w:r>
        <w:rPr>
          <w:b/>
          <w:color w:val="0B3D91"/>
          <w:sz w:val="17"/>
        </w:rPr>
        <w:t>Q10. Quelle action, orientation ou résultat concret le lecteur peut-il retenir de « Veille officielle et système d’alerte gradué — GSE-PUB-VEI-001 » ?</w:t>
      </w:r>
    </w:p>
    <w:p>
      <w:pPr>
        <w:pStyle w:val="Normal"/>
        <w:spacing w:before="0" w:after="40"/>
        <w:ind w:start="255" w:end="85"/>
        <w:rPr/>
      </w:pPr>
      <w:r>
        <w:rPr>
          <w:b/>
          <w:color w:val="D4A017"/>
          <w:sz w:val="17"/>
        </w:rPr>
        <w:t xml:space="preserve">Réponse : </w:t>
      </w:r>
      <w:r>
        <w:rPr>
          <w:color w:val="1F2937"/>
          <w:sz w:val="17"/>
        </w:rPr>
        <w:t>Consulter la source pour comprendre comment l’école traite les évolutions officielles.</w:t>
      </w:r>
    </w:p>
    <w:p>
      <w:pPr>
        <w:pStyle w:val="Normal"/>
        <w:rPr/>
      </w:pPr>
      <w:r>
        <w:rPr/>
      </w:r>
      <w:r>
        <w:br w:type="page"/>
      </w:r>
    </w:p>
    <w:p>
      <w:pPr>
        <w:pStyle w:val="Heading2"/>
        <w:spacing w:before="0" w:after="80"/>
        <w:rPr/>
      </w:pPr>
      <w:r>
        <w:rPr/>
        <w:t>FICHE 31 — Bien-être, sécurité et protection de l’enfant — GSE-PUB-PRO-001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présente les principes publics de prévention, protection, santé scolaire et orientation vers l’aide.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place la protection de l’enfant au centre de la référence.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source soutient la prévention et l’orientation correcte des situations sensibles.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circuits de signalement et la sécurité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PRO</w:t>
      </w:r>
    </w:p>
    <w:p>
      <w:pPr>
        <w:pStyle w:val="ListBullet"/>
        <w:numPr>
          <w:ilvl w:val="0"/>
          <w:numId w:val="1"/>
        </w:numPr>
        <w:spacing w:before="0" w:after="20"/>
        <w:ind w:hanging="360" w:start="255"/>
        <w:contextualSpacing/>
        <w:rPr/>
      </w:pPr>
      <w:r>
        <w:rPr>
          <w:sz w:val="18"/>
        </w:rPr>
        <w:t>Propriétaire DBSPE</w:t>
      </w:r>
    </w:p>
    <w:p>
      <w:pPr>
        <w:pStyle w:val="ListBullet"/>
        <w:numPr>
          <w:ilvl w:val="0"/>
          <w:numId w:val="1"/>
        </w:numPr>
        <w:spacing w:before="0" w:after="20"/>
        <w:ind w:hanging="360" w:start="255"/>
        <w:contextualSpacing/>
        <w:rPr/>
      </w:pPr>
      <w:r>
        <w:rPr>
          <w:sz w:val="18"/>
        </w:rPr>
        <w:t>Prévention</w:t>
      </w:r>
    </w:p>
    <w:p>
      <w:pPr>
        <w:pStyle w:val="ListBullet"/>
        <w:numPr>
          <w:ilvl w:val="0"/>
          <w:numId w:val="1"/>
        </w:numPr>
        <w:spacing w:before="0" w:after="20"/>
        <w:ind w:hanging="360" w:start="255"/>
        <w:contextualSpacing/>
        <w:rPr/>
      </w:pPr>
      <w:r>
        <w:rPr>
          <w:sz w:val="18"/>
        </w:rPr>
        <w:t>Protection</w:t>
      </w:r>
    </w:p>
    <w:p>
      <w:pPr>
        <w:pStyle w:val="ListBullet"/>
        <w:numPr>
          <w:ilvl w:val="0"/>
          <w:numId w:val="1"/>
        </w:numPr>
        <w:spacing w:before="0" w:after="20"/>
        <w:ind w:hanging="360" w:start="255"/>
        <w:contextualSpacing/>
        <w:rPr/>
      </w:pPr>
      <w:r>
        <w:rPr>
          <w:sz w:val="18"/>
        </w:rPr>
        <w:t>Santé scolaire</w:t>
      </w:r>
    </w:p>
    <w:p>
      <w:pPr>
        <w:pStyle w:val="Heading3"/>
        <w:rPr/>
      </w:pPr>
      <w:r>
        <w:rPr/>
        <w:t>Banque de questions-réponses</w:t>
      </w:r>
    </w:p>
    <w:p>
      <w:pPr>
        <w:pStyle w:val="Normal"/>
        <w:keepNext w:val="true"/>
        <w:spacing w:before="40" w:after="0"/>
        <w:ind w:start="85" w:end="85"/>
        <w:rPr/>
      </w:pPr>
      <w:r>
        <w:rPr>
          <w:b/>
          <w:color w:val="0B3D91"/>
          <w:sz w:val="17"/>
        </w:rPr>
        <w:t>Q1. Que présente la section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Cette référence présente les principes publics de prévention, protection, santé scolaire et orientation vers l’aide.</w:t>
      </w:r>
    </w:p>
    <w:p>
      <w:pPr>
        <w:pStyle w:val="Normal"/>
        <w:keepNext w:val="true"/>
        <w:spacing w:before="40" w:after="0"/>
        <w:ind w:start="85" w:end="85"/>
        <w:rPr/>
      </w:pPr>
      <w:r>
        <w:rPr>
          <w:b/>
          <w:color w:val="0B3D91"/>
          <w:sz w:val="17"/>
        </w:rPr>
        <w:t>Q2. Quel est l’objectif principal exposé dans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Rendre accessibles les engagements fondamentaux de protection de l’enfant.</w:t>
      </w:r>
    </w:p>
    <w:p>
      <w:pPr>
        <w:pStyle w:val="Normal"/>
        <w:keepNext w:val="true"/>
        <w:spacing w:before="40" w:after="0"/>
        <w:ind w:start="85" w:end="85"/>
        <w:rPr/>
      </w:pPr>
      <w:r>
        <w:rPr>
          <w:b/>
          <w:color w:val="0B3D91"/>
          <w:sz w:val="17"/>
        </w:rPr>
        <w:t>Q3. Quels éléments ou domaines sont couverts par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Prévention, protection, santé scolaire, signalement et orientation.</w:t>
      </w:r>
    </w:p>
    <w:p>
      <w:pPr>
        <w:pStyle w:val="Normal"/>
        <w:keepNext w:val="true"/>
        <w:spacing w:before="40" w:after="0"/>
        <w:ind w:start="85" w:end="85"/>
        <w:rPr/>
      </w:pPr>
      <w:r>
        <w:rPr>
          <w:b/>
          <w:color w:val="0B3D91"/>
          <w:sz w:val="17"/>
        </w:rPr>
        <w:t>Q4. Qui porte, coordonne ou garantit les éléments présentés dans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Le DBSPE est propriétaire de la référence.</w:t>
      </w:r>
    </w:p>
    <w:p>
      <w:pPr>
        <w:pStyle w:val="Normal"/>
        <w:keepNext w:val="true"/>
        <w:spacing w:before="40" w:after="0"/>
        <w:ind w:start="85" w:end="85"/>
        <w:rPr/>
      </w:pPr>
      <w:r>
        <w:rPr>
          <w:b/>
          <w:color w:val="0B3D91"/>
          <w:sz w:val="17"/>
        </w:rPr>
        <w:t>Q5. Comment la section « Bien-être, sécurité et protection de l’enfant — GSE-PUB-PRO-001 » prévoit-elle la mise en œuvre ou le suivi ?</w:t>
      </w:r>
    </w:p>
    <w:p>
      <w:pPr>
        <w:pStyle w:val="Normal"/>
        <w:spacing w:before="0" w:after="40"/>
        <w:ind w:start="255" w:end="85"/>
        <w:rPr/>
      </w:pPr>
      <w:r>
        <w:rPr>
          <w:b/>
          <w:color w:val="D4A017"/>
          <w:sz w:val="17"/>
        </w:rPr>
        <w:t xml:space="preserve">Réponse : </w:t>
      </w:r>
      <w:r>
        <w:rPr>
          <w:color w:val="1F2937"/>
          <w:sz w:val="17"/>
        </w:rPr>
        <w:t>La source publique explique les principes tandis que les cas individuels suivent des circuits protégés.</w:t>
      </w:r>
    </w:p>
    <w:p>
      <w:pPr>
        <w:pStyle w:val="Normal"/>
        <w:keepNext w:val="true"/>
        <w:spacing w:before="40" w:after="0"/>
        <w:ind w:start="85" w:end="85"/>
        <w:rPr/>
      </w:pPr>
      <w:r>
        <w:rPr>
          <w:b/>
          <w:color w:val="0B3D91"/>
          <w:sz w:val="17"/>
        </w:rPr>
        <w:t>Q6. Quelle preuve, référence, règle ou information de statut accompagne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Code GSE-PUB-PRO-001,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Les dossiers individuels et enquêtes ne sont pas publiés.</w:t>
      </w:r>
    </w:p>
    <w:p>
      <w:pPr>
        <w:pStyle w:val="Normal"/>
        <w:keepNext w:val="true"/>
        <w:spacing w:before="40" w:after="0"/>
        <w:ind w:start="85" w:end="85"/>
        <w:rPr/>
      </w:pPr>
      <w:r>
        <w:rPr>
          <w:b/>
          <w:color w:val="0B3D91"/>
          <w:sz w:val="17"/>
        </w:rPr>
        <w:t>Q8. À quels publics ou bénéficiaires la section « Bien-être, sécurité et protection de l’enfant — GSE-PUB-PRO-001 » est-elle principalement destinée ?</w:t>
      </w:r>
    </w:p>
    <w:p>
      <w:pPr>
        <w:pStyle w:val="Normal"/>
        <w:spacing w:before="0" w:after="40"/>
        <w:ind w:start="255" w:end="85"/>
        <w:rPr/>
      </w:pPr>
      <w:r>
        <w:rPr>
          <w:b/>
          <w:color w:val="D4A017"/>
          <w:sz w:val="17"/>
        </w:rPr>
        <w:t xml:space="preserve">Réponse : </w:t>
      </w:r>
      <w:r>
        <w:rPr>
          <w:color w:val="1F2937"/>
          <w:sz w:val="17"/>
        </w:rPr>
        <w:t>Enfants, familles, personnel et partenaires.</w:t>
      </w:r>
    </w:p>
    <w:p>
      <w:pPr>
        <w:pStyle w:val="Normal"/>
        <w:keepNext w:val="true"/>
        <w:spacing w:before="40" w:after="0"/>
        <w:ind w:start="85" w:end="85"/>
        <w:rPr/>
      </w:pPr>
      <w:r>
        <w:rPr>
          <w:b/>
          <w:color w:val="0B3D91"/>
          <w:sz w:val="17"/>
        </w:rPr>
        <w:t>Q9. À quelles autres rubriques ou fonctions du site « Bien-être, sécurité et protection de l’enfant — GSE-PUB-PRO-001 » est-il relié ?</w:t>
      </w:r>
    </w:p>
    <w:p>
      <w:pPr>
        <w:pStyle w:val="Normal"/>
        <w:spacing w:before="0" w:after="40"/>
        <w:ind w:start="255" w:end="85"/>
        <w:rPr/>
      </w:pPr>
      <w:r>
        <w:rPr>
          <w:b/>
          <w:color w:val="D4A017"/>
          <w:sz w:val="17"/>
        </w:rPr>
        <w:t xml:space="preserve">Réponse : </w:t>
      </w:r>
      <w:r>
        <w:rPr>
          <w:color w:val="1F2937"/>
          <w:sz w:val="17"/>
        </w:rPr>
        <w:t>Lien avec Vie scolaire, DBSPE, Confidentialité et Contact.</w:t>
      </w:r>
    </w:p>
    <w:p>
      <w:pPr>
        <w:pStyle w:val="Normal"/>
        <w:keepNext w:val="true"/>
        <w:spacing w:before="40" w:after="0"/>
        <w:ind w:start="85" w:end="85"/>
        <w:rPr/>
      </w:pPr>
      <w:r>
        <w:rPr>
          <w:b/>
          <w:color w:val="0B3D91"/>
          <w:sz w:val="17"/>
        </w:rPr>
        <w:t>Q10. Quelle action, orientation ou résultat concret le lecteur peut-il retenir de « Bien-être, sécurité et protection de l’enfant — GSE-PUB-PRO-001 » ?</w:t>
      </w:r>
    </w:p>
    <w:p>
      <w:pPr>
        <w:pStyle w:val="Normal"/>
        <w:spacing w:before="0" w:after="40"/>
        <w:ind w:start="255" w:end="85"/>
        <w:rPr/>
      </w:pPr>
      <w:r>
        <w:rPr>
          <w:b/>
          <w:color w:val="D4A017"/>
          <w:sz w:val="17"/>
        </w:rPr>
        <w:t xml:space="preserve">Réponse : </w:t>
      </w:r>
      <w:r>
        <w:rPr>
          <w:color w:val="1F2937"/>
          <w:sz w:val="17"/>
        </w:rPr>
        <w:t>Ouvrir la source ou utiliser un canal sécurisé pour demander de l’aide.</w:t>
      </w:r>
    </w:p>
    <w:p>
      <w:pPr>
        <w:pStyle w:val="Normal"/>
        <w:rPr/>
      </w:pPr>
      <w:r>
        <w:rPr/>
      </w:r>
      <w:r>
        <w:br w:type="page"/>
      </w:r>
    </w:p>
    <w:p>
      <w:pPr>
        <w:pStyle w:val="Heading2"/>
        <w:spacing w:before="0" w:after="80"/>
        <w:rPr/>
      </w:pPr>
      <w:r>
        <w:rPr/>
        <w:t>FICHE 32 — Admissions 2026-2027 — GSE-PUB-ADM-001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présente les niveaux ouverts, étapes, pièces, frais et distinction entre préinscription et admission.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précise l’année scolaire et le domaine concerné.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source limite les erreurs et les informations contradictoires sur les admissions.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ÉMINA, Service Admissions et Contact.</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ADM</w:t>
      </w:r>
    </w:p>
    <w:p>
      <w:pPr>
        <w:pStyle w:val="ListBullet"/>
        <w:numPr>
          <w:ilvl w:val="0"/>
          <w:numId w:val="1"/>
        </w:numPr>
        <w:spacing w:before="0" w:after="20"/>
        <w:ind w:hanging="360" w:start="255"/>
        <w:contextualSpacing/>
        <w:rPr/>
      </w:pPr>
      <w:r>
        <w:rPr>
          <w:sz w:val="18"/>
        </w:rPr>
        <w:t>Niveaux ouverts</w:t>
      </w:r>
    </w:p>
    <w:p>
      <w:pPr>
        <w:pStyle w:val="ListBullet"/>
        <w:numPr>
          <w:ilvl w:val="0"/>
          <w:numId w:val="1"/>
        </w:numPr>
        <w:spacing w:before="0" w:after="20"/>
        <w:ind w:hanging="360" w:start="255"/>
        <w:contextualSpacing/>
        <w:rPr/>
      </w:pPr>
      <w:r>
        <w:rPr>
          <w:sz w:val="18"/>
        </w:rPr>
        <w:t>Étapes</w:t>
      </w:r>
    </w:p>
    <w:p>
      <w:pPr>
        <w:pStyle w:val="ListBullet"/>
        <w:numPr>
          <w:ilvl w:val="0"/>
          <w:numId w:val="1"/>
        </w:numPr>
        <w:spacing w:before="0" w:after="20"/>
        <w:ind w:hanging="360" w:start="255"/>
        <w:contextualSpacing/>
        <w:rPr/>
      </w:pPr>
      <w:r>
        <w:rPr>
          <w:sz w:val="18"/>
        </w:rPr>
        <w:t>Pièces</w:t>
      </w:r>
    </w:p>
    <w:p>
      <w:pPr>
        <w:pStyle w:val="ListBullet"/>
        <w:numPr>
          <w:ilvl w:val="0"/>
          <w:numId w:val="1"/>
        </w:numPr>
        <w:spacing w:before="0" w:after="20"/>
        <w:ind w:hanging="360" w:start="255"/>
        <w:contextualSpacing/>
        <w:rPr/>
      </w:pPr>
      <w:r>
        <w:rPr>
          <w:sz w:val="18"/>
        </w:rPr>
        <w:t>Frais</w:t>
      </w:r>
    </w:p>
    <w:p>
      <w:pPr>
        <w:pStyle w:val="ListBullet"/>
        <w:numPr>
          <w:ilvl w:val="0"/>
          <w:numId w:val="1"/>
        </w:numPr>
        <w:spacing w:before="0" w:after="20"/>
        <w:ind w:hanging="360" w:start="255"/>
        <w:contextualSpacing/>
        <w:rPr/>
      </w:pPr>
      <w:r>
        <w:rPr>
          <w:sz w:val="18"/>
        </w:rPr>
        <w:t>Préinscription vs admission</w:t>
      </w:r>
    </w:p>
    <w:p>
      <w:pPr>
        <w:pStyle w:val="Heading3"/>
        <w:rPr/>
      </w:pPr>
      <w:r>
        <w:rPr/>
        <w:t>Banque de questions-réponses</w:t>
      </w:r>
    </w:p>
    <w:p>
      <w:pPr>
        <w:pStyle w:val="Normal"/>
        <w:keepNext w:val="true"/>
        <w:spacing w:before="40" w:after="0"/>
        <w:ind w:start="85" w:end="85"/>
        <w:rPr/>
      </w:pPr>
      <w:r>
        <w:rPr>
          <w:b/>
          <w:color w:val="0B3D91"/>
          <w:sz w:val="17"/>
        </w:rPr>
        <w:t>Q1. Que présente la section « Admissions 2026-2027 — GSE-PUB-ADM-001 » ?</w:t>
      </w:r>
    </w:p>
    <w:p>
      <w:pPr>
        <w:pStyle w:val="Normal"/>
        <w:spacing w:before="0" w:after="40"/>
        <w:ind w:start="255" w:end="85"/>
        <w:rPr/>
      </w:pPr>
      <w:r>
        <w:rPr>
          <w:b/>
          <w:color w:val="D4A017"/>
          <w:sz w:val="17"/>
        </w:rPr>
        <w:t xml:space="preserve">Réponse : </w:t>
      </w:r>
      <w:r>
        <w:rPr>
          <w:color w:val="1F2937"/>
          <w:sz w:val="17"/>
        </w:rPr>
        <w:t>Cette référence présente les niveaux ouverts, étapes, pièces, frais et distinction entre préinscription et admission.</w:t>
      </w:r>
    </w:p>
    <w:p>
      <w:pPr>
        <w:pStyle w:val="Normal"/>
        <w:keepNext w:val="true"/>
        <w:spacing w:before="40" w:after="0"/>
        <w:ind w:start="85" w:end="85"/>
        <w:rPr/>
      </w:pPr>
      <w:r>
        <w:rPr>
          <w:b/>
          <w:color w:val="0B3D91"/>
          <w:sz w:val="17"/>
        </w:rPr>
        <w:t>Q2. Quel est l’objectif principal exposé dans « Admissions 2026-2027 — GSE-PUB-ADM-001 » ?</w:t>
      </w:r>
    </w:p>
    <w:p>
      <w:pPr>
        <w:pStyle w:val="Normal"/>
        <w:spacing w:before="0" w:after="40"/>
        <w:ind w:start="255" w:end="85"/>
        <w:rPr/>
      </w:pPr>
      <w:r>
        <w:rPr>
          <w:b/>
          <w:color w:val="D4A017"/>
          <w:sz w:val="17"/>
        </w:rPr>
        <w:t xml:space="preserve">Réponse : </w:t>
      </w:r>
      <w:r>
        <w:rPr>
          <w:color w:val="1F2937"/>
          <w:sz w:val="17"/>
        </w:rPr>
        <w:t>Fournir une source unique pour les informations publiques d’admission.</w:t>
      </w:r>
    </w:p>
    <w:p>
      <w:pPr>
        <w:pStyle w:val="Normal"/>
        <w:keepNext w:val="true"/>
        <w:spacing w:before="40" w:after="0"/>
        <w:ind w:start="85" w:end="85"/>
        <w:rPr/>
      </w:pPr>
      <w:r>
        <w:rPr>
          <w:b/>
          <w:color w:val="0B3D91"/>
          <w:sz w:val="17"/>
        </w:rPr>
        <w:t>Q3. Quels éléments ou domaines sont couverts par « Admissions 2026-2027 — GSE-PUB-ADM-001 » ?</w:t>
      </w:r>
    </w:p>
    <w:p>
      <w:pPr>
        <w:pStyle w:val="Normal"/>
        <w:spacing w:before="0" w:after="40"/>
        <w:ind w:start="255" w:end="85"/>
        <w:rPr/>
      </w:pPr>
      <w:r>
        <w:rPr>
          <w:b/>
          <w:color w:val="D4A017"/>
          <w:sz w:val="17"/>
        </w:rPr>
        <w:t xml:space="preserve">Réponse : </w:t>
      </w:r>
      <w:r>
        <w:rPr>
          <w:color w:val="1F2937"/>
          <w:sz w:val="17"/>
        </w:rPr>
        <w:t>Niveaux, parcours d’admission, documents, frais et statuts des demandes.</w:t>
      </w:r>
    </w:p>
    <w:p>
      <w:pPr>
        <w:pStyle w:val="Normal"/>
        <w:keepNext w:val="true"/>
        <w:spacing w:before="40" w:after="0"/>
        <w:ind w:start="85" w:end="85"/>
        <w:rPr/>
      </w:pPr>
      <w:r>
        <w:rPr>
          <w:b/>
          <w:color w:val="0B3D91"/>
          <w:sz w:val="17"/>
        </w:rPr>
        <w:t>Q4. Qui porte, coordonne ou garantit les éléments présentés dans « Admissions 2026-2027 — GSE-PUB-ADM-001 » ?</w:t>
      </w:r>
    </w:p>
    <w:p>
      <w:pPr>
        <w:pStyle w:val="Normal"/>
        <w:spacing w:before="0" w:after="40"/>
        <w:ind w:start="255" w:end="85"/>
        <w:rPr/>
      </w:pPr>
      <w:r>
        <w:rPr>
          <w:b/>
          <w:color w:val="D4A017"/>
          <w:sz w:val="17"/>
        </w:rPr>
        <w:t xml:space="preserve">Réponse : </w:t>
      </w:r>
      <w:r>
        <w:rPr>
          <w:color w:val="1F2937"/>
          <w:sz w:val="17"/>
        </w:rPr>
        <w:t>Le Service Admissions est propriétaire de la référence.</w:t>
      </w:r>
    </w:p>
    <w:p>
      <w:pPr>
        <w:pStyle w:val="Normal"/>
        <w:keepNext w:val="true"/>
        <w:spacing w:before="40" w:after="0"/>
        <w:ind w:start="85" w:end="85"/>
        <w:rPr/>
      </w:pPr>
      <w:r>
        <w:rPr>
          <w:b/>
          <w:color w:val="0B3D91"/>
          <w:sz w:val="17"/>
        </w:rPr>
        <w:t>Q5. Comment la section « Admissions 2026-2027 — GSE-PUB-ADM-001 » prévoit-elle la mise en œuvre ou le suivi ?</w:t>
      </w:r>
    </w:p>
    <w:p>
      <w:pPr>
        <w:pStyle w:val="Normal"/>
        <w:spacing w:before="0" w:after="40"/>
        <w:ind w:start="255" w:end="85"/>
        <w:rPr/>
      </w:pPr>
      <w:r>
        <w:rPr>
          <w:b/>
          <w:color w:val="D4A017"/>
          <w:sz w:val="17"/>
        </w:rPr>
        <w:t xml:space="preserve">Réponse : </w:t>
      </w:r>
      <w:r>
        <w:rPr>
          <w:color w:val="1F2937"/>
          <w:sz w:val="17"/>
        </w:rPr>
        <w:t>La source guide de la découverte à l’inscription définitive.</w:t>
      </w:r>
    </w:p>
    <w:p>
      <w:pPr>
        <w:pStyle w:val="Normal"/>
        <w:keepNext w:val="true"/>
        <w:spacing w:before="40" w:after="0"/>
        <w:ind w:start="85" w:end="85"/>
        <w:rPr/>
      </w:pPr>
      <w:r>
        <w:rPr>
          <w:b/>
          <w:color w:val="0B3D91"/>
          <w:sz w:val="17"/>
        </w:rPr>
        <w:t>Q6. Quelle preuve, référence, règle ou information de statut accompagne « Admissions 2026-2027 — GSE-PUB-ADM-001 » ?</w:t>
      </w:r>
    </w:p>
    <w:p>
      <w:pPr>
        <w:pStyle w:val="Normal"/>
        <w:spacing w:before="0" w:after="40"/>
        <w:ind w:start="255" w:end="85"/>
        <w:rPr/>
      </w:pPr>
      <w:r>
        <w:rPr>
          <w:b/>
          <w:color w:val="D4A017"/>
          <w:sz w:val="17"/>
        </w:rPr>
        <w:t xml:space="preserve">Réponse : </w:t>
      </w:r>
      <w:r>
        <w:rPr>
          <w:color w:val="1F2937"/>
          <w:sz w:val="17"/>
        </w:rPr>
        <w:t>Code GSE-PUB-ADM-001,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Admissions 2026-2027 — GSE-PUB-ADM-001 » ?</w:t>
      </w:r>
    </w:p>
    <w:p>
      <w:pPr>
        <w:pStyle w:val="Normal"/>
        <w:spacing w:before="0" w:after="40"/>
        <w:ind w:start="255" w:end="85"/>
        <w:rPr/>
      </w:pPr>
      <w:r>
        <w:rPr>
          <w:b/>
          <w:color w:val="D4A017"/>
          <w:sz w:val="17"/>
        </w:rPr>
        <w:t xml:space="preserve">Réponse : </w:t>
      </w:r>
      <w:r>
        <w:rPr>
          <w:color w:val="1F2937"/>
          <w:sz w:val="17"/>
        </w:rPr>
        <w:t>Une préinscription ne constitue pas automatiquement une admission définitive.</w:t>
      </w:r>
    </w:p>
    <w:p>
      <w:pPr>
        <w:pStyle w:val="Normal"/>
        <w:keepNext w:val="true"/>
        <w:spacing w:before="40" w:after="0"/>
        <w:ind w:start="85" w:end="85"/>
        <w:rPr/>
      </w:pPr>
      <w:r>
        <w:rPr>
          <w:b/>
          <w:color w:val="0B3D91"/>
          <w:sz w:val="17"/>
        </w:rPr>
        <w:t>Q8. À quels publics ou bénéficiaires la section « Admissions 2026-2027 — GSE-PUB-ADM-001 » est-elle principalement destinée ?</w:t>
      </w:r>
    </w:p>
    <w:p>
      <w:pPr>
        <w:pStyle w:val="Normal"/>
        <w:spacing w:before="0" w:after="40"/>
        <w:ind w:start="255" w:end="85"/>
        <w:rPr/>
      </w:pPr>
      <w:r>
        <w:rPr>
          <w:b/>
          <w:color w:val="D4A017"/>
          <w:sz w:val="17"/>
        </w:rPr>
        <w:t xml:space="preserve">Réponse : </w:t>
      </w:r>
      <w:r>
        <w:rPr>
          <w:color w:val="1F2937"/>
          <w:sz w:val="17"/>
        </w:rPr>
        <w:t>Familles et responsables légaux intéressés par l’année 2026-2027.</w:t>
      </w:r>
    </w:p>
    <w:p>
      <w:pPr>
        <w:pStyle w:val="Normal"/>
        <w:keepNext w:val="true"/>
        <w:spacing w:before="40" w:after="0"/>
        <w:ind w:start="85" w:end="85"/>
        <w:rPr/>
      </w:pPr>
      <w:r>
        <w:rPr>
          <w:b/>
          <w:color w:val="0B3D91"/>
          <w:sz w:val="17"/>
        </w:rPr>
        <w:t>Q9. À quelles autres rubriques ou fonctions du site « Admissions 2026-2027 — GSE-PUB-ADM-001 » est-il relié ?</w:t>
      </w:r>
    </w:p>
    <w:p>
      <w:pPr>
        <w:pStyle w:val="Normal"/>
        <w:spacing w:before="0" w:after="40"/>
        <w:ind w:start="255" w:end="85"/>
        <w:rPr/>
      </w:pPr>
      <w:r>
        <w:rPr>
          <w:b/>
          <w:color w:val="D4A017"/>
          <w:sz w:val="17"/>
        </w:rPr>
        <w:t xml:space="preserve">Réponse : </w:t>
      </w:r>
      <w:r>
        <w:rPr>
          <w:color w:val="1F2937"/>
          <w:sz w:val="17"/>
        </w:rPr>
        <w:t>Lien avec le menu Admissions, préinscription, pièces et paiement.</w:t>
      </w:r>
    </w:p>
    <w:p>
      <w:pPr>
        <w:pStyle w:val="Normal"/>
        <w:keepNext w:val="true"/>
        <w:spacing w:before="40" w:after="0"/>
        <w:ind w:start="85" w:end="85"/>
        <w:rPr/>
      </w:pPr>
      <w:r>
        <w:rPr>
          <w:b/>
          <w:color w:val="0B3D91"/>
          <w:sz w:val="17"/>
        </w:rPr>
        <w:t>Q10. Quelle action, orientation ou résultat concret le lecteur peut-il retenir de « Admissions 2026-2027 — GSE-PUB-ADM-001 » ?</w:t>
      </w:r>
    </w:p>
    <w:p>
      <w:pPr>
        <w:pStyle w:val="Normal"/>
        <w:spacing w:before="0" w:after="40"/>
        <w:ind w:start="255" w:end="85"/>
        <w:rPr/>
      </w:pPr>
      <w:r>
        <w:rPr>
          <w:b/>
          <w:color w:val="D4A017"/>
          <w:sz w:val="17"/>
        </w:rPr>
        <w:t xml:space="preserve">Réponse : </w:t>
      </w:r>
      <w:r>
        <w:rPr>
          <w:color w:val="1F2937"/>
          <w:sz w:val="17"/>
        </w:rPr>
        <w:t>Consulter la source et suivre les étapes officielles.</w:t>
      </w:r>
    </w:p>
    <w:p>
      <w:pPr>
        <w:pStyle w:val="Normal"/>
        <w:rPr/>
      </w:pPr>
      <w:r>
        <w:rPr/>
      </w:r>
      <w:r>
        <w:br w:type="page"/>
      </w:r>
    </w:p>
    <w:p>
      <w:pPr>
        <w:pStyle w:val="Heading2"/>
        <w:spacing w:before="0" w:after="80"/>
        <w:rPr/>
      </w:pPr>
      <w:r>
        <w:rPr/>
        <w:t>FICHE 33 — Confidentialité et protection des données — GSE-PUB-PRI-001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présente les finalités, la minimisation des données, les droits, la sécurité et les canaux de contact.</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combine la règle de confidentialité et la protection technique/organisationnelle des données.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protection des données est essentielle à la confiance et à la sécurité des usagers.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moindre privilège, besoin de savoir et sécurité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PRI</w:t>
      </w:r>
    </w:p>
    <w:p>
      <w:pPr>
        <w:pStyle w:val="ListBullet"/>
        <w:numPr>
          <w:ilvl w:val="0"/>
          <w:numId w:val="1"/>
        </w:numPr>
        <w:spacing w:before="0" w:after="20"/>
        <w:ind w:hanging="360" w:start="255"/>
        <w:contextualSpacing/>
        <w:rPr/>
      </w:pPr>
      <w:r>
        <w:rPr>
          <w:sz w:val="18"/>
        </w:rPr>
        <w:t>Minimisation</w:t>
      </w:r>
    </w:p>
    <w:p>
      <w:pPr>
        <w:pStyle w:val="ListBullet"/>
        <w:numPr>
          <w:ilvl w:val="0"/>
          <w:numId w:val="1"/>
        </w:numPr>
        <w:spacing w:before="0" w:after="20"/>
        <w:ind w:hanging="360" w:start="255"/>
        <w:contextualSpacing/>
        <w:rPr/>
      </w:pPr>
      <w:r>
        <w:rPr>
          <w:sz w:val="18"/>
        </w:rPr>
        <w:t>Droits</w:t>
      </w:r>
    </w:p>
    <w:p>
      <w:pPr>
        <w:pStyle w:val="ListBullet"/>
        <w:numPr>
          <w:ilvl w:val="0"/>
          <w:numId w:val="1"/>
        </w:numPr>
        <w:spacing w:before="0" w:after="20"/>
        <w:ind w:hanging="360" w:start="255"/>
        <w:contextualSpacing/>
        <w:rPr/>
      </w:pPr>
      <w:r>
        <w:rPr>
          <w:sz w:val="18"/>
        </w:rPr>
        <w:t>Sécurité</w:t>
      </w:r>
    </w:p>
    <w:p>
      <w:pPr>
        <w:pStyle w:val="ListBullet"/>
        <w:numPr>
          <w:ilvl w:val="0"/>
          <w:numId w:val="1"/>
        </w:numPr>
        <w:spacing w:before="0" w:after="20"/>
        <w:ind w:hanging="360" w:start="255"/>
        <w:contextualSpacing/>
        <w:rPr/>
      </w:pPr>
      <w:r>
        <w:rPr>
          <w:sz w:val="18"/>
        </w:rPr>
        <w:t>DSI / Direction</w:t>
      </w:r>
    </w:p>
    <w:p>
      <w:pPr>
        <w:pStyle w:val="Heading3"/>
        <w:rPr/>
      </w:pPr>
      <w:r>
        <w:rPr/>
        <w:t>Banque de questions-réponses</w:t>
      </w:r>
    </w:p>
    <w:p>
      <w:pPr>
        <w:pStyle w:val="Normal"/>
        <w:keepNext w:val="true"/>
        <w:spacing w:before="40" w:after="0"/>
        <w:ind w:start="85" w:end="85"/>
        <w:rPr/>
      </w:pPr>
      <w:r>
        <w:rPr>
          <w:b/>
          <w:color w:val="0B3D91"/>
          <w:sz w:val="17"/>
        </w:rPr>
        <w:t>Q1. Que présente la section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Cette référence présente les finalités, la minimisation des données, les droits, la sécurité et les canaux de contact.</w:t>
      </w:r>
    </w:p>
    <w:p>
      <w:pPr>
        <w:pStyle w:val="Normal"/>
        <w:keepNext w:val="true"/>
        <w:spacing w:before="40" w:after="0"/>
        <w:ind w:start="85" w:end="85"/>
        <w:rPr/>
      </w:pPr>
      <w:r>
        <w:rPr>
          <w:b/>
          <w:color w:val="0B3D91"/>
          <w:sz w:val="17"/>
        </w:rPr>
        <w:t>Q2. Quel est l’objectif principal exposé dans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Informer le public sur la manière dont les données sont protégées.</w:t>
      </w:r>
    </w:p>
    <w:p>
      <w:pPr>
        <w:pStyle w:val="Normal"/>
        <w:keepNext w:val="true"/>
        <w:spacing w:before="40" w:after="0"/>
        <w:ind w:start="85" w:end="85"/>
        <w:rPr/>
      </w:pPr>
      <w:r>
        <w:rPr>
          <w:b/>
          <w:color w:val="0B3D91"/>
          <w:sz w:val="17"/>
        </w:rPr>
        <w:t>Q3. Quels éléments ou domaines sont couverts par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Finalités, collecte minimale, droits, sécurité et contact.</w:t>
      </w:r>
    </w:p>
    <w:p>
      <w:pPr>
        <w:pStyle w:val="Normal"/>
        <w:keepNext w:val="true"/>
        <w:spacing w:before="40" w:after="0"/>
        <w:ind w:start="85" w:end="85"/>
        <w:rPr/>
      </w:pPr>
      <w:r>
        <w:rPr>
          <w:b/>
          <w:color w:val="0B3D91"/>
          <w:sz w:val="17"/>
        </w:rPr>
        <w:t>Q4. Qui porte, coordonne ou garantit les éléments présentés dans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Le DSI et la Direction sont propriétaires de la référence.</w:t>
      </w:r>
    </w:p>
    <w:p>
      <w:pPr>
        <w:pStyle w:val="Normal"/>
        <w:keepNext w:val="true"/>
        <w:spacing w:before="40" w:after="0"/>
        <w:ind w:start="85" w:end="85"/>
        <w:rPr/>
      </w:pPr>
      <w:r>
        <w:rPr>
          <w:b/>
          <w:color w:val="0B3D91"/>
          <w:sz w:val="17"/>
        </w:rPr>
        <w:t>Q5. Comment la section « Confidentialité et protection des données — GSE-PUB-PRI-001 » prévoit-elle la mise en œuvre ou le suivi ?</w:t>
      </w:r>
    </w:p>
    <w:p>
      <w:pPr>
        <w:pStyle w:val="Normal"/>
        <w:spacing w:before="0" w:after="40"/>
        <w:ind w:start="255" w:end="85"/>
        <w:rPr/>
      </w:pPr>
      <w:r>
        <w:rPr>
          <w:b/>
          <w:color w:val="D4A017"/>
          <w:sz w:val="17"/>
        </w:rPr>
        <w:t xml:space="preserve">Réponse : </w:t>
      </w:r>
      <w:r>
        <w:rPr>
          <w:color w:val="1F2937"/>
          <w:sz w:val="17"/>
        </w:rPr>
        <w:t>Les données sont séparées selon leur nature et accessibles uniquement aux personnes habilitées.</w:t>
      </w:r>
    </w:p>
    <w:p>
      <w:pPr>
        <w:pStyle w:val="Normal"/>
        <w:keepNext w:val="true"/>
        <w:spacing w:before="40" w:after="0"/>
        <w:ind w:start="85" w:end="85"/>
        <w:rPr/>
      </w:pPr>
      <w:r>
        <w:rPr>
          <w:b/>
          <w:color w:val="0B3D91"/>
          <w:sz w:val="17"/>
        </w:rPr>
        <w:t>Q6. Quelle preuve, référence, règle ou information de statut accompagne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Code GSE-PUB-PRI-001, version 1.0, statut Publié, langues FR/EN.</w:t>
      </w:r>
    </w:p>
    <w:p>
      <w:pPr>
        <w:pStyle w:val="Normal"/>
        <w:keepNext w:val="true"/>
        <w:spacing w:before="40" w:after="0"/>
        <w:ind w:start="85" w:end="85"/>
        <w:rPr/>
      </w:pPr>
      <w:r>
        <w:rPr>
          <w:b/>
          <w:color w:val="0B3D91"/>
          <w:sz w:val="17"/>
        </w:rPr>
        <w:t>Q7. Quelles limites de diffusion, de décision ou d’accès sont précisées pour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Les informations sensibles ne doivent pas être envoyées dans l’interface publique d’ÉMINA.</w:t>
      </w:r>
    </w:p>
    <w:p>
      <w:pPr>
        <w:pStyle w:val="Normal"/>
        <w:keepNext w:val="true"/>
        <w:spacing w:before="40" w:after="0"/>
        <w:ind w:start="85" w:end="85"/>
        <w:rPr/>
      </w:pPr>
      <w:r>
        <w:rPr>
          <w:b/>
          <w:color w:val="0B3D91"/>
          <w:sz w:val="17"/>
        </w:rPr>
        <w:t>Q8. À quels publics ou bénéficiaires la section « Confidentialité et protection des données — GSE-PUB-PRI-001 » est-elle principalement destinée ?</w:t>
      </w:r>
    </w:p>
    <w:p>
      <w:pPr>
        <w:pStyle w:val="Normal"/>
        <w:spacing w:before="0" w:after="40"/>
        <w:ind w:start="255" w:end="85"/>
        <w:rPr/>
      </w:pPr>
      <w:r>
        <w:rPr>
          <w:b/>
          <w:color w:val="D4A017"/>
          <w:sz w:val="17"/>
        </w:rPr>
        <w:t xml:space="preserve">Réponse : </w:t>
      </w:r>
      <w:r>
        <w:rPr>
          <w:color w:val="1F2937"/>
          <w:sz w:val="17"/>
        </w:rPr>
        <w:t>Élèves, parents, personnels, candidats et visiteurs.</w:t>
      </w:r>
    </w:p>
    <w:p>
      <w:pPr>
        <w:pStyle w:val="Normal"/>
        <w:keepNext w:val="true"/>
        <w:spacing w:before="40" w:after="0"/>
        <w:ind w:start="85" w:end="85"/>
        <w:rPr/>
      </w:pPr>
      <w:r>
        <w:rPr>
          <w:b/>
          <w:color w:val="0B3D91"/>
          <w:sz w:val="17"/>
        </w:rPr>
        <w:t>Q9. À quelles autres rubriques ou fonctions du site « Confidentialité et protection des données — GSE-PUB-PRI-001 » est-il relié ?</w:t>
      </w:r>
    </w:p>
    <w:p>
      <w:pPr>
        <w:pStyle w:val="Normal"/>
        <w:spacing w:before="0" w:after="40"/>
        <w:ind w:start="255" w:end="85"/>
        <w:rPr/>
      </w:pPr>
      <w:r>
        <w:rPr>
          <w:b/>
          <w:color w:val="D4A017"/>
          <w:sz w:val="17"/>
        </w:rPr>
        <w:t xml:space="preserve">Réponse : </w:t>
      </w:r>
      <w:r>
        <w:rPr>
          <w:color w:val="1F2937"/>
          <w:sz w:val="17"/>
        </w:rPr>
        <w:t>Lien avec DSI, ÉMINA, Espace Parents et formulaires d’admission.</w:t>
      </w:r>
    </w:p>
    <w:p>
      <w:pPr>
        <w:pStyle w:val="Normal"/>
        <w:keepNext w:val="true"/>
        <w:spacing w:before="40" w:after="0"/>
        <w:ind w:start="85" w:end="85"/>
        <w:rPr/>
      </w:pPr>
      <w:r>
        <w:rPr>
          <w:b/>
          <w:color w:val="0B3D91"/>
          <w:sz w:val="17"/>
        </w:rPr>
        <w:t>Q10. Quelle action, orientation ou résultat concret le lecteur peut-il retenir de « Confidentialité et protection des données — GSE-PUB-PRI-001 » ?</w:t>
      </w:r>
    </w:p>
    <w:p>
      <w:pPr>
        <w:pStyle w:val="Normal"/>
        <w:spacing w:before="0" w:after="40"/>
        <w:ind w:start="255" w:end="85"/>
        <w:rPr/>
      </w:pPr>
      <w:r>
        <w:rPr>
          <w:b/>
          <w:color w:val="D4A017"/>
          <w:sz w:val="17"/>
        </w:rPr>
        <w:t xml:space="preserve">Réponse : </w:t>
      </w:r>
      <w:r>
        <w:rPr>
          <w:color w:val="1F2937"/>
          <w:sz w:val="17"/>
        </w:rPr>
        <w:t>Consulter la politique et utiliser les canaux prévus pour exercer un droit ou signaler un problème.</w:t>
      </w:r>
    </w:p>
    <w:p>
      <w:pPr>
        <w:pStyle w:val="Normal"/>
        <w:rPr/>
      </w:pPr>
      <w:r>
        <w:rPr/>
      </w:r>
      <w:r>
        <w:br w:type="page"/>
      </w:r>
    </w:p>
    <w:p>
      <w:pPr>
        <w:pStyle w:val="Heading2"/>
        <w:spacing w:before="0" w:after="80"/>
        <w:rPr/>
      </w:pPr>
      <w:r>
        <w:rPr/>
        <w:t>FICHE 34 — ÉMINA — Assistante institutionnelle — GSE-PUB-EMI-001</w:t>
      </w:r>
    </w:p>
    <w:p>
      <w:pPr>
        <w:pStyle w:val="Normal"/>
        <w:spacing w:before="40" w:after="100"/>
        <w:rPr/>
      </w:pPr>
      <w:r>
        <w:rPr>
          <w:b/>
          <w:color w:val="0B3D91"/>
          <w:sz w:val="16"/>
        </w:rPr>
        <w:t xml:space="preserve">Source contrôlée : </w:t>
      </w:r>
      <w:r>
        <w:rPr>
          <w:color w:val="555555"/>
          <w:sz w:val="16"/>
        </w:rPr>
        <w:t>Documentation publique — https://test.gsleseminents.com/documentation/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Cette référence décrit le rôle, les limites, les sources, la protection des données et le recours à un interlocuteur humain.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identifie clairement l’outil et son statut institutionnel.</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référence encadre la confiance, la transparence et la sécurité de l’usage d’ÉMINA.</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toutes les sources que l’assistante peut citer.</w:t>
            </w:r>
          </w:p>
        </w:tc>
      </w:tr>
    </w:tbl>
    <w:p>
      <w:pPr>
        <w:pStyle w:val="Heading3"/>
        <w:rPr/>
      </w:pPr>
      <w:r>
        <w:rPr/>
        <w:t>Points développés</w:t>
      </w:r>
    </w:p>
    <w:p>
      <w:pPr>
        <w:pStyle w:val="ListBullet"/>
        <w:numPr>
          <w:ilvl w:val="0"/>
          <w:numId w:val="1"/>
        </w:numPr>
        <w:spacing w:before="0" w:after="20"/>
        <w:ind w:hanging="360" w:start="255"/>
        <w:contextualSpacing/>
        <w:rPr/>
      </w:pPr>
      <w:r>
        <w:rPr>
          <w:sz w:val="18"/>
        </w:rPr>
        <w:t>Code EMI</w:t>
      </w:r>
    </w:p>
    <w:p>
      <w:pPr>
        <w:pStyle w:val="ListBullet"/>
        <w:numPr>
          <w:ilvl w:val="0"/>
          <w:numId w:val="1"/>
        </w:numPr>
        <w:spacing w:before="0" w:after="20"/>
        <w:ind w:hanging="360" w:start="255"/>
        <w:contextualSpacing/>
        <w:rPr/>
      </w:pPr>
      <w:r>
        <w:rPr>
          <w:sz w:val="18"/>
        </w:rPr>
        <w:t>Propriétaire GSE</w:t>
      </w:r>
    </w:p>
    <w:p>
      <w:pPr>
        <w:pStyle w:val="ListBullet"/>
        <w:numPr>
          <w:ilvl w:val="0"/>
          <w:numId w:val="1"/>
        </w:numPr>
        <w:spacing w:before="0" w:after="20"/>
        <w:ind w:hanging="360" w:start="255"/>
        <w:contextualSpacing/>
        <w:rPr/>
      </w:pPr>
      <w:r>
        <w:rPr>
          <w:sz w:val="18"/>
        </w:rPr>
        <w:t>Rôle</w:t>
      </w:r>
    </w:p>
    <w:p>
      <w:pPr>
        <w:pStyle w:val="ListBullet"/>
        <w:numPr>
          <w:ilvl w:val="0"/>
          <w:numId w:val="1"/>
        </w:numPr>
        <w:spacing w:before="0" w:after="20"/>
        <w:ind w:hanging="360" w:start="255"/>
        <w:contextualSpacing/>
        <w:rPr/>
      </w:pPr>
      <w:r>
        <w:rPr>
          <w:sz w:val="18"/>
        </w:rPr>
        <w:t>Limites</w:t>
      </w:r>
    </w:p>
    <w:p>
      <w:pPr>
        <w:pStyle w:val="ListBullet"/>
        <w:numPr>
          <w:ilvl w:val="0"/>
          <w:numId w:val="1"/>
        </w:numPr>
        <w:spacing w:before="0" w:after="20"/>
        <w:ind w:hanging="360" w:start="255"/>
        <w:contextualSpacing/>
        <w:rPr/>
      </w:pPr>
      <w:r>
        <w:rPr>
          <w:sz w:val="18"/>
        </w:rPr>
        <w:t>Sources</w:t>
      </w:r>
    </w:p>
    <w:p>
      <w:pPr>
        <w:pStyle w:val="ListBullet"/>
        <w:numPr>
          <w:ilvl w:val="0"/>
          <w:numId w:val="1"/>
        </w:numPr>
        <w:spacing w:before="0" w:after="20"/>
        <w:ind w:hanging="360" w:start="255"/>
        <w:contextualSpacing/>
        <w:rPr/>
      </w:pPr>
      <w:r>
        <w:rPr>
          <w:sz w:val="18"/>
        </w:rPr>
        <w:t>Escalade humaine</w:t>
      </w:r>
    </w:p>
    <w:p>
      <w:pPr>
        <w:pStyle w:val="Heading3"/>
        <w:rPr/>
      </w:pPr>
      <w:r>
        <w:rPr/>
        <w:t>Banque de questions-réponses</w:t>
      </w:r>
    </w:p>
    <w:p>
      <w:pPr>
        <w:pStyle w:val="Normal"/>
        <w:keepNext w:val="true"/>
        <w:spacing w:before="40" w:after="0"/>
        <w:ind w:start="85" w:end="85"/>
        <w:rPr/>
      </w:pPr>
      <w:r>
        <w:rPr>
          <w:b/>
          <w:color w:val="0B3D91"/>
          <w:sz w:val="17"/>
        </w:rPr>
        <w:t>Q1. Que présente la section « ÉMINA — Assistante institutionnelle — GSE-PUB-EMI-001 » ?</w:t>
      </w:r>
    </w:p>
    <w:p>
      <w:pPr>
        <w:pStyle w:val="Normal"/>
        <w:spacing w:before="0" w:after="40"/>
        <w:ind w:start="255" w:end="85"/>
        <w:rPr/>
      </w:pPr>
      <w:r>
        <w:rPr>
          <w:b/>
          <w:color w:val="D4A017"/>
          <w:sz w:val="17"/>
        </w:rPr>
        <w:t xml:space="preserve">Réponse : </w:t>
      </w:r>
      <w:r>
        <w:rPr>
          <w:color w:val="1F2937"/>
          <w:sz w:val="17"/>
        </w:rPr>
        <w:t>Cette référence décrit le rôle, les limites, les sources, la protection des données et le recours à un interlocuteur humain.</w:t>
      </w:r>
    </w:p>
    <w:p>
      <w:pPr>
        <w:pStyle w:val="Normal"/>
        <w:keepNext w:val="true"/>
        <w:spacing w:before="40" w:after="0"/>
        <w:ind w:start="85" w:end="85"/>
        <w:rPr/>
      </w:pPr>
      <w:r>
        <w:rPr>
          <w:b/>
          <w:color w:val="0B3D91"/>
          <w:sz w:val="17"/>
        </w:rPr>
        <w:t>Q2. Quel est l’objectif principal exposé dans « ÉMINA — Assistante institutionnelle — GSE-PUB-EMI-001 » ?</w:t>
      </w:r>
    </w:p>
    <w:p>
      <w:pPr>
        <w:pStyle w:val="Normal"/>
        <w:spacing w:before="0" w:after="40"/>
        <w:ind w:start="255" w:end="85"/>
        <w:rPr/>
      </w:pPr>
      <w:r>
        <w:rPr>
          <w:b/>
          <w:color w:val="D4A017"/>
          <w:sz w:val="17"/>
        </w:rPr>
        <w:t xml:space="preserve">Réponse : </w:t>
      </w:r>
      <w:r>
        <w:rPr>
          <w:color w:val="1F2937"/>
          <w:sz w:val="17"/>
        </w:rPr>
        <w:t>Fournir une source transparente sur l’assistante institutionnelle.</w:t>
      </w:r>
    </w:p>
    <w:p>
      <w:pPr>
        <w:pStyle w:val="Normal"/>
        <w:keepNext w:val="true"/>
        <w:spacing w:before="40" w:after="0"/>
        <w:ind w:start="85" w:end="85"/>
        <w:rPr/>
      </w:pPr>
      <w:r>
        <w:rPr>
          <w:b/>
          <w:color w:val="0B3D91"/>
          <w:sz w:val="17"/>
        </w:rPr>
        <w:t>Q3. Quels éléments ou domaines sont couverts par « ÉMINA — Assistante institutionnelle — GSE-PUB-EMI-001 » ?</w:t>
      </w:r>
    </w:p>
    <w:p>
      <w:pPr>
        <w:pStyle w:val="Normal"/>
        <w:spacing w:before="0" w:after="40"/>
        <w:ind w:start="255" w:end="85"/>
        <w:rPr/>
      </w:pPr>
      <w:r>
        <w:rPr>
          <w:b/>
          <w:color w:val="D4A017"/>
          <w:sz w:val="17"/>
        </w:rPr>
        <w:t xml:space="preserve">Réponse : </w:t>
      </w:r>
      <w:r>
        <w:rPr>
          <w:color w:val="1F2937"/>
          <w:sz w:val="17"/>
        </w:rPr>
        <w:t>Capacités, sources publiques, limites, confidentialité et escalade humaine.</w:t>
      </w:r>
    </w:p>
    <w:p>
      <w:pPr>
        <w:pStyle w:val="Normal"/>
        <w:keepNext w:val="true"/>
        <w:spacing w:before="40" w:after="0"/>
        <w:ind w:start="85" w:end="85"/>
        <w:rPr/>
      </w:pPr>
      <w:r>
        <w:rPr>
          <w:b/>
          <w:color w:val="0B3D91"/>
          <w:sz w:val="17"/>
        </w:rPr>
        <w:t>Q4. Qui porte, coordonne ou garantit les éléments présentés dans « ÉMINA — Assistante institutionnelle — GSE-PUB-EMI-001 » ?</w:t>
      </w:r>
    </w:p>
    <w:p>
      <w:pPr>
        <w:pStyle w:val="Normal"/>
        <w:spacing w:before="0" w:after="40"/>
        <w:ind w:start="255" w:end="85"/>
        <w:rPr/>
      </w:pPr>
      <w:r>
        <w:rPr>
          <w:b/>
          <w:color w:val="D4A017"/>
          <w:sz w:val="17"/>
        </w:rPr>
        <w:t xml:space="preserve">Réponse : </w:t>
      </w:r>
      <w:r>
        <w:rPr>
          <w:color w:val="1F2937"/>
          <w:sz w:val="17"/>
        </w:rPr>
        <w:t>Le GROUPE SCOLAIRE LES ÉMINENTS est propriétaire de la référence.</w:t>
      </w:r>
    </w:p>
    <w:p>
      <w:pPr>
        <w:pStyle w:val="Normal"/>
        <w:keepNext w:val="true"/>
        <w:spacing w:before="40" w:after="0"/>
        <w:ind w:start="85" w:end="85"/>
        <w:rPr/>
      </w:pPr>
      <w:r>
        <w:rPr>
          <w:b/>
          <w:color w:val="0B3D91"/>
          <w:sz w:val="17"/>
        </w:rPr>
        <w:t>Q5. Comment la section « ÉMINA — Assistante institutionnelle — GSE-PUB-EMI-001 » prévoit-elle la mise en œuvre ou le suivi ?</w:t>
      </w:r>
    </w:p>
    <w:p>
      <w:pPr>
        <w:pStyle w:val="Normal"/>
        <w:spacing w:before="0" w:after="40"/>
        <w:ind w:start="255" w:end="85"/>
        <w:rPr/>
      </w:pPr>
      <w:r>
        <w:rPr>
          <w:b/>
          <w:color w:val="D4A017"/>
          <w:sz w:val="17"/>
        </w:rPr>
        <w:t xml:space="preserve">Réponse : </w:t>
      </w:r>
      <w:r>
        <w:rPr>
          <w:color w:val="1F2937"/>
          <w:sz w:val="17"/>
        </w:rPr>
        <w:t>ÉMINA répond à partir des sources validées et oriente lorsque la demande dépasse son mandat.</w:t>
      </w:r>
    </w:p>
    <w:p>
      <w:pPr>
        <w:pStyle w:val="Normal"/>
        <w:keepNext w:val="true"/>
        <w:spacing w:before="40" w:after="0"/>
        <w:ind w:start="85" w:end="85"/>
        <w:rPr/>
      </w:pPr>
      <w:r>
        <w:rPr>
          <w:b/>
          <w:color w:val="0B3D91"/>
          <w:sz w:val="17"/>
        </w:rPr>
        <w:t>Q6. Quelle preuve, référence, règle ou information de statut accompagne « ÉMINA — Assistante institutionnelle — GSE-PUB-EMI-001 » ?</w:t>
      </w:r>
    </w:p>
    <w:p>
      <w:pPr>
        <w:pStyle w:val="Normal"/>
        <w:spacing w:before="0" w:after="40"/>
        <w:ind w:start="255" w:end="85"/>
        <w:rPr/>
      </w:pPr>
      <w:r>
        <w:rPr>
          <w:b/>
          <w:color w:val="D4A017"/>
          <w:sz w:val="17"/>
        </w:rPr>
        <w:t xml:space="preserve">Réponse : </w:t>
      </w:r>
      <w:r>
        <w:rPr>
          <w:color w:val="1F2937"/>
          <w:sz w:val="17"/>
        </w:rPr>
        <w:t>Code GSE-PUB-EMI-001, version 1.0, langues FR/EN.</w:t>
      </w:r>
    </w:p>
    <w:p>
      <w:pPr>
        <w:pStyle w:val="Normal"/>
        <w:keepNext w:val="true"/>
        <w:spacing w:before="40" w:after="0"/>
        <w:ind w:start="85" w:end="85"/>
        <w:rPr/>
      </w:pPr>
      <w:r>
        <w:rPr>
          <w:b/>
          <w:color w:val="0B3D91"/>
          <w:sz w:val="17"/>
        </w:rPr>
        <w:t>Q7. Quelles limites de diffusion, de décision ou d’accès sont précisées pour « ÉMINA — Assistante institutionnelle — GSE-PUB-EMI-001 » ?</w:t>
      </w:r>
    </w:p>
    <w:p>
      <w:pPr>
        <w:pStyle w:val="Normal"/>
        <w:spacing w:before="0" w:after="40"/>
        <w:ind w:start="255" w:end="85"/>
        <w:rPr/>
      </w:pPr>
      <w:r>
        <w:rPr>
          <w:b/>
          <w:color w:val="D4A017"/>
          <w:sz w:val="17"/>
        </w:rPr>
        <w:t xml:space="preserve">Réponse : </w:t>
      </w:r>
      <w:r>
        <w:rPr>
          <w:color w:val="1F2937"/>
          <w:sz w:val="17"/>
        </w:rPr>
        <w:t>ÉMINA ne remplace pas les décisions humaines et ne révèle pas de dossiers nominatifs.</w:t>
      </w:r>
    </w:p>
    <w:p>
      <w:pPr>
        <w:pStyle w:val="Normal"/>
        <w:keepNext w:val="true"/>
        <w:spacing w:before="40" w:after="0"/>
        <w:ind w:start="85" w:end="85"/>
        <w:rPr/>
      </w:pPr>
      <w:r>
        <w:rPr>
          <w:b/>
          <w:color w:val="0B3D91"/>
          <w:sz w:val="17"/>
        </w:rPr>
        <w:t>Q8. À quels publics ou bénéficiaires la section « ÉMINA — Assistante institutionnelle — GSE-PUB-EMI-001 » est-elle principalement destinée ?</w:t>
      </w:r>
    </w:p>
    <w:p>
      <w:pPr>
        <w:pStyle w:val="Normal"/>
        <w:spacing w:before="0" w:after="40"/>
        <w:ind w:start="255" w:end="85"/>
        <w:rPr/>
      </w:pPr>
      <w:r>
        <w:rPr>
          <w:b/>
          <w:color w:val="D4A017"/>
          <w:sz w:val="17"/>
        </w:rPr>
        <w:t xml:space="preserve">Réponse : </w:t>
      </w:r>
      <w:r>
        <w:rPr>
          <w:color w:val="1F2937"/>
          <w:sz w:val="17"/>
        </w:rPr>
        <w:t>Tous les utilisateurs de l’assistante institutionnelle.</w:t>
      </w:r>
    </w:p>
    <w:p>
      <w:pPr>
        <w:pStyle w:val="Normal"/>
        <w:keepNext w:val="true"/>
        <w:spacing w:before="40" w:after="0"/>
        <w:ind w:start="85" w:end="85"/>
        <w:rPr/>
      </w:pPr>
      <w:r>
        <w:rPr>
          <w:b/>
          <w:color w:val="0B3D91"/>
          <w:sz w:val="17"/>
        </w:rPr>
        <w:t>Q9. À quelles autres rubriques ou fonctions du site « ÉMINA — Assistante institutionnelle — GSE-PUB-EMI-001 » est-il relié ?</w:t>
      </w:r>
    </w:p>
    <w:p>
      <w:pPr>
        <w:pStyle w:val="Normal"/>
        <w:spacing w:before="0" w:after="40"/>
        <w:ind w:start="255" w:end="85"/>
        <w:rPr/>
      </w:pPr>
      <w:r>
        <w:rPr>
          <w:b/>
          <w:color w:val="D4A017"/>
          <w:sz w:val="17"/>
        </w:rPr>
        <w:t xml:space="preserve">Réponse : </w:t>
      </w:r>
      <w:r>
        <w:rPr>
          <w:color w:val="1F2937"/>
          <w:sz w:val="17"/>
        </w:rPr>
        <w:t>Lien avec Documentation, Confidentialité, Départements et Assistance humaine.</w:t>
      </w:r>
    </w:p>
    <w:p>
      <w:pPr>
        <w:pStyle w:val="Normal"/>
        <w:keepNext w:val="true"/>
        <w:spacing w:before="40" w:after="0"/>
        <w:ind w:start="85" w:end="85"/>
        <w:rPr/>
      </w:pPr>
      <w:r>
        <w:rPr>
          <w:b/>
          <w:color w:val="0B3D91"/>
          <w:sz w:val="17"/>
        </w:rPr>
        <w:t>Q10. Quelle action, orientation ou résultat concret le lecteur peut-il retenir de « ÉMINA — Assistante institutionnelle — GSE-PUB-EMI-001 » ?</w:t>
      </w:r>
    </w:p>
    <w:p>
      <w:pPr>
        <w:pStyle w:val="Normal"/>
        <w:spacing w:before="0" w:after="40"/>
        <w:ind w:start="255" w:end="85"/>
        <w:rPr/>
      </w:pPr>
      <w:r>
        <w:rPr>
          <w:b/>
          <w:color w:val="D4A017"/>
          <w:sz w:val="17"/>
        </w:rPr>
        <w:t xml:space="preserve">Réponse : </w:t>
      </w:r>
      <w:r>
        <w:rPr>
          <w:color w:val="1F2937"/>
          <w:sz w:val="17"/>
        </w:rPr>
        <w:t>Lire la page de rôle et limites avant de transmettre une demande sensible.</w:t>
      </w:r>
    </w:p>
    <w:p>
      <w:pPr>
        <w:pStyle w:val="Normal"/>
        <w:rPr/>
      </w:pPr>
      <w:r>
        <w:rPr/>
      </w:r>
      <w:r>
        <w:br w:type="page"/>
      </w:r>
    </w:p>
    <w:p>
      <w:pPr>
        <w:pStyle w:val="Normal"/>
        <w:spacing w:before="0" w:after="60"/>
        <w:jc w:val="center"/>
        <w:rPr/>
      </w:pPr>
      <w:r>
        <w:rPr>
          <w:b/>
          <w:color w:val="D4A017"/>
          <w:sz w:val="28"/>
        </w:rPr>
        <w:t>PARTIE IV</w:t>
      </w:r>
    </w:p>
    <w:p>
      <w:pPr>
        <w:pStyle w:val="Normal"/>
        <w:jc w:val="center"/>
        <w:rPr/>
      </w:pPr>
      <w:r>
        <w:rPr>
          <w:b/>
          <w:color w:val="0B3D91"/>
          <w:sz w:val="44"/>
        </w:rPr>
        <w:t>DÉPARTEMENTS INSTITUTIONNELS ET PAGES DÉTAILLÉES</w:t>
      </w:r>
    </w:p>
    <w:p>
      <w:pPr>
        <w:pStyle w:val="Normal"/>
        <w:jc w:val="center"/>
        <w:rPr/>
      </w:pPr>
      <w:r>
        <w:rPr>
          <w:i/>
          <w:color w:val="1F2937"/>
          <w:sz w:val="20"/>
        </w:rPr>
        <w:t>Relevé • Analyse • Banque de questions-réponses</w:t>
      </w:r>
    </w:p>
    <w:p>
      <w:pPr>
        <w:pStyle w:val="Normal"/>
        <w:rPr/>
      </w:pPr>
      <w:r>
        <w:rPr/>
      </w:r>
      <w:r>
        <w:br w:type="page"/>
      </w:r>
    </w:p>
    <w:p>
      <w:pPr>
        <w:pStyle w:val="Heading2"/>
        <w:spacing w:before="0" w:after="80"/>
        <w:rPr/>
      </w:pPr>
      <w:r>
        <w:rPr/>
        <w:t>FICHE 35 — Départements institutionnels — présentation</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présente les missions publiques, engagements et points de collaboration des départements du GSE.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indique que les services ne sont pas isolés mais intégrés à l’organisation de l’école.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clarté organisationnelle renforce la redevabilité et la qualité de service.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chacune des pages départementales.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Missions publiques</w:t>
      </w:r>
    </w:p>
    <w:p>
      <w:pPr>
        <w:pStyle w:val="ListBullet"/>
        <w:numPr>
          <w:ilvl w:val="0"/>
          <w:numId w:val="1"/>
        </w:numPr>
        <w:spacing w:before="0" w:after="20"/>
        <w:ind w:hanging="360" w:start="255"/>
        <w:contextualSpacing/>
        <w:rPr/>
      </w:pPr>
      <w:r>
        <w:rPr>
          <w:sz w:val="18"/>
        </w:rPr>
        <w:t>Engagements</w:t>
      </w:r>
    </w:p>
    <w:p>
      <w:pPr>
        <w:pStyle w:val="ListBullet"/>
        <w:numPr>
          <w:ilvl w:val="0"/>
          <w:numId w:val="1"/>
        </w:numPr>
        <w:spacing w:before="0" w:after="20"/>
        <w:ind w:hanging="360" w:start="255"/>
        <w:contextualSpacing/>
        <w:rPr/>
      </w:pPr>
      <w:r>
        <w:rPr>
          <w:sz w:val="18"/>
        </w:rPr>
        <w:t>Collaboration</w:t>
      </w:r>
    </w:p>
    <w:p>
      <w:pPr>
        <w:pStyle w:val="ListBullet"/>
        <w:numPr>
          <w:ilvl w:val="0"/>
          <w:numId w:val="1"/>
        </w:numPr>
        <w:spacing w:before="0" w:after="20"/>
        <w:ind w:hanging="360" w:start="255"/>
        <w:contextualSpacing/>
        <w:rPr/>
      </w:pPr>
      <w:r>
        <w:rPr>
          <w:sz w:val="18"/>
        </w:rPr>
        <w:t>Orientation</w:t>
      </w:r>
    </w:p>
    <w:p>
      <w:pPr>
        <w:pStyle w:val="ListBullet"/>
        <w:numPr>
          <w:ilvl w:val="0"/>
          <w:numId w:val="1"/>
        </w:numPr>
        <w:spacing w:before="0" w:after="20"/>
        <w:ind w:hanging="360" w:start="255"/>
        <w:contextualSpacing/>
        <w:rPr/>
      </w:pPr>
      <w:r>
        <w:rPr>
          <w:sz w:val="18"/>
        </w:rPr>
        <w:t>Six départements</w:t>
      </w:r>
    </w:p>
    <w:p>
      <w:pPr>
        <w:pStyle w:val="Heading3"/>
        <w:rPr/>
      </w:pPr>
      <w:r>
        <w:rPr/>
        <w:t>Banque de questions-réponses</w:t>
      </w:r>
    </w:p>
    <w:p>
      <w:pPr>
        <w:pStyle w:val="Normal"/>
        <w:keepNext w:val="true"/>
        <w:spacing w:before="40" w:after="0"/>
        <w:ind w:start="85" w:end="85"/>
        <w:rPr/>
      </w:pPr>
      <w:r>
        <w:rPr>
          <w:b/>
          <w:color w:val="0B3D91"/>
          <w:sz w:val="17"/>
        </w:rPr>
        <w:t>Q1. Que présente la section « Départements institutionnels — présentation » ?</w:t>
      </w:r>
    </w:p>
    <w:p>
      <w:pPr>
        <w:pStyle w:val="Normal"/>
        <w:spacing w:before="0" w:after="40"/>
        <w:ind w:start="255" w:end="85"/>
        <w:rPr/>
      </w:pPr>
      <w:r>
        <w:rPr>
          <w:b/>
          <w:color w:val="D4A017"/>
          <w:sz w:val="17"/>
        </w:rPr>
        <w:t xml:space="preserve">Réponse : </w:t>
      </w:r>
      <w:r>
        <w:rPr>
          <w:color w:val="1F2937"/>
          <w:sz w:val="17"/>
        </w:rPr>
        <w:t>La page présente les missions publiques, engagements et points de collaboration des départements du GSE.</w:t>
      </w:r>
    </w:p>
    <w:p>
      <w:pPr>
        <w:pStyle w:val="Normal"/>
        <w:keepNext w:val="true"/>
        <w:spacing w:before="40" w:after="0"/>
        <w:ind w:start="85" w:end="85"/>
        <w:rPr/>
      </w:pPr>
      <w:r>
        <w:rPr>
          <w:b/>
          <w:color w:val="0B3D91"/>
          <w:sz w:val="17"/>
        </w:rPr>
        <w:t>Q2. Quel est l’objectif principal exposé dans « Départements institutionnels — présentation » ?</w:t>
      </w:r>
    </w:p>
    <w:p>
      <w:pPr>
        <w:pStyle w:val="Normal"/>
        <w:spacing w:before="0" w:after="40"/>
        <w:ind w:start="255" w:end="85"/>
        <w:rPr/>
      </w:pPr>
      <w:r>
        <w:rPr>
          <w:b/>
          <w:color w:val="D4A017"/>
          <w:sz w:val="17"/>
        </w:rPr>
        <w:t xml:space="preserve">Réponse : </w:t>
      </w:r>
      <w:r>
        <w:rPr>
          <w:color w:val="1F2937"/>
          <w:sz w:val="17"/>
        </w:rPr>
        <w:t>Rendre l’organisation institutionnelle compréhensible sans exposer les procédures protégées.</w:t>
      </w:r>
    </w:p>
    <w:p>
      <w:pPr>
        <w:pStyle w:val="Normal"/>
        <w:keepNext w:val="true"/>
        <w:spacing w:before="40" w:after="0"/>
        <w:ind w:start="85" w:end="85"/>
        <w:rPr/>
      </w:pPr>
      <w:r>
        <w:rPr>
          <w:b/>
          <w:color w:val="0B3D91"/>
          <w:sz w:val="17"/>
        </w:rPr>
        <w:t>Q3. Quels éléments ou domaines sont couverts par « Départements institutionnels — présentation » ?</w:t>
      </w:r>
    </w:p>
    <w:p>
      <w:pPr>
        <w:pStyle w:val="Normal"/>
        <w:spacing w:before="0" w:after="40"/>
        <w:ind w:start="255" w:end="85"/>
        <w:rPr/>
      </w:pPr>
      <w:r>
        <w:rPr>
          <w:b/>
          <w:color w:val="D4A017"/>
          <w:sz w:val="17"/>
        </w:rPr>
        <w:t xml:space="preserve">Réponse : </w:t>
      </w:r>
      <w:r>
        <w:rPr>
          <w:color w:val="1F2937"/>
          <w:sz w:val="17"/>
        </w:rPr>
        <w:t>Six départements : DAQAC, DRH-GP, DBSPE, DAACIP, DLMT et DSI.</w:t>
      </w:r>
    </w:p>
    <w:p>
      <w:pPr>
        <w:pStyle w:val="Normal"/>
        <w:keepNext w:val="true"/>
        <w:spacing w:before="40" w:after="0"/>
        <w:ind w:start="85" w:end="85"/>
        <w:rPr/>
      </w:pPr>
      <w:r>
        <w:rPr>
          <w:b/>
          <w:color w:val="0B3D91"/>
          <w:sz w:val="17"/>
        </w:rPr>
        <w:t>Q4. Qui porte, coordonne ou garantit les éléments présentés dans « Départements institutionnels — présentation » ?</w:t>
      </w:r>
    </w:p>
    <w:p>
      <w:pPr>
        <w:pStyle w:val="Normal"/>
        <w:spacing w:before="0" w:after="40"/>
        <w:ind w:start="255" w:end="85"/>
        <w:rPr/>
      </w:pPr>
      <w:r>
        <w:rPr>
          <w:b/>
          <w:color w:val="D4A017"/>
          <w:sz w:val="17"/>
        </w:rPr>
        <w:t xml:space="preserve">Réponse : </w:t>
      </w:r>
      <w:r>
        <w:rPr>
          <w:color w:val="1F2937"/>
          <w:sz w:val="17"/>
        </w:rPr>
        <w:t>Chaque département possède un responsable et un champ d’action.</w:t>
      </w:r>
    </w:p>
    <w:p>
      <w:pPr>
        <w:pStyle w:val="Normal"/>
        <w:keepNext w:val="true"/>
        <w:spacing w:before="40" w:after="0"/>
        <w:ind w:start="85" w:end="85"/>
        <w:rPr/>
      </w:pPr>
      <w:r>
        <w:rPr>
          <w:b/>
          <w:color w:val="0B3D91"/>
          <w:sz w:val="17"/>
        </w:rPr>
        <w:t>Q5. Comment la section « Départements institutionnels — présentation » prévoit-elle la mise en œuvre ou le suivi ?</w:t>
      </w:r>
    </w:p>
    <w:p>
      <w:pPr>
        <w:pStyle w:val="Normal"/>
        <w:spacing w:before="0" w:after="40"/>
        <w:ind w:start="255" w:end="85"/>
        <w:rPr/>
      </w:pPr>
      <w:r>
        <w:rPr>
          <w:b/>
          <w:color w:val="D4A017"/>
          <w:sz w:val="17"/>
        </w:rPr>
        <w:t xml:space="preserve">Réponse : </w:t>
      </w:r>
      <w:r>
        <w:rPr>
          <w:color w:val="1F2937"/>
          <w:sz w:val="17"/>
        </w:rPr>
        <w:t>Le public consulte les missions et peut être orienté vers le service compétent.</w:t>
      </w:r>
    </w:p>
    <w:p>
      <w:pPr>
        <w:pStyle w:val="Normal"/>
        <w:keepNext w:val="true"/>
        <w:spacing w:before="40" w:after="0"/>
        <w:ind w:start="85" w:end="85"/>
        <w:rPr/>
      </w:pPr>
      <w:r>
        <w:rPr>
          <w:b/>
          <w:color w:val="0B3D91"/>
          <w:sz w:val="17"/>
        </w:rPr>
        <w:t>Q6. Quelle preuve, référence, règle ou information de statut accompagne « Départements institutionnels — présentation » ?</w:t>
      </w:r>
    </w:p>
    <w:p>
      <w:pPr>
        <w:pStyle w:val="Normal"/>
        <w:spacing w:before="0" w:after="40"/>
        <w:ind w:start="255" w:end="85"/>
        <w:rPr/>
      </w:pPr>
      <w:r>
        <w:rPr>
          <w:b/>
          <w:color w:val="D4A017"/>
          <w:sz w:val="17"/>
        </w:rPr>
        <w:t xml:space="preserve">Réponse : </w:t>
      </w:r>
      <w:r>
        <w:rPr>
          <w:color w:val="1F2937"/>
          <w:sz w:val="17"/>
        </w:rPr>
        <w:t>La page et la référence de gouvernance GSE-PUB-GOV-001 soutiennent la présentation.</w:t>
      </w:r>
    </w:p>
    <w:p>
      <w:pPr>
        <w:pStyle w:val="Normal"/>
        <w:keepNext w:val="true"/>
        <w:spacing w:before="40" w:after="0"/>
        <w:ind w:start="85" w:end="85"/>
        <w:rPr/>
      </w:pPr>
      <w:r>
        <w:rPr>
          <w:b/>
          <w:color w:val="0B3D91"/>
          <w:sz w:val="17"/>
        </w:rPr>
        <w:t>Q7. Quelles limites de diffusion, de décision ou d’accès sont précisées pour « Départements institutionnels — présentation » ?</w:t>
      </w:r>
    </w:p>
    <w:p>
      <w:pPr>
        <w:pStyle w:val="Normal"/>
        <w:spacing w:before="0" w:after="40"/>
        <w:ind w:start="255" w:end="85"/>
        <w:rPr/>
      </w:pPr>
      <w:r>
        <w:rPr>
          <w:b/>
          <w:color w:val="D4A017"/>
          <w:sz w:val="17"/>
        </w:rPr>
        <w:t xml:space="preserve">Réponse : </w:t>
      </w:r>
      <w:r>
        <w:rPr>
          <w:color w:val="1F2937"/>
          <w:sz w:val="17"/>
        </w:rPr>
        <w:t>Workflows, habilitations, contrôles et dossiers individuels restent dans le portail sécurisé.</w:t>
      </w:r>
    </w:p>
    <w:p>
      <w:pPr>
        <w:pStyle w:val="Normal"/>
        <w:keepNext w:val="true"/>
        <w:spacing w:before="40" w:after="0"/>
        <w:ind w:start="85" w:end="85"/>
        <w:rPr/>
      </w:pPr>
      <w:r>
        <w:rPr>
          <w:b/>
          <w:color w:val="0B3D91"/>
          <w:sz w:val="17"/>
        </w:rPr>
        <w:t>Q8. À quels publics ou bénéficiaires la section « Départements institutionnels — présentation » est-elle principalement destinée ?</w:t>
      </w:r>
    </w:p>
    <w:p>
      <w:pPr>
        <w:pStyle w:val="Normal"/>
        <w:spacing w:before="0" w:after="40"/>
        <w:ind w:start="255" w:end="85"/>
        <w:rPr/>
      </w:pPr>
      <w:r>
        <w:rPr>
          <w:b/>
          <w:color w:val="D4A017"/>
          <w:sz w:val="17"/>
        </w:rPr>
        <w:t xml:space="preserve">Réponse : </w:t>
      </w:r>
      <w:r>
        <w:rPr>
          <w:color w:val="1F2937"/>
          <w:sz w:val="17"/>
        </w:rPr>
        <w:t>Familles, partenaires, candidats, personnels et visiteurs.</w:t>
      </w:r>
    </w:p>
    <w:p>
      <w:pPr>
        <w:pStyle w:val="Normal"/>
        <w:keepNext w:val="true"/>
        <w:spacing w:before="40" w:after="0"/>
        <w:ind w:start="85" w:end="85"/>
        <w:rPr/>
      </w:pPr>
      <w:r>
        <w:rPr>
          <w:b/>
          <w:color w:val="0B3D91"/>
          <w:sz w:val="17"/>
        </w:rPr>
        <w:t>Q9. À quelles autres rubriques ou fonctions du site « Départements institutionnels — présentation » est-il relié ?</w:t>
      </w:r>
    </w:p>
    <w:p>
      <w:pPr>
        <w:pStyle w:val="Normal"/>
        <w:spacing w:before="0" w:after="40"/>
        <w:ind w:start="255" w:end="85"/>
        <w:rPr/>
      </w:pPr>
      <w:r>
        <w:rPr>
          <w:b/>
          <w:color w:val="D4A017"/>
          <w:sz w:val="17"/>
        </w:rPr>
        <w:t xml:space="preserve">Réponse : </w:t>
      </w:r>
      <w:r>
        <w:rPr>
          <w:color w:val="1F2937"/>
          <w:sz w:val="17"/>
        </w:rPr>
        <w:t>Lien avec Gouvernance, Qualité, Documentation, ÉMINA et Contact.</w:t>
      </w:r>
    </w:p>
    <w:p>
      <w:pPr>
        <w:pStyle w:val="Normal"/>
        <w:keepNext w:val="true"/>
        <w:spacing w:before="40" w:after="0"/>
        <w:ind w:start="85" w:end="85"/>
        <w:rPr/>
      </w:pPr>
      <w:r>
        <w:rPr>
          <w:b/>
          <w:color w:val="0B3D91"/>
          <w:sz w:val="17"/>
        </w:rPr>
        <w:t>Q10. Quelle action, orientation ou résultat concret le lecteur peut-il retenir de « Départements institutionnels — présentation » ?</w:t>
      </w:r>
    </w:p>
    <w:p>
      <w:pPr>
        <w:pStyle w:val="Normal"/>
        <w:spacing w:before="0" w:after="40"/>
        <w:ind w:start="255" w:end="85"/>
        <w:rPr/>
      </w:pPr>
      <w:r>
        <w:rPr>
          <w:b/>
          <w:color w:val="D4A017"/>
          <w:sz w:val="17"/>
        </w:rPr>
        <w:t xml:space="preserve">Réponse : </w:t>
      </w:r>
      <w:r>
        <w:rPr>
          <w:color w:val="1F2937"/>
          <w:sz w:val="17"/>
        </w:rPr>
        <w:t>Identifier le département compétent puis demander une orientation ou une assistance humaine.</w:t>
      </w:r>
    </w:p>
    <w:p>
      <w:pPr>
        <w:pStyle w:val="Normal"/>
        <w:rPr/>
      </w:pPr>
      <w:r>
        <w:rPr/>
      </w:r>
      <w:r>
        <w:br w:type="page"/>
      </w:r>
    </w:p>
    <w:p>
      <w:pPr>
        <w:pStyle w:val="Heading2"/>
        <w:spacing w:before="0" w:after="80"/>
        <w:rPr/>
      </w:pPr>
      <w:r>
        <w:rPr/>
        <w:t>FICHE 36 — Des responsabilités distinctes, une même mission</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Chaque département a un champ d’action, un responsable et des procédures internes, tout en servant la mission commune de l’école.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oppose utilement spécialisation et unité.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prévient les doublons, les conflits de rôle et les renvois imprécis.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missions publiques et les collaborations interservices.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Champ d’action</w:t>
      </w:r>
    </w:p>
    <w:p>
      <w:pPr>
        <w:pStyle w:val="ListBullet"/>
        <w:numPr>
          <w:ilvl w:val="0"/>
          <w:numId w:val="1"/>
        </w:numPr>
        <w:spacing w:before="0" w:after="20"/>
        <w:ind w:hanging="360" w:start="255"/>
        <w:contextualSpacing/>
        <w:rPr/>
      </w:pPr>
      <w:r>
        <w:rPr>
          <w:sz w:val="18"/>
        </w:rPr>
        <w:t>Responsable</w:t>
      </w:r>
    </w:p>
    <w:p>
      <w:pPr>
        <w:pStyle w:val="ListBullet"/>
        <w:numPr>
          <w:ilvl w:val="0"/>
          <w:numId w:val="1"/>
        </w:numPr>
        <w:spacing w:before="0" w:after="20"/>
        <w:ind w:hanging="360" w:start="255"/>
        <w:contextualSpacing/>
        <w:rPr/>
      </w:pPr>
      <w:r>
        <w:rPr>
          <w:sz w:val="18"/>
        </w:rPr>
        <w:t>Procédures internes</w:t>
      </w:r>
    </w:p>
    <w:p>
      <w:pPr>
        <w:pStyle w:val="ListBullet"/>
        <w:numPr>
          <w:ilvl w:val="0"/>
          <w:numId w:val="1"/>
        </w:numPr>
        <w:spacing w:before="0" w:after="20"/>
        <w:ind w:hanging="360" w:start="255"/>
        <w:contextualSpacing/>
        <w:rPr/>
      </w:pPr>
      <w:r>
        <w:rPr>
          <w:sz w:val="18"/>
        </w:rPr>
        <w:t>Portail sécurisé</w:t>
      </w:r>
    </w:p>
    <w:p>
      <w:pPr>
        <w:pStyle w:val="ListBullet"/>
        <w:numPr>
          <w:ilvl w:val="0"/>
          <w:numId w:val="1"/>
        </w:numPr>
        <w:spacing w:before="0" w:after="20"/>
        <w:ind w:hanging="360" w:start="255"/>
        <w:contextualSpacing/>
        <w:rPr/>
      </w:pPr>
      <w:r>
        <w:rPr>
          <w:sz w:val="18"/>
        </w:rPr>
        <w:t>Mission commune</w:t>
      </w:r>
    </w:p>
    <w:p>
      <w:pPr>
        <w:pStyle w:val="Heading3"/>
        <w:rPr/>
      </w:pPr>
      <w:r>
        <w:rPr/>
        <w:t>Banque de questions-réponses</w:t>
      </w:r>
    </w:p>
    <w:p>
      <w:pPr>
        <w:pStyle w:val="Normal"/>
        <w:keepNext w:val="true"/>
        <w:spacing w:before="40" w:after="0"/>
        <w:ind w:start="85" w:end="85"/>
        <w:rPr/>
      </w:pPr>
      <w:r>
        <w:rPr>
          <w:b/>
          <w:color w:val="0B3D91"/>
          <w:sz w:val="17"/>
        </w:rPr>
        <w:t>Q1. Que présente la section « Des responsabilités distinctes, une même mission » ?</w:t>
      </w:r>
    </w:p>
    <w:p>
      <w:pPr>
        <w:pStyle w:val="Normal"/>
        <w:spacing w:before="0" w:after="40"/>
        <w:ind w:start="255" w:end="85"/>
        <w:rPr/>
      </w:pPr>
      <w:r>
        <w:rPr>
          <w:b/>
          <w:color w:val="D4A017"/>
          <w:sz w:val="17"/>
        </w:rPr>
        <w:t xml:space="preserve">Réponse : </w:t>
      </w:r>
      <w:r>
        <w:rPr>
          <w:color w:val="1F2937"/>
          <w:sz w:val="17"/>
        </w:rPr>
        <w:t>Chaque département a un champ d’action, un responsable et des procédures internes, tout en servant la mission commune de l’école.</w:t>
      </w:r>
    </w:p>
    <w:p>
      <w:pPr>
        <w:pStyle w:val="Normal"/>
        <w:keepNext w:val="true"/>
        <w:spacing w:before="40" w:after="0"/>
        <w:ind w:start="85" w:end="85"/>
        <w:rPr/>
      </w:pPr>
      <w:r>
        <w:rPr>
          <w:b/>
          <w:color w:val="0B3D91"/>
          <w:sz w:val="17"/>
        </w:rPr>
        <w:t>Q2. Quel est l’objectif principal exposé dans « Des responsabilités distinctes, une même mission » ?</w:t>
      </w:r>
    </w:p>
    <w:p>
      <w:pPr>
        <w:pStyle w:val="Normal"/>
        <w:spacing w:before="0" w:after="40"/>
        <w:ind w:start="255" w:end="85"/>
        <w:rPr/>
      </w:pPr>
      <w:r>
        <w:rPr>
          <w:b/>
          <w:color w:val="D4A017"/>
          <w:sz w:val="17"/>
        </w:rPr>
        <w:t xml:space="preserve">Réponse : </w:t>
      </w:r>
      <w:r>
        <w:rPr>
          <w:color w:val="1F2937"/>
          <w:sz w:val="17"/>
        </w:rPr>
        <w:t>Expliquer la spécialisation des rôles sans perdre l’unité institutionnelle.</w:t>
      </w:r>
    </w:p>
    <w:p>
      <w:pPr>
        <w:pStyle w:val="Normal"/>
        <w:keepNext w:val="true"/>
        <w:spacing w:before="40" w:after="0"/>
        <w:ind w:start="85" w:end="85"/>
        <w:rPr/>
      </w:pPr>
      <w:r>
        <w:rPr>
          <w:b/>
          <w:color w:val="0B3D91"/>
          <w:sz w:val="17"/>
        </w:rPr>
        <w:t>Q3. Quels éléments ou domaines sont couverts par « Des responsabilités distinctes, une même mission » ?</w:t>
      </w:r>
    </w:p>
    <w:p>
      <w:pPr>
        <w:pStyle w:val="Normal"/>
        <w:spacing w:before="0" w:after="40"/>
        <w:ind w:start="255" w:end="85"/>
        <w:rPr/>
      </w:pPr>
      <w:r>
        <w:rPr>
          <w:b/>
          <w:color w:val="D4A017"/>
          <w:sz w:val="17"/>
        </w:rPr>
        <w:t xml:space="preserve">Réponse : </w:t>
      </w:r>
      <w:r>
        <w:rPr>
          <w:color w:val="1F2937"/>
          <w:sz w:val="17"/>
        </w:rPr>
        <w:t>Champs d’action distincts, responsables identifiés, procédures et mission commune.</w:t>
      </w:r>
    </w:p>
    <w:p>
      <w:pPr>
        <w:pStyle w:val="Normal"/>
        <w:keepNext w:val="true"/>
        <w:spacing w:before="40" w:after="0"/>
        <w:ind w:start="85" w:end="85"/>
        <w:rPr/>
      </w:pPr>
      <w:r>
        <w:rPr>
          <w:b/>
          <w:color w:val="0B3D91"/>
          <w:sz w:val="17"/>
        </w:rPr>
        <w:t>Q4. Qui porte, coordonne ou garantit les éléments présentés dans « Des responsabilités distinctes, une même mission » ?</w:t>
      </w:r>
    </w:p>
    <w:p>
      <w:pPr>
        <w:pStyle w:val="Normal"/>
        <w:spacing w:before="0" w:after="40"/>
        <w:ind w:start="255" w:end="85"/>
        <w:rPr/>
      </w:pPr>
      <w:r>
        <w:rPr>
          <w:b/>
          <w:color w:val="D4A017"/>
          <w:sz w:val="17"/>
        </w:rPr>
        <w:t xml:space="preserve">Réponse : </w:t>
      </w:r>
      <w:r>
        <w:rPr>
          <w:color w:val="1F2937"/>
          <w:sz w:val="17"/>
        </w:rPr>
        <w:t>La Direction coordonne; chaque département répond de son périmètre.</w:t>
      </w:r>
    </w:p>
    <w:p>
      <w:pPr>
        <w:pStyle w:val="Normal"/>
        <w:keepNext w:val="true"/>
        <w:spacing w:before="40" w:after="0"/>
        <w:ind w:start="85" w:end="85"/>
        <w:rPr/>
      </w:pPr>
      <w:r>
        <w:rPr>
          <w:b/>
          <w:color w:val="0B3D91"/>
          <w:sz w:val="17"/>
        </w:rPr>
        <w:t>Q5. Comment la section « Des responsabilités distinctes, une même mission » prévoit-elle la mise en œuvre ou le suivi ?</w:t>
      </w:r>
    </w:p>
    <w:p>
      <w:pPr>
        <w:pStyle w:val="Normal"/>
        <w:spacing w:before="0" w:after="40"/>
        <w:ind w:start="255" w:end="85"/>
        <w:rPr/>
      </w:pPr>
      <w:r>
        <w:rPr>
          <w:b/>
          <w:color w:val="D4A017"/>
          <w:sz w:val="17"/>
        </w:rPr>
        <w:t xml:space="preserve">Réponse : </w:t>
      </w:r>
      <w:r>
        <w:rPr>
          <w:color w:val="1F2937"/>
          <w:sz w:val="17"/>
        </w:rPr>
        <w:t>Les missions utiles aux familles sont publiques et les processus détaillés restent sécurisés.</w:t>
      </w:r>
    </w:p>
    <w:p>
      <w:pPr>
        <w:pStyle w:val="Normal"/>
        <w:keepNext w:val="true"/>
        <w:spacing w:before="40" w:after="0"/>
        <w:ind w:start="85" w:end="85"/>
        <w:rPr/>
      </w:pPr>
      <w:r>
        <w:rPr>
          <w:b/>
          <w:color w:val="0B3D91"/>
          <w:sz w:val="17"/>
        </w:rPr>
        <w:t>Q6. Quelle preuve, référence, règle ou information de statut accompagne « Des responsabilités distinctes, une même mission » ?</w:t>
      </w:r>
    </w:p>
    <w:p>
      <w:pPr>
        <w:pStyle w:val="Normal"/>
        <w:spacing w:before="0" w:after="40"/>
        <w:ind w:start="255" w:end="85"/>
        <w:rPr/>
      </w:pPr>
      <w:r>
        <w:rPr>
          <w:b/>
          <w:color w:val="D4A017"/>
          <w:sz w:val="17"/>
        </w:rPr>
        <w:t xml:space="preserve">Réponse : </w:t>
      </w:r>
      <w:r>
        <w:rPr>
          <w:color w:val="1F2937"/>
          <w:sz w:val="17"/>
        </w:rPr>
        <w:t>Les pages départementales et la gouvernance documentée matérialisent la répartition.</w:t>
      </w:r>
    </w:p>
    <w:p>
      <w:pPr>
        <w:pStyle w:val="Normal"/>
        <w:keepNext w:val="true"/>
        <w:spacing w:before="40" w:after="0"/>
        <w:ind w:start="85" w:end="85"/>
        <w:rPr/>
      </w:pPr>
      <w:r>
        <w:rPr>
          <w:b/>
          <w:color w:val="0B3D91"/>
          <w:sz w:val="17"/>
        </w:rPr>
        <w:t>Q7. Quelles limites de diffusion, de décision ou d’accès sont précisées pour « Des responsabilités distinctes, une même mission » ?</w:t>
      </w:r>
    </w:p>
    <w:p>
      <w:pPr>
        <w:pStyle w:val="Normal"/>
        <w:spacing w:before="0" w:after="40"/>
        <w:ind w:start="255" w:end="85"/>
        <w:rPr/>
      </w:pPr>
      <w:r>
        <w:rPr>
          <w:b/>
          <w:color w:val="D4A017"/>
          <w:sz w:val="17"/>
        </w:rPr>
        <w:t xml:space="preserve">Réponse : </w:t>
      </w:r>
      <w:r>
        <w:rPr>
          <w:color w:val="1F2937"/>
          <w:sz w:val="17"/>
        </w:rPr>
        <w:t>Le portail sécurisé conserve les workflows, habilitations et contrôles.</w:t>
      </w:r>
    </w:p>
    <w:p>
      <w:pPr>
        <w:pStyle w:val="Normal"/>
        <w:keepNext w:val="true"/>
        <w:spacing w:before="40" w:after="0"/>
        <w:ind w:start="85" w:end="85"/>
        <w:rPr/>
      </w:pPr>
      <w:r>
        <w:rPr>
          <w:b/>
          <w:color w:val="0B3D91"/>
          <w:sz w:val="17"/>
        </w:rPr>
        <w:t>Q8. À quels publics ou bénéficiaires la section « Des responsabilités distinctes, une même mission » est-elle principalement destinée ?</w:t>
      </w:r>
    </w:p>
    <w:p>
      <w:pPr>
        <w:pStyle w:val="Normal"/>
        <w:spacing w:before="0" w:after="40"/>
        <w:ind w:start="255" w:end="85"/>
        <w:rPr/>
      </w:pPr>
      <w:r>
        <w:rPr>
          <w:b/>
          <w:color w:val="D4A017"/>
          <w:sz w:val="17"/>
        </w:rPr>
        <w:t xml:space="preserve">Réponse : </w:t>
      </w:r>
      <w:r>
        <w:rPr>
          <w:color w:val="1F2937"/>
          <w:sz w:val="17"/>
        </w:rPr>
        <w:t>Usagers recherchant un service clair et personnels travaillant en collaboration.</w:t>
      </w:r>
    </w:p>
    <w:p>
      <w:pPr>
        <w:pStyle w:val="Normal"/>
        <w:keepNext w:val="true"/>
        <w:spacing w:before="40" w:after="0"/>
        <w:ind w:start="85" w:end="85"/>
        <w:rPr/>
      </w:pPr>
      <w:r>
        <w:rPr>
          <w:b/>
          <w:color w:val="0B3D91"/>
          <w:sz w:val="17"/>
        </w:rPr>
        <w:t>Q9. À quelles autres rubriques ou fonctions du site « Des responsabilités distinctes, une même mission » est-il relié ?</w:t>
      </w:r>
    </w:p>
    <w:p>
      <w:pPr>
        <w:pStyle w:val="Normal"/>
        <w:spacing w:before="0" w:after="40"/>
        <w:ind w:start="255" w:end="85"/>
        <w:rPr/>
      </w:pPr>
      <w:r>
        <w:rPr>
          <w:b/>
          <w:color w:val="D4A017"/>
          <w:sz w:val="17"/>
        </w:rPr>
        <w:t xml:space="preserve">Réponse : </w:t>
      </w:r>
      <w:r>
        <w:rPr>
          <w:color w:val="1F2937"/>
          <w:sz w:val="17"/>
        </w:rPr>
        <w:t>Lien avec Redevabilité, Gouvernance et Assistance humaine.</w:t>
      </w:r>
    </w:p>
    <w:p>
      <w:pPr>
        <w:pStyle w:val="Normal"/>
        <w:keepNext w:val="true"/>
        <w:spacing w:before="40" w:after="0"/>
        <w:ind w:start="85" w:end="85"/>
        <w:rPr/>
      </w:pPr>
      <w:r>
        <w:rPr>
          <w:b/>
          <w:color w:val="0B3D91"/>
          <w:sz w:val="17"/>
        </w:rPr>
        <w:t>Q10. Quelle action, orientation ou résultat concret le lecteur peut-il retenir de « Des responsabilités distinctes, une même mission » ?</w:t>
      </w:r>
    </w:p>
    <w:p>
      <w:pPr>
        <w:pStyle w:val="Normal"/>
        <w:spacing w:before="0" w:after="40"/>
        <w:ind w:start="255" w:end="85"/>
        <w:rPr/>
      </w:pPr>
      <w:r>
        <w:rPr>
          <w:b/>
          <w:color w:val="D4A017"/>
          <w:sz w:val="17"/>
        </w:rPr>
        <w:t xml:space="preserve">Réponse : </w:t>
      </w:r>
      <w:r>
        <w:rPr>
          <w:color w:val="1F2937"/>
          <w:sz w:val="17"/>
        </w:rPr>
        <w:t>S’adresser au bon département tout en reconnaissant la coordination institutionnelle.</w:t>
      </w:r>
    </w:p>
    <w:p>
      <w:pPr>
        <w:pStyle w:val="Normal"/>
        <w:rPr/>
      </w:pPr>
      <w:r>
        <w:rPr/>
      </w:r>
      <w:r>
        <w:br w:type="page"/>
      </w:r>
    </w:p>
    <w:p>
      <w:pPr>
        <w:pStyle w:val="Heading2"/>
        <w:spacing w:before="0" w:after="80"/>
        <w:rPr/>
      </w:pPr>
      <w:r>
        <w:rPr/>
        <w:t>FICHE 37 — DAQAC — Assurance qualité</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DAQAC porte le référentiel, les audits, l’amélioration continue et le suivi des engagements.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est affiché pour identifier clairement le département qualité.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 département garantit la cohérence des méthodes de contrôle et d’amélioration.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tous les autres départements.</w:t>
            </w:r>
          </w:p>
        </w:tc>
      </w:tr>
    </w:tbl>
    <w:p>
      <w:pPr>
        <w:pStyle w:val="Heading3"/>
        <w:rPr/>
      </w:pPr>
      <w:r>
        <w:rPr/>
        <w:t>Points développés</w:t>
      </w:r>
    </w:p>
    <w:p>
      <w:pPr>
        <w:pStyle w:val="ListBullet"/>
        <w:numPr>
          <w:ilvl w:val="0"/>
          <w:numId w:val="1"/>
        </w:numPr>
        <w:spacing w:before="0" w:after="20"/>
        <w:ind w:hanging="360" w:start="255"/>
        <w:contextualSpacing/>
        <w:rPr/>
      </w:pPr>
      <w:r>
        <w:rPr>
          <w:sz w:val="18"/>
        </w:rPr>
        <w:t>Référentiel</w:t>
      </w:r>
    </w:p>
    <w:p>
      <w:pPr>
        <w:pStyle w:val="ListBullet"/>
        <w:numPr>
          <w:ilvl w:val="0"/>
          <w:numId w:val="1"/>
        </w:numPr>
        <w:spacing w:before="0" w:after="20"/>
        <w:ind w:hanging="360" w:start="255"/>
        <w:contextualSpacing/>
        <w:rPr/>
      </w:pPr>
      <w:r>
        <w:rPr>
          <w:sz w:val="18"/>
        </w:rPr>
        <w:t>Audits</w:t>
      </w:r>
    </w:p>
    <w:p>
      <w:pPr>
        <w:pStyle w:val="ListBullet"/>
        <w:numPr>
          <w:ilvl w:val="0"/>
          <w:numId w:val="1"/>
        </w:numPr>
        <w:spacing w:before="0" w:after="20"/>
        <w:ind w:hanging="360" w:start="255"/>
        <w:contextualSpacing/>
        <w:rPr/>
      </w:pPr>
      <w:r>
        <w:rPr>
          <w:sz w:val="18"/>
        </w:rPr>
        <w:t>Amélioration continue</w:t>
      </w:r>
    </w:p>
    <w:p>
      <w:pPr>
        <w:pStyle w:val="ListBullet"/>
        <w:numPr>
          <w:ilvl w:val="0"/>
          <w:numId w:val="1"/>
        </w:numPr>
        <w:spacing w:before="0" w:after="20"/>
        <w:ind w:hanging="360" w:start="255"/>
        <w:contextualSpacing/>
        <w:rPr/>
      </w:pPr>
      <w:r>
        <w:rPr>
          <w:sz w:val="18"/>
        </w:rPr>
        <w:t>Engagements</w:t>
      </w:r>
    </w:p>
    <w:p>
      <w:pPr>
        <w:pStyle w:val="Heading3"/>
        <w:rPr/>
      </w:pPr>
      <w:r>
        <w:rPr/>
        <w:t>Banque de questions-réponses</w:t>
      </w:r>
    </w:p>
    <w:p>
      <w:pPr>
        <w:pStyle w:val="Normal"/>
        <w:keepNext w:val="true"/>
        <w:spacing w:before="40" w:after="0"/>
        <w:ind w:start="85" w:end="85"/>
        <w:rPr/>
      </w:pPr>
      <w:r>
        <w:rPr>
          <w:b/>
          <w:color w:val="0B3D91"/>
          <w:sz w:val="17"/>
        </w:rPr>
        <w:t>Q1. Que présente la section « DAQAC — Assurance qualité » ?</w:t>
      </w:r>
    </w:p>
    <w:p>
      <w:pPr>
        <w:pStyle w:val="Normal"/>
        <w:spacing w:before="0" w:after="40"/>
        <w:ind w:start="255" w:end="85"/>
        <w:rPr/>
      </w:pPr>
      <w:r>
        <w:rPr>
          <w:b/>
          <w:color w:val="D4A017"/>
          <w:sz w:val="17"/>
        </w:rPr>
        <w:t xml:space="preserve">Réponse : </w:t>
      </w:r>
      <w:r>
        <w:rPr>
          <w:color w:val="1F2937"/>
          <w:sz w:val="17"/>
        </w:rPr>
        <w:t>Le DAQAC porte le référentiel, les audits, l’amélioration continue et le suivi des engagements.</w:t>
      </w:r>
    </w:p>
    <w:p>
      <w:pPr>
        <w:pStyle w:val="Normal"/>
        <w:keepNext w:val="true"/>
        <w:spacing w:before="40" w:after="0"/>
        <w:ind w:start="85" w:end="85"/>
        <w:rPr/>
      </w:pPr>
      <w:r>
        <w:rPr>
          <w:b/>
          <w:color w:val="0B3D91"/>
          <w:sz w:val="17"/>
        </w:rPr>
        <w:t>Q2. Quel est l’objectif principal exposé dans « DAQAC — Assurance qualité » ?</w:t>
      </w:r>
    </w:p>
    <w:p>
      <w:pPr>
        <w:pStyle w:val="Normal"/>
        <w:spacing w:before="0" w:after="40"/>
        <w:ind w:start="255" w:end="85"/>
        <w:rPr/>
      </w:pPr>
      <w:r>
        <w:rPr>
          <w:b/>
          <w:color w:val="D4A017"/>
          <w:sz w:val="17"/>
        </w:rPr>
        <w:t xml:space="preserve">Réponse : </w:t>
      </w:r>
      <w:r>
        <w:rPr>
          <w:color w:val="1F2937"/>
          <w:sz w:val="17"/>
        </w:rPr>
        <w:t>Identifier le département chargé de la coordination qualité.</w:t>
      </w:r>
    </w:p>
    <w:p>
      <w:pPr>
        <w:pStyle w:val="Normal"/>
        <w:keepNext w:val="true"/>
        <w:spacing w:before="40" w:after="0"/>
        <w:ind w:start="85" w:end="85"/>
        <w:rPr/>
      </w:pPr>
      <w:r>
        <w:rPr>
          <w:b/>
          <w:color w:val="0B3D91"/>
          <w:sz w:val="17"/>
        </w:rPr>
        <w:t>Q3. Quels éléments ou domaines sont couverts par « DAQAC — Assurance qualité » ?</w:t>
      </w:r>
    </w:p>
    <w:p>
      <w:pPr>
        <w:pStyle w:val="Normal"/>
        <w:spacing w:before="0" w:after="40"/>
        <w:ind w:start="255" w:end="85"/>
        <w:rPr/>
      </w:pPr>
      <w:r>
        <w:rPr>
          <w:b/>
          <w:color w:val="D4A017"/>
          <w:sz w:val="17"/>
        </w:rPr>
        <w:t xml:space="preserve">Réponse : </w:t>
      </w:r>
      <w:r>
        <w:rPr>
          <w:color w:val="1F2937"/>
          <w:sz w:val="17"/>
        </w:rPr>
        <w:t>Référentiel, audits, plans d’action et suivi.</w:t>
      </w:r>
    </w:p>
    <w:p>
      <w:pPr>
        <w:pStyle w:val="Normal"/>
        <w:keepNext w:val="true"/>
        <w:spacing w:before="40" w:after="0"/>
        <w:ind w:start="85" w:end="85"/>
        <w:rPr/>
      </w:pPr>
      <w:r>
        <w:rPr>
          <w:b/>
          <w:color w:val="0B3D91"/>
          <w:sz w:val="17"/>
        </w:rPr>
        <w:t>Q4. Qui porte, coordonne ou garantit les éléments présentés dans « DAQAC — Assurance qualité » ?</w:t>
      </w:r>
    </w:p>
    <w:p>
      <w:pPr>
        <w:pStyle w:val="Normal"/>
        <w:spacing w:before="0" w:after="40"/>
        <w:ind w:start="255" w:end="85"/>
        <w:rPr/>
      </w:pPr>
      <w:r>
        <w:rPr>
          <w:b/>
          <w:color w:val="D4A017"/>
          <w:sz w:val="17"/>
        </w:rPr>
        <w:t xml:space="preserve">Réponse : </w:t>
      </w:r>
      <w:r>
        <w:rPr>
          <w:color w:val="1F2937"/>
          <w:sz w:val="17"/>
        </w:rPr>
        <w:t>Le DAQAC.</w:t>
      </w:r>
    </w:p>
    <w:p>
      <w:pPr>
        <w:pStyle w:val="Normal"/>
        <w:keepNext w:val="true"/>
        <w:spacing w:before="40" w:after="0"/>
        <w:ind w:start="85" w:end="85"/>
        <w:rPr/>
      </w:pPr>
      <w:r>
        <w:rPr>
          <w:b/>
          <w:color w:val="0B3D91"/>
          <w:sz w:val="17"/>
        </w:rPr>
        <w:t>Q5. Comment la section « DAQAC — Assurance qualité » prévoit-elle la mise en œuvre ou le suivi ?</w:t>
      </w:r>
    </w:p>
    <w:p>
      <w:pPr>
        <w:pStyle w:val="Normal"/>
        <w:spacing w:before="0" w:after="40"/>
        <w:ind w:start="255" w:end="85"/>
        <w:rPr/>
      </w:pPr>
      <w:r>
        <w:rPr>
          <w:b/>
          <w:color w:val="D4A017"/>
          <w:sz w:val="17"/>
        </w:rPr>
        <w:t xml:space="preserve">Réponse : </w:t>
      </w:r>
      <w:r>
        <w:rPr>
          <w:color w:val="1F2937"/>
          <w:sz w:val="17"/>
        </w:rPr>
        <w:t>Il coordonne et vérifie sans remplacer les responsables opérationnels.</w:t>
      </w:r>
    </w:p>
    <w:p>
      <w:pPr>
        <w:pStyle w:val="Normal"/>
        <w:keepNext w:val="true"/>
        <w:spacing w:before="40" w:after="0"/>
        <w:ind w:start="85" w:end="85"/>
        <w:rPr/>
      </w:pPr>
      <w:r>
        <w:rPr>
          <w:b/>
          <w:color w:val="0B3D91"/>
          <w:sz w:val="17"/>
        </w:rPr>
        <w:t>Q6. Quelle preuve, référence, règle ou information de statut accompagne « DAQAC — Assurance qualité » ?</w:t>
      </w:r>
    </w:p>
    <w:p>
      <w:pPr>
        <w:pStyle w:val="Normal"/>
        <w:spacing w:before="0" w:after="40"/>
        <w:ind w:start="255" w:end="85"/>
        <w:rPr/>
      </w:pPr>
      <w:r>
        <w:rPr>
          <w:b/>
          <w:color w:val="D4A017"/>
          <w:sz w:val="17"/>
        </w:rPr>
        <w:t xml:space="preserve">Réponse : </w:t>
      </w:r>
      <w:r>
        <w:rPr>
          <w:color w:val="1F2937"/>
          <w:sz w:val="17"/>
        </w:rPr>
        <w:t>La page Assurance qualité et GSE-PUB-QUA-001 servent de références.</w:t>
      </w:r>
    </w:p>
    <w:p>
      <w:pPr>
        <w:pStyle w:val="Normal"/>
        <w:keepNext w:val="true"/>
        <w:spacing w:before="40" w:after="0"/>
        <w:ind w:start="85" w:end="85"/>
        <w:rPr/>
      </w:pPr>
      <w:r>
        <w:rPr>
          <w:b/>
          <w:color w:val="0B3D91"/>
          <w:sz w:val="17"/>
        </w:rPr>
        <w:t>Q7. Quelles limites de diffusion, de décision ou d’accès sont précisées pour « DAQAC — Assurance qualité » ?</w:t>
      </w:r>
    </w:p>
    <w:p>
      <w:pPr>
        <w:pStyle w:val="Normal"/>
        <w:spacing w:before="0" w:after="40"/>
        <w:ind w:start="255" w:end="85"/>
        <w:rPr/>
      </w:pPr>
      <w:r>
        <w:rPr>
          <w:b/>
          <w:color w:val="D4A017"/>
          <w:sz w:val="17"/>
        </w:rPr>
        <w:t xml:space="preserve">Réponse : </w:t>
      </w:r>
      <w:r>
        <w:rPr>
          <w:color w:val="1F2937"/>
          <w:sz w:val="17"/>
        </w:rPr>
        <w:t>Les audits détaillés et données sensibles restent internes.</w:t>
      </w:r>
    </w:p>
    <w:p>
      <w:pPr>
        <w:pStyle w:val="Normal"/>
        <w:keepNext w:val="true"/>
        <w:spacing w:before="40" w:after="0"/>
        <w:ind w:start="85" w:end="85"/>
        <w:rPr/>
      </w:pPr>
      <w:r>
        <w:rPr>
          <w:b/>
          <w:color w:val="0B3D91"/>
          <w:sz w:val="17"/>
        </w:rPr>
        <w:t>Q8. À quels publics ou bénéficiaires la section « DAQAC — Assurance qualité » est-elle principalement destinée ?</w:t>
      </w:r>
    </w:p>
    <w:p>
      <w:pPr>
        <w:pStyle w:val="Normal"/>
        <w:spacing w:before="0" w:after="40"/>
        <w:ind w:start="255" w:end="85"/>
        <w:rPr/>
      </w:pPr>
      <w:r>
        <w:rPr>
          <w:b/>
          <w:color w:val="D4A017"/>
          <w:sz w:val="17"/>
        </w:rPr>
        <w:t xml:space="preserve">Réponse : </w:t>
      </w:r>
      <w:r>
        <w:rPr>
          <w:color w:val="1F2937"/>
          <w:sz w:val="17"/>
        </w:rPr>
        <w:t>Tous les services, familles et élèves.</w:t>
      </w:r>
    </w:p>
    <w:p>
      <w:pPr>
        <w:pStyle w:val="Normal"/>
        <w:keepNext w:val="true"/>
        <w:spacing w:before="40" w:after="0"/>
        <w:ind w:start="85" w:end="85"/>
        <w:rPr/>
      </w:pPr>
      <w:r>
        <w:rPr>
          <w:b/>
          <w:color w:val="0B3D91"/>
          <w:sz w:val="17"/>
        </w:rPr>
        <w:t>Q9. À quelles autres rubriques ou fonctions du site « DAQAC — Assurance qualité » est-il relié ?</w:t>
      </w:r>
    </w:p>
    <w:p>
      <w:pPr>
        <w:pStyle w:val="Normal"/>
        <w:spacing w:before="0" w:after="40"/>
        <w:ind w:start="255" w:end="85"/>
        <w:rPr/>
      </w:pPr>
      <w:r>
        <w:rPr>
          <w:b/>
          <w:color w:val="D4A017"/>
          <w:sz w:val="17"/>
        </w:rPr>
        <w:t xml:space="preserve">Réponse : </w:t>
      </w:r>
      <w:r>
        <w:rPr>
          <w:color w:val="1F2937"/>
          <w:sz w:val="17"/>
        </w:rPr>
        <w:t>Lien avec les 12 domaines et le cycle d’amélioration.</w:t>
      </w:r>
    </w:p>
    <w:p>
      <w:pPr>
        <w:pStyle w:val="Normal"/>
        <w:keepNext w:val="true"/>
        <w:spacing w:before="40" w:after="0"/>
        <w:ind w:start="85" w:end="85"/>
        <w:rPr/>
      </w:pPr>
      <w:r>
        <w:rPr>
          <w:b/>
          <w:color w:val="0B3D91"/>
          <w:sz w:val="17"/>
        </w:rPr>
        <w:t>Q10. Quelle action, orientation ou résultat concret le lecteur peut-il retenir de « DAQAC — Assurance qualité » ?</w:t>
      </w:r>
    </w:p>
    <w:p>
      <w:pPr>
        <w:pStyle w:val="Normal"/>
        <w:spacing w:before="0" w:after="40"/>
        <w:ind w:start="255" w:end="85"/>
        <w:rPr/>
      </w:pPr>
      <w:r>
        <w:rPr>
          <w:b/>
          <w:color w:val="D4A017"/>
          <w:sz w:val="17"/>
        </w:rPr>
        <w:t xml:space="preserve">Réponse : </w:t>
      </w:r>
      <w:r>
        <w:rPr>
          <w:color w:val="1F2937"/>
          <w:sz w:val="17"/>
        </w:rPr>
        <w:t>Consulter la page Assurance qualité ou contacter le service compétent.</w:t>
      </w:r>
    </w:p>
    <w:p>
      <w:pPr>
        <w:pStyle w:val="Normal"/>
        <w:rPr/>
      </w:pPr>
      <w:r>
        <w:rPr/>
      </w:r>
      <w:r>
        <w:br w:type="page"/>
      </w:r>
    </w:p>
    <w:p>
      <w:pPr>
        <w:pStyle w:val="Heading2"/>
        <w:spacing w:before="0" w:after="80"/>
        <w:rPr/>
      </w:pPr>
      <w:r>
        <w:rPr/>
        <w:t>FICHE 38 — DRH-GP — Ressources humaines</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DRH-GP gère les effectifs, le recrutement sûr, les compétences, l’intégration et la performance.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distingue clairement la gestion du personnel des autres fonctions.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qualité éducative dépend d’équipes compétentes, sûres et accompagnées.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protection de l’enfant, formation et performance.</w:t>
            </w:r>
          </w:p>
        </w:tc>
      </w:tr>
    </w:tbl>
    <w:p>
      <w:pPr>
        <w:pStyle w:val="Heading3"/>
        <w:rPr/>
      </w:pPr>
      <w:r>
        <w:rPr/>
        <w:t>Points développés</w:t>
      </w:r>
    </w:p>
    <w:p>
      <w:pPr>
        <w:pStyle w:val="ListBullet"/>
        <w:numPr>
          <w:ilvl w:val="0"/>
          <w:numId w:val="1"/>
        </w:numPr>
        <w:spacing w:before="0" w:after="20"/>
        <w:ind w:hanging="360" w:start="255"/>
        <w:contextualSpacing/>
        <w:rPr/>
      </w:pPr>
      <w:r>
        <w:rPr>
          <w:sz w:val="18"/>
        </w:rPr>
        <w:t>Effectifs</w:t>
      </w:r>
    </w:p>
    <w:p>
      <w:pPr>
        <w:pStyle w:val="ListBullet"/>
        <w:numPr>
          <w:ilvl w:val="0"/>
          <w:numId w:val="1"/>
        </w:numPr>
        <w:spacing w:before="0" w:after="20"/>
        <w:ind w:hanging="360" w:start="255"/>
        <w:contextualSpacing/>
        <w:rPr/>
      </w:pPr>
      <w:r>
        <w:rPr>
          <w:sz w:val="18"/>
        </w:rPr>
        <w:t>Recrutement sûr</w:t>
      </w:r>
    </w:p>
    <w:p>
      <w:pPr>
        <w:pStyle w:val="ListBullet"/>
        <w:numPr>
          <w:ilvl w:val="0"/>
          <w:numId w:val="1"/>
        </w:numPr>
        <w:spacing w:before="0" w:after="20"/>
        <w:ind w:hanging="360" w:start="255"/>
        <w:contextualSpacing/>
        <w:rPr/>
      </w:pPr>
      <w:r>
        <w:rPr>
          <w:sz w:val="18"/>
        </w:rPr>
        <w:t>Compétences</w:t>
      </w:r>
    </w:p>
    <w:p>
      <w:pPr>
        <w:pStyle w:val="ListBullet"/>
        <w:numPr>
          <w:ilvl w:val="0"/>
          <w:numId w:val="1"/>
        </w:numPr>
        <w:spacing w:before="0" w:after="20"/>
        <w:ind w:hanging="360" w:start="255"/>
        <w:contextualSpacing/>
        <w:rPr/>
      </w:pPr>
      <w:r>
        <w:rPr>
          <w:sz w:val="18"/>
        </w:rPr>
        <w:t>Intégration</w:t>
      </w:r>
    </w:p>
    <w:p>
      <w:pPr>
        <w:pStyle w:val="ListBullet"/>
        <w:numPr>
          <w:ilvl w:val="0"/>
          <w:numId w:val="1"/>
        </w:numPr>
        <w:spacing w:before="0" w:after="20"/>
        <w:ind w:hanging="360" w:start="255"/>
        <w:contextualSpacing/>
        <w:rPr/>
      </w:pPr>
      <w:r>
        <w:rPr>
          <w:sz w:val="18"/>
        </w:rPr>
        <w:t>Performance</w:t>
      </w:r>
    </w:p>
    <w:p>
      <w:pPr>
        <w:pStyle w:val="Heading3"/>
        <w:rPr/>
      </w:pPr>
      <w:r>
        <w:rPr/>
        <w:t>Banque de questions-réponses</w:t>
      </w:r>
    </w:p>
    <w:p>
      <w:pPr>
        <w:pStyle w:val="Normal"/>
        <w:keepNext w:val="true"/>
        <w:spacing w:before="40" w:after="0"/>
        <w:ind w:start="85" w:end="85"/>
        <w:rPr/>
      </w:pPr>
      <w:r>
        <w:rPr>
          <w:b/>
          <w:color w:val="0B3D91"/>
          <w:sz w:val="17"/>
        </w:rPr>
        <w:t>Q1. Que présente la section « DRH-GP — Ressources humaines » ?</w:t>
      </w:r>
    </w:p>
    <w:p>
      <w:pPr>
        <w:pStyle w:val="Normal"/>
        <w:spacing w:before="0" w:after="40"/>
        <w:ind w:start="255" w:end="85"/>
        <w:rPr/>
      </w:pPr>
      <w:r>
        <w:rPr>
          <w:b/>
          <w:color w:val="D4A017"/>
          <w:sz w:val="17"/>
        </w:rPr>
        <w:t xml:space="preserve">Réponse : </w:t>
      </w:r>
      <w:r>
        <w:rPr>
          <w:color w:val="1F2937"/>
          <w:sz w:val="17"/>
        </w:rPr>
        <w:t>Le DRH-GP gère les effectifs, le recrutement sûr, les compétences, l’intégration et la performance.</w:t>
      </w:r>
    </w:p>
    <w:p>
      <w:pPr>
        <w:pStyle w:val="Normal"/>
        <w:keepNext w:val="true"/>
        <w:spacing w:before="40" w:after="0"/>
        <w:ind w:start="85" w:end="85"/>
        <w:rPr/>
      </w:pPr>
      <w:r>
        <w:rPr>
          <w:b/>
          <w:color w:val="0B3D91"/>
          <w:sz w:val="17"/>
        </w:rPr>
        <w:t>Q2. Quel est l’objectif principal exposé dans « DRH-GP — Ressources humaines » ?</w:t>
      </w:r>
    </w:p>
    <w:p>
      <w:pPr>
        <w:pStyle w:val="Normal"/>
        <w:spacing w:before="0" w:after="40"/>
        <w:ind w:start="255" w:end="85"/>
        <w:rPr/>
      </w:pPr>
      <w:r>
        <w:rPr>
          <w:b/>
          <w:color w:val="D4A017"/>
          <w:sz w:val="17"/>
        </w:rPr>
        <w:t xml:space="preserve">Réponse : </w:t>
      </w:r>
      <w:r>
        <w:rPr>
          <w:color w:val="1F2937"/>
          <w:sz w:val="17"/>
        </w:rPr>
        <w:t>Identifier la fonction chargée des personnes et des compétences.</w:t>
      </w:r>
    </w:p>
    <w:p>
      <w:pPr>
        <w:pStyle w:val="Normal"/>
        <w:keepNext w:val="true"/>
        <w:spacing w:before="40" w:after="0"/>
        <w:ind w:start="85" w:end="85"/>
        <w:rPr/>
      </w:pPr>
      <w:r>
        <w:rPr>
          <w:b/>
          <w:color w:val="0B3D91"/>
          <w:sz w:val="17"/>
        </w:rPr>
        <w:t>Q3. Quels éléments ou domaines sont couverts par « DRH-GP — Ressources humaines » ?</w:t>
      </w:r>
    </w:p>
    <w:p>
      <w:pPr>
        <w:pStyle w:val="Normal"/>
        <w:spacing w:before="0" w:after="40"/>
        <w:ind w:start="255" w:end="85"/>
        <w:rPr/>
      </w:pPr>
      <w:r>
        <w:rPr>
          <w:b/>
          <w:color w:val="D4A017"/>
          <w:sz w:val="17"/>
        </w:rPr>
        <w:t xml:space="preserve">Réponse : </w:t>
      </w:r>
      <w:r>
        <w:rPr>
          <w:color w:val="1F2937"/>
          <w:sz w:val="17"/>
        </w:rPr>
        <w:t>Planification des effectifs, recrutement, intégration, formation et suivi équitable.</w:t>
      </w:r>
    </w:p>
    <w:p>
      <w:pPr>
        <w:pStyle w:val="Normal"/>
        <w:keepNext w:val="true"/>
        <w:spacing w:before="40" w:after="0"/>
        <w:ind w:start="85" w:end="85"/>
        <w:rPr/>
      </w:pPr>
      <w:r>
        <w:rPr>
          <w:b/>
          <w:color w:val="0B3D91"/>
          <w:sz w:val="17"/>
        </w:rPr>
        <w:t>Q4. Qui porte, coordonne ou garantit les éléments présentés dans « DRH-GP — Ressources humaines » ?</w:t>
      </w:r>
    </w:p>
    <w:p>
      <w:pPr>
        <w:pStyle w:val="Normal"/>
        <w:spacing w:before="0" w:after="40"/>
        <w:ind w:start="255" w:end="85"/>
        <w:rPr/>
      </w:pPr>
      <w:r>
        <w:rPr>
          <w:b/>
          <w:color w:val="D4A017"/>
          <w:sz w:val="17"/>
        </w:rPr>
        <w:t xml:space="preserve">Réponse : </w:t>
      </w:r>
      <w:r>
        <w:rPr>
          <w:color w:val="1F2937"/>
          <w:sz w:val="17"/>
        </w:rPr>
        <w:t>Le Département des Ressources Humaines et de la Gestion du Personnel.</w:t>
      </w:r>
    </w:p>
    <w:p>
      <w:pPr>
        <w:pStyle w:val="Normal"/>
        <w:keepNext w:val="true"/>
        <w:spacing w:before="40" w:after="0"/>
        <w:ind w:start="85" w:end="85"/>
        <w:rPr/>
      </w:pPr>
      <w:r>
        <w:rPr>
          <w:b/>
          <w:color w:val="0B3D91"/>
          <w:sz w:val="17"/>
        </w:rPr>
        <w:t>Q5. Comment la section « DRH-GP — Ressources humaines » prévoit-elle la mise en œuvre ou le suivi ?</w:t>
      </w:r>
    </w:p>
    <w:p>
      <w:pPr>
        <w:pStyle w:val="Normal"/>
        <w:spacing w:before="0" w:after="40"/>
        <w:ind w:start="255" w:end="85"/>
        <w:rPr/>
      </w:pPr>
      <w:r>
        <w:rPr>
          <w:b/>
          <w:color w:val="D4A017"/>
          <w:sz w:val="17"/>
        </w:rPr>
        <w:t xml:space="preserve">Réponse : </w:t>
      </w:r>
      <w:r>
        <w:rPr>
          <w:color w:val="1F2937"/>
          <w:sz w:val="17"/>
        </w:rPr>
        <w:t>Il organise des fiches de fonction, vérifications préalables, intégrations et formations.</w:t>
      </w:r>
    </w:p>
    <w:p>
      <w:pPr>
        <w:pStyle w:val="Normal"/>
        <w:keepNext w:val="true"/>
        <w:spacing w:before="40" w:after="0"/>
        <w:ind w:start="85" w:end="85"/>
        <w:rPr/>
      </w:pPr>
      <w:r>
        <w:rPr>
          <w:b/>
          <w:color w:val="0B3D91"/>
          <w:sz w:val="17"/>
        </w:rPr>
        <w:t>Q6. Quelle preuve, référence, règle ou information de statut accompagne « DRH-GP — Ressources humaines » ?</w:t>
      </w:r>
    </w:p>
    <w:p>
      <w:pPr>
        <w:pStyle w:val="Normal"/>
        <w:spacing w:before="0" w:after="40"/>
        <w:ind w:start="255" w:end="85"/>
        <w:rPr/>
      </w:pPr>
      <w:r>
        <w:rPr>
          <w:b/>
          <w:color w:val="D4A017"/>
          <w:sz w:val="17"/>
        </w:rPr>
        <w:t xml:space="preserve">Réponse : </w:t>
      </w:r>
      <w:r>
        <w:rPr>
          <w:color w:val="1F2937"/>
          <w:sz w:val="17"/>
        </w:rPr>
        <w:t>Les dossiers de personnel et traces de formation constituent des preuves internes protégées.</w:t>
      </w:r>
    </w:p>
    <w:p>
      <w:pPr>
        <w:pStyle w:val="Normal"/>
        <w:keepNext w:val="true"/>
        <w:spacing w:before="40" w:after="0"/>
        <w:ind w:start="85" w:end="85"/>
        <w:rPr/>
      </w:pPr>
      <w:r>
        <w:rPr>
          <w:b/>
          <w:color w:val="0B3D91"/>
          <w:sz w:val="17"/>
        </w:rPr>
        <w:t>Q7. Quelles limites de diffusion, de décision ou d’accès sont précisées pour « DRH-GP — Ressources humaines » ?</w:t>
      </w:r>
    </w:p>
    <w:p>
      <w:pPr>
        <w:pStyle w:val="Normal"/>
        <w:spacing w:before="0" w:after="40"/>
        <w:ind w:start="255" w:end="85"/>
        <w:rPr/>
      </w:pPr>
      <w:r>
        <w:rPr>
          <w:b/>
          <w:color w:val="D4A017"/>
          <w:sz w:val="17"/>
        </w:rPr>
        <w:t xml:space="preserve">Réponse : </w:t>
      </w:r>
      <w:r>
        <w:rPr>
          <w:color w:val="1F2937"/>
          <w:sz w:val="17"/>
        </w:rPr>
        <w:t>Les dossiers individuels et décisions d’évaluation ne sont pas publics.</w:t>
      </w:r>
    </w:p>
    <w:p>
      <w:pPr>
        <w:pStyle w:val="Normal"/>
        <w:keepNext w:val="true"/>
        <w:spacing w:before="40" w:after="0"/>
        <w:ind w:start="85" w:end="85"/>
        <w:rPr/>
      </w:pPr>
      <w:r>
        <w:rPr>
          <w:b/>
          <w:color w:val="0B3D91"/>
          <w:sz w:val="17"/>
        </w:rPr>
        <w:t>Q8. À quels publics ou bénéficiaires la section « DRH-GP — Ressources humaines » est-elle principalement destinée ?</w:t>
      </w:r>
    </w:p>
    <w:p>
      <w:pPr>
        <w:pStyle w:val="Normal"/>
        <w:spacing w:before="0" w:after="40"/>
        <w:ind w:start="255" w:end="85"/>
        <w:rPr/>
      </w:pPr>
      <w:r>
        <w:rPr>
          <w:b/>
          <w:color w:val="D4A017"/>
          <w:sz w:val="17"/>
        </w:rPr>
        <w:t xml:space="preserve">Réponse : </w:t>
      </w:r>
      <w:r>
        <w:rPr>
          <w:color w:val="1F2937"/>
          <w:sz w:val="17"/>
        </w:rPr>
        <w:t>Personnel, candidats, direction et élèves indirectement.</w:t>
      </w:r>
    </w:p>
    <w:p>
      <w:pPr>
        <w:pStyle w:val="Normal"/>
        <w:keepNext w:val="true"/>
        <w:spacing w:before="40" w:after="0"/>
        <w:ind w:start="85" w:end="85"/>
        <w:rPr/>
      </w:pPr>
      <w:r>
        <w:rPr>
          <w:b/>
          <w:color w:val="0B3D91"/>
          <w:sz w:val="17"/>
        </w:rPr>
        <w:t>Q9. À quelles autres rubriques ou fonctions du site « DRH-GP — Ressources humaines » est-il relié ?</w:t>
      </w:r>
    </w:p>
    <w:p>
      <w:pPr>
        <w:pStyle w:val="Normal"/>
        <w:spacing w:before="0" w:after="40"/>
        <w:ind w:start="255" w:end="85"/>
        <w:rPr/>
      </w:pPr>
      <w:r>
        <w:rPr>
          <w:b/>
          <w:color w:val="D4A017"/>
          <w:sz w:val="17"/>
        </w:rPr>
        <w:t xml:space="preserve">Réponse : </w:t>
      </w:r>
      <w:r>
        <w:rPr>
          <w:color w:val="1F2937"/>
          <w:sz w:val="17"/>
        </w:rPr>
        <w:t>Lien avec DAQAC, DBSPE, DAACIP et DSI.</w:t>
      </w:r>
    </w:p>
    <w:p>
      <w:pPr>
        <w:pStyle w:val="Normal"/>
        <w:keepNext w:val="true"/>
        <w:spacing w:before="40" w:after="0"/>
        <w:ind w:start="85" w:end="85"/>
        <w:rPr/>
      </w:pPr>
      <w:r>
        <w:rPr>
          <w:b/>
          <w:color w:val="0B3D91"/>
          <w:sz w:val="17"/>
        </w:rPr>
        <w:t>Q10. Quelle action, orientation ou résultat concret le lecteur peut-il retenir de « DRH-GP — Ressources humaines » ?</w:t>
      </w:r>
    </w:p>
    <w:p>
      <w:pPr>
        <w:pStyle w:val="Normal"/>
        <w:spacing w:before="0" w:after="40"/>
        <w:ind w:start="255" w:end="85"/>
        <w:rPr/>
      </w:pPr>
      <w:r>
        <w:rPr>
          <w:b/>
          <w:color w:val="D4A017"/>
          <w:sz w:val="17"/>
        </w:rPr>
        <w:t xml:space="preserve">Réponse : </w:t>
      </w:r>
      <w:r>
        <w:rPr>
          <w:color w:val="1F2937"/>
          <w:sz w:val="17"/>
        </w:rPr>
        <w:t>Contacter l’école pour une question RH; ÉMINA peut seulement expliquer et orienter.</w:t>
      </w:r>
    </w:p>
    <w:p>
      <w:pPr>
        <w:pStyle w:val="Normal"/>
        <w:rPr/>
      </w:pPr>
      <w:r>
        <w:rPr/>
      </w:r>
      <w:r>
        <w:br w:type="page"/>
      </w:r>
    </w:p>
    <w:p>
      <w:pPr>
        <w:pStyle w:val="Heading2"/>
        <w:spacing w:before="0" w:after="80"/>
        <w:rPr/>
      </w:pPr>
      <w:r>
        <w:rPr/>
        <w:t>FICHE 39 — DBSPE — Bien-être et protection</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DBSPE coordonne l’environnement protecteur, le signalement, le soutien et la sécurité de l’enfant.</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identifie la fonction institutionnelle dédiée à la protection de l’enfant.</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fonction est indispensable à un environnement scolaire sûr et bienveillant.</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protection numérique, urgences et accompagnement humain.</w:t>
            </w:r>
          </w:p>
        </w:tc>
      </w:tr>
    </w:tbl>
    <w:p>
      <w:pPr>
        <w:pStyle w:val="Heading3"/>
        <w:rPr/>
      </w:pPr>
      <w:r>
        <w:rPr/>
        <w:t>Points développés</w:t>
      </w:r>
    </w:p>
    <w:p>
      <w:pPr>
        <w:pStyle w:val="ListBullet"/>
        <w:numPr>
          <w:ilvl w:val="0"/>
          <w:numId w:val="1"/>
        </w:numPr>
        <w:spacing w:before="0" w:after="20"/>
        <w:ind w:hanging="360" w:start="255"/>
        <w:contextualSpacing/>
        <w:rPr/>
      </w:pPr>
      <w:r>
        <w:rPr>
          <w:sz w:val="18"/>
        </w:rPr>
        <w:t>Environnement protecteur</w:t>
      </w:r>
    </w:p>
    <w:p>
      <w:pPr>
        <w:pStyle w:val="ListBullet"/>
        <w:numPr>
          <w:ilvl w:val="0"/>
          <w:numId w:val="1"/>
        </w:numPr>
        <w:spacing w:before="0" w:after="20"/>
        <w:ind w:hanging="360" w:start="255"/>
        <w:contextualSpacing/>
        <w:rPr/>
      </w:pPr>
      <w:r>
        <w:rPr>
          <w:sz w:val="18"/>
        </w:rPr>
        <w:t>Signalement</w:t>
      </w:r>
    </w:p>
    <w:p>
      <w:pPr>
        <w:pStyle w:val="ListBullet"/>
        <w:numPr>
          <w:ilvl w:val="0"/>
          <w:numId w:val="1"/>
        </w:numPr>
        <w:spacing w:before="0" w:after="20"/>
        <w:ind w:hanging="360" w:start="255"/>
        <w:contextualSpacing/>
        <w:rPr/>
      </w:pPr>
      <w:r>
        <w:rPr>
          <w:sz w:val="18"/>
        </w:rPr>
        <w:t>Soutien</w:t>
      </w:r>
    </w:p>
    <w:p>
      <w:pPr>
        <w:pStyle w:val="ListBullet"/>
        <w:numPr>
          <w:ilvl w:val="0"/>
          <w:numId w:val="1"/>
        </w:numPr>
        <w:spacing w:before="0" w:after="20"/>
        <w:ind w:hanging="360" w:start="255"/>
        <w:contextualSpacing/>
        <w:rPr/>
      </w:pPr>
      <w:r>
        <w:rPr>
          <w:sz w:val="18"/>
        </w:rPr>
        <w:t>Sécurité de l’enfant</w:t>
      </w:r>
    </w:p>
    <w:p>
      <w:pPr>
        <w:pStyle w:val="Heading3"/>
        <w:rPr/>
      </w:pPr>
      <w:r>
        <w:rPr/>
        <w:t>Banque de questions-réponses</w:t>
      </w:r>
    </w:p>
    <w:p>
      <w:pPr>
        <w:pStyle w:val="Normal"/>
        <w:keepNext w:val="true"/>
        <w:spacing w:before="40" w:after="0"/>
        <w:ind w:start="85" w:end="85"/>
        <w:rPr/>
      </w:pPr>
      <w:r>
        <w:rPr>
          <w:b/>
          <w:color w:val="0B3D91"/>
          <w:sz w:val="17"/>
        </w:rPr>
        <w:t>Q1. Que présente la section « DBSPE — Bien-être et protection » ?</w:t>
      </w:r>
    </w:p>
    <w:p>
      <w:pPr>
        <w:pStyle w:val="Normal"/>
        <w:spacing w:before="0" w:after="40"/>
        <w:ind w:start="255" w:end="85"/>
        <w:rPr/>
      </w:pPr>
      <w:r>
        <w:rPr>
          <w:b/>
          <w:color w:val="D4A017"/>
          <w:sz w:val="17"/>
        </w:rPr>
        <w:t xml:space="preserve">Réponse : </w:t>
      </w:r>
      <w:r>
        <w:rPr>
          <w:color w:val="1F2937"/>
          <w:sz w:val="17"/>
        </w:rPr>
        <w:t>Le DBSPE coordonne l’environnement protecteur, le signalement, le soutien et la sécurité de l’enfant.</w:t>
      </w:r>
    </w:p>
    <w:p>
      <w:pPr>
        <w:pStyle w:val="Normal"/>
        <w:keepNext w:val="true"/>
        <w:spacing w:before="40" w:after="0"/>
        <w:ind w:start="85" w:end="85"/>
        <w:rPr/>
      </w:pPr>
      <w:r>
        <w:rPr>
          <w:b/>
          <w:color w:val="0B3D91"/>
          <w:sz w:val="17"/>
        </w:rPr>
        <w:t>Q2. Quel est l’objectif principal exposé dans « DBSPE — Bien-être et protection » ?</w:t>
      </w:r>
    </w:p>
    <w:p>
      <w:pPr>
        <w:pStyle w:val="Normal"/>
        <w:spacing w:before="0" w:after="40"/>
        <w:ind w:start="255" w:end="85"/>
        <w:rPr/>
      </w:pPr>
      <w:r>
        <w:rPr>
          <w:b/>
          <w:color w:val="D4A017"/>
          <w:sz w:val="17"/>
        </w:rPr>
        <w:t xml:space="preserve">Réponse : </w:t>
      </w:r>
      <w:r>
        <w:rPr>
          <w:color w:val="1F2937"/>
          <w:sz w:val="17"/>
        </w:rPr>
        <w:t>Identifier le service spécialisé dans la protection et le bien-être.</w:t>
      </w:r>
    </w:p>
    <w:p>
      <w:pPr>
        <w:pStyle w:val="Normal"/>
        <w:keepNext w:val="true"/>
        <w:spacing w:before="40" w:after="0"/>
        <w:ind w:start="85" w:end="85"/>
        <w:rPr/>
      </w:pPr>
      <w:r>
        <w:rPr>
          <w:b/>
          <w:color w:val="0B3D91"/>
          <w:sz w:val="17"/>
        </w:rPr>
        <w:t>Q3. Quels éléments ou domaines sont couverts par « DBSPE — Bien-être et protection » ?</w:t>
      </w:r>
    </w:p>
    <w:p>
      <w:pPr>
        <w:pStyle w:val="Normal"/>
        <w:spacing w:before="0" w:after="40"/>
        <w:ind w:start="255" w:end="85"/>
        <w:rPr/>
      </w:pPr>
      <w:r>
        <w:rPr>
          <w:b/>
          <w:color w:val="D4A017"/>
          <w:sz w:val="17"/>
        </w:rPr>
        <w:t xml:space="preserve">Réponse : </w:t>
      </w:r>
      <w:r>
        <w:rPr>
          <w:color w:val="1F2937"/>
          <w:sz w:val="17"/>
        </w:rPr>
        <w:t>Prévention, écoute, signalement, soutien, sécurité et orientation.</w:t>
      </w:r>
    </w:p>
    <w:p>
      <w:pPr>
        <w:pStyle w:val="Normal"/>
        <w:keepNext w:val="true"/>
        <w:spacing w:before="40" w:after="0"/>
        <w:ind w:start="85" w:end="85"/>
        <w:rPr/>
      </w:pPr>
      <w:r>
        <w:rPr>
          <w:b/>
          <w:color w:val="0B3D91"/>
          <w:sz w:val="17"/>
        </w:rPr>
        <w:t>Q4. Qui porte, coordonne ou garantit les éléments présentés dans « DBSPE — Bien-être et protection » ?</w:t>
      </w:r>
    </w:p>
    <w:p>
      <w:pPr>
        <w:pStyle w:val="Normal"/>
        <w:spacing w:before="0" w:after="40"/>
        <w:ind w:start="255" w:end="85"/>
        <w:rPr/>
      </w:pPr>
      <w:r>
        <w:rPr>
          <w:b/>
          <w:color w:val="D4A017"/>
          <w:sz w:val="17"/>
        </w:rPr>
        <w:t xml:space="preserve">Réponse : </w:t>
      </w:r>
      <w:r>
        <w:rPr>
          <w:color w:val="1F2937"/>
          <w:sz w:val="17"/>
        </w:rPr>
        <w:t>Le Département du Bien-être, de la Sécurité et de la Protection de l’Enfant.</w:t>
      </w:r>
    </w:p>
    <w:p>
      <w:pPr>
        <w:pStyle w:val="Normal"/>
        <w:keepNext w:val="true"/>
        <w:spacing w:before="40" w:after="0"/>
        <w:ind w:start="85" w:end="85"/>
        <w:rPr/>
      </w:pPr>
      <w:r>
        <w:rPr>
          <w:b/>
          <w:color w:val="0B3D91"/>
          <w:sz w:val="17"/>
        </w:rPr>
        <w:t>Q5. Comment la section « DBSPE — Bien-être et protection » prévoit-elle la mise en œuvre ou le suivi ?</w:t>
      </w:r>
    </w:p>
    <w:p>
      <w:pPr>
        <w:pStyle w:val="Normal"/>
        <w:spacing w:before="0" w:after="40"/>
        <w:ind w:start="255" w:end="85"/>
        <w:rPr/>
      </w:pPr>
      <w:r>
        <w:rPr>
          <w:b/>
          <w:color w:val="D4A017"/>
          <w:sz w:val="17"/>
        </w:rPr>
        <w:t xml:space="preserve">Réponse : </w:t>
      </w:r>
      <w:r>
        <w:rPr>
          <w:color w:val="1F2937"/>
          <w:sz w:val="17"/>
        </w:rPr>
        <w:t>Il organise des canaux accessibles, une discipline positive et des réponses proportionnées.</w:t>
      </w:r>
    </w:p>
    <w:p>
      <w:pPr>
        <w:pStyle w:val="Normal"/>
        <w:keepNext w:val="true"/>
        <w:spacing w:before="40" w:after="0"/>
        <w:ind w:start="85" w:end="85"/>
        <w:rPr/>
      </w:pPr>
      <w:r>
        <w:rPr>
          <w:b/>
          <w:color w:val="0B3D91"/>
          <w:sz w:val="17"/>
        </w:rPr>
        <w:t>Q6. Quelle preuve, référence, règle ou information de statut accompagne « DBSPE — Bien-être et protection » ?</w:t>
      </w:r>
    </w:p>
    <w:p>
      <w:pPr>
        <w:pStyle w:val="Normal"/>
        <w:spacing w:before="0" w:after="40"/>
        <w:ind w:start="255" w:end="85"/>
        <w:rPr/>
      </w:pPr>
      <w:r>
        <w:rPr>
          <w:b/>
          <w:color w:val="D4A017"/>
          <w:sz w:val="17"/>
        </w:rPr>
        <w:t xml:space="preserve">Réponse : </w:t>
      </w:r>
      <w:r>
        <w:rPr>
          <w:color w:val="1F2937"/>
          <w:sz w:val="17"/>
        </w:rPr>
        <w:t>Les traces de signalement et de prise en charge sont conservées dans des circuits protégés.</w:t>
      </w:r>
    </w:p>
    <w:p>
      <w:pPr>
        <w:pStyle w:val="Normal"/>
        <w:keepNext w:val="true"/>
        <w:spacing w:before="40" w:after="0"/>
        <w:ind w:start="85" w:end="85"/>
        <w:rPr/>
      </w:pPr>
      <w:r>
        <w:rPr>
          <w:b/>
          <w:color w:val="0B3D91"/>
          <w:sz w:val="17"/>
        </w:rPr>
        <w:t>Q7. Quelles limites de diffusion, de décision ou d’accès sont précisées pour « DBSPE — Bien-être et protection » ?</w:t>
      </w:r>
    </w:p>
    <w:p>
      <w:pPr>
        <w:pStyle w:val="Normal"/>
        <w:spacing w:before="0" w:after="40"/>
        <w:ind w:start="255" w:end="85"/>
        <w:rPr/>
      </w:pPr>
      <w:r>
        <w:rPr>
          <w:b/>
          <w:color w:val="D4A017"/>
          <w:sz w:val="17"/>
        </w:rPr>
        <w:t xml:space="preserve">Réponse : </w:t>
      </w:r>
      <w:r>
        <w:rPr>
          <w:color w:val="1F2937"/>
          <w:sz w:val="17"/>
        </w:rPr>
        <w:t>ÉMINA n’enquête pas, ne désigne pas de coupable et ne clôture pas seule un incident.</w:t>
      </w:r>
    </w:p>
    <w:p>
      <w:pPr>
        <w:pStyle w:val="Normal"/>
        <w:keepNext w:val="true"/>
        <w:spacing w:before="40" w:after="0"/>
        <w:ind w:start="85" w:end="85"/>
        <w:rPr/>
      </w:pPr>
      <w:r>
        <w:rPr>
          <w:b/>
          <w:color w:val="0B3D91"/>
          <w:sz w:val="17"/>
        </w:rPr>
        <w:t>Q8. À quels publics ou bénéficiaires la section « DBSPE — Bien-être et protection » est-elle principalement destinée ?</w:t>
      </w:r>
    </w:p>
    <w:p>
      <w:pPr>
        <w:pStyle w:val="Normal"/>
        <w:spacing w:before="0" w:after="40"/>
        <w:ind w:start="255" w:end="85"/>
        <w:rPr/>
      </w:pPr>
      <w:r>
        <w:rPr>
          <w:b/>
          <w:color w:val="D4A017"/>
          <w:sz w:val="17"/>
        </w:rPr>
        <w:t xml:space="preserve">Réponse : </w:t>
      </w:r>
      <w:r>
        <w:rPr>
          <w:color w:val="1F2937"/>
          <w:sz w:val="17"/>
        </w:rPr>
        <w:t>Enfants, familles et adultes responsables de leur protection.</w:t>
      </w:r>
    </w:p>
    <w:p>
      <w:pPr>
        <w:pStyle w:val="Normal"/>
        <w:keepNext w:val="true"/>
        <w:spacing w:before="40" w:after="0"/>
        <w:ind w:start="85" w:end="85"/>
        <w:rPr/>
      </w:pPr>
      <w:r>
        <w:rPr>
          <w:b/>
          <w:color w:val="0B3D91"/>
          <w:sz w:val="17"/>
        </w:rPr>
        <w:t>Q9. À quelles autres rubriques ou fonctions du site « DBSPE — Bien-être et protection » est-il relié ?</w:t>
      </w:r>
    </w:p>
    <w:p>
      <w:pPr>
        <w:pStyle w:val="Normal"/>
        <w:spacing w:before="0" w:after="40"/>
        <w:ind w:start="255" w:end="85"/>
        <w:rPr/>
      </w:pPr>
      <w:r>
        <w:rPr>
          <w:b/>
          <w:color w:val="D4A017"/>
          <w:sz w:val="17"/>
        </w:rPr>
        <w:t xml:space="preserve">Réponse : </w:t>
      </w:r>
      <w:r>
        <w:rPr>
          <w:color w:val="1F2937"/>
          <w:sz w:val="17"/>
        </w:rPr>
        <w:t>Lien avec Vie scolaire, Santé, DSI, DRH-GP et DAQAC.</w:t>
      </w:r>
    </w:p>
    <w:p>
      <w:pPr>
        <w:pStyle w:val="Normal"/>
        <w:keepNext w:val="true"/>
        <w:spacing w:before="40" w:after="0"/>
        <w:ind w:start="85" w:end="85"/>
        <w:rPr/>
      </w:pPr>
      <w:r>
        <w:rPr>
          <w:b/>
          <w:color w:val="0B3D91"/>
          <w:sz w:val="17"/>
        </w:rPr>
        <w:t>Q10. Quelle action, orientation ou résultat concret le lecteur peut-il retenir de « DBSPE — Bien-être et protection » ?</w:t>
      </w:r>
    </w:p>
    <w:p>
      <w:pPr>
        <w:pStyle w:val="Normal"/>
        <w:spacing w:before="0" w:after="40"/>
        <w:ind w:start="255" w:end="85"/>
        <w:rPr/>
      </w:pPr>
      <w:r>
        <w:rPr>
          <w:b/>
          <w:color w:val="D4A017"/>
          <w:sz w:val="17"/>
        </w:rPr>
        <w:t xml:space="preserve">Réponse : </w:t>
      </w:r>
      <w:r>
        <w:rPr>
          <w:color w:val="1F2937"/>
          <w:sz w:val="17"/>
        </w:rPr>
        <w:t>Utiliser un canal confidentiel et une personne habilitée pour tout signalement.</w:t>
      </w:r>
    </w:p>
    <w:p>
      <w:pPr>
        <w:pStyle w:val="Normal"/>
        <w:rPr/>
      </w:pPr>
      <w:r>
        <w:rPr/>
      </w:r>
      <w:r>
        <w:br w:type="page"/>
      </w:r>
    </w:p>
    <w:p>
      <w:pPr>
        <w:pStyle w:val="Heading2"/>
        <w:spacing w:before="0" w:after="80"/>
        <w:rPr/>
      </w:pPr>
      <w:r>
        <w:rPr/>
        <w:t>FICHE 40 — DAACIP — Affaires académiques</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DAACIP coordonne le curriculum, le bilinguisme, les évaluations et l’innovation pédagogique.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réunit les principales fonctions académiques sous une même responsabilité.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cohérence pédagogique est au cœur de la réussite des élèves.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curriculum national, évaluations et accompagnement des enseignants.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Curriculum</w:t>
      </w:r>
    </w:p>
    <w:p>
      <w:pPr>
        <w:pStyle w:val="ListBullet"/>
        <w:numPr>
          <w:ilvl w:val="0"/>
          <w:numId w:val="1"/>
        </w:numPr>
        <w:spacing w:before="0" w:after="20"/>
        <w:ind w:hanging="360" w:start="255"/>
        <w:contextualSpacing/>
        <w:rPr/>
      </w:pPr>
      <w:r>
        <w:rPr>
          <w:sz w:val="18"/>
        </w:rPr>
        <w:t>Bilinguisme</w:t>
      </w:r>
    </w:p>
    <w:p>
      <w:pPr>
        <w:pStyle w:val="ListBullet"/>
        <w:numPr>
          <w:ilvl w:val="0"/>
          <w:numId w:val="1"/>
        </w:numPr>
        <w:spacing w:before="0" w:after="20"/>
        <w:ind w:hanging="360" w:start="255"/>
        <w:contextualSpacing/>
        <w:rPr/>
      </w:pPr>
      <w:r>
        <w:rPr>
          <w:sz w:val="18"/>
        </w:rPr>
        <w:t>Évaluations</w:t>
      </w:r>
    </w:p>
    <w:p>
      <w:pPr>
        <w:pStyle w:val="ListBullet"/>
        <w:numPr>
          <w:ilvl w:val="0"/>
          <w:numId w:val="1"/>
        </w:numPr>
        <w:spacing w:before="0" w:after="20"/>
        <w:ind w:hanging="360" w:start="255"/>
        <w:contextualSpacing/>
        <w:rPr/>
      </w:pPr>
      <w:r>
        <w:rPr>
          <w:sz w:val="18"/>
        </w:rPr>
        <w:t>Innovation pédagogique</w:t>
      </w:r>
    </w:p>
    <w:p>
      <w:pPr>
        <w:pStyle w:val="Heading3"/>
        <w:rPr/>
      </w:pPr>
      <w:r>
        <w:rPr/>
        <w:t>Banque de questions-réponses</w:t>
      </w:r>
    </w:p>
    <w:p>
      <w:pPr>
        <w:pStyle w:val="Normal"/>
        <w:keepNext w:val="true"/>
        <w:spacing w:before="40" w:after="0"/>
        <w:ind w:start="85" w:end="85"/>
        <w:rPr/>
      </w:pPr>
      <w:r>
        <w:rPr>
          <w:b/>
          <w:color w:val="0B3D91"/>
          <w:sz w:val="17"/>
        </w:rPr>
        <w:t>Q1. Que présente la section « DAACIP — Affaires académiques » ?</w:t>
      </w:r>
    </w:p>
    <w:p>
      <w:pPr>
        <w:pStyle w:val="Normal"/>
        <w:spacing w:before="0" w:after="40"/>
        <w:ind w:start="255" w:end="85"/>
        <w:rPr/>
      </w:pPr>
      <w:r>
        <w:rPr>
          <w:b/>
          <w:color w:val="D4A017"/>
          <w:sz w:val="17"/>
        </w:rPr>
        <w:t xml:space="preserve">Réponse : </w:t>
      </w:r>
      <w:r>
        <w:rPr>
          <w:color w:val="1F2937"/>
          <w:sz w:val="17"/>
        </w:rPr>
        <w:t>Le DAACIP coordonne le curriculum, le bilinguisme, les évaluations et l’innovation pédagogique.</w:t>
      </w:r>
    </w:p>
    <w:p>
      <w:pPr>
        <w:pStyle w:val="Normal"/>
        <w:keepNext w:val="true"/>
        <w:spacing w:before="40" w:after="0"/>
        <w:ind w:start="85" w:end="85"/>
        <w:rPr/>
      </w:pPr>
      <w:r>
        <w:rPr>
          <w:b/>
          <w:color w:val="0B3D91"/>
          <w:sz w:val="17"/>
        </w:rPr>
        <w:t>Q2. Quel est l’objectif principal exposé dans « DAACIP — Affaires académiques » ?</w:t>
      </w:r>
    </w:p>
    <w:p>
      <w:pPr>
        <w:pStyle w:val="Normal"/>
        <w:spacing w:before="0" w:after="40"/>
        <w:ind w:start="255" w:end="85"/>
        <w:rPr/>
      </w:pPr>
      <w:r>
        <w:rPr>
          <w:b/>
          <w:color w:val="D4A017"/>
          <w:sz w:val="17"/>
        </w:rPr>
        <w:t xml:space="preserve">Réponse : </w:t>
      </w:r>
      <w:r>
        <w:rPr>
          <w:color w:val="1F2937"/>
          <w:sz w:val="17"/>
        </w:rPr>
        <w:t>Identifier le département responsable de la cohérence pédagogique.</w:t>
      </w:r>
    </w:p>
    <w:p>
      <w:pPr>
        <w:pStyle w:val="Normal"/>
        <w:keepNext w:val="true"/>
        <w:spacing w:before="40" w:after="0"/>
        <w:ind w:start="85" w:end="85"/>
        <w:rPr/>
      </w:pPr>
      <w:r>
        <w:rPr>
          <w:b/>
          <w:color w:val="0B3D91"/>
          <w:sz w:val="17"/>
        </w:rPr>
        <w:t>Q3. Quels éléments ou domaines sont couverts par « DAACIP — Affaires académiques » ?</w:t>
      </w:r>
    </w:p>
    <w:p>
      <w:pPr>
        <w:pStyle w:val="Normal"/>
        <w:spacing w:before="0" w:after="40"/>
        <w:ind w:start="255" w:end="85"/>
        <w:rPr/>
      </w:pPr>
      <w:r>
        <w:rPr>
          <w:b/>
          <w:color w:val="D4A017"/>
          <w:sz w:val="17"/>
        </w:rPr>
        <w:t xml:space="preserve">Réponse : </w:t>
      </w:r>
      <w:r>
        <w:rPr>
          <w:color w:val="1F2937"/>
          <w:sz w:val="17"/>
        </w:rPr>
        <w:t>Curriculum national, progressions, évaluations, apprentissages, bilinguisme et innovation.</w:t>
      </w:r>
    </w:p>
    <w:p>
      <w:pPr>
        <w:pStyle w:val="Normal"/>
        <w:keepNext w:val="true"/>
        <w:spacing w:before="40" w:after="0"/>
        <w:ind w:start="85" w:end="85"/>
        <w:rPr/>
      </w:pPr>
      <w:r>
        <w:rPr>
          <w:b/>
          <w:color w:val="0B3D91"/>
          <w:sz w:val="17"/>
        </w:rPr>
        <w:t>Q4. Qui porte, coordonne ou garantit les éléments présentés dans « DAACIP — Affaires académiques » ?</w:t>
      </w:r>
    </w:p>
    <w:p>
      <w:pPr>
        <w:pStyle w:val="Normal"/>
        <w:spacing w:before="0" w:after="40"/>
        <w:ind w:start="255" w:end="85"/>
        <w:rPr/>
      </w:pPr>
      <w:r>
        <w:rPr>
          <w:b/>
          <w:color w:val="D4A017"/>
          <w:sz w:val="17"/>
        </w:rPr>
        <w:t xml:space="preserve">Réponse : </w:t>
      </w:r>
      <w:r>
        <w:rPr>
          <w:color w:val="1F2937"/>
          <w:sz w:val="17"/>
        </w:rPr>
        <w:t>Le Département des Affaires Académiques, du Curriculum et de l’Innovation Pédagogique.</w:t>
      </w:r>
    </w:p>
    <w:p>
      <w:pPr>
        <w:pStyle w:val="Normal"/>
        <w:keepNext w:val="true"/>
        <w:spacing w:before="40" w:after="0"/>
        <w:ind w:start="85" w:end="85"/>
        <w:rPr/>
      </w:pPr>
      <w:r>
        <w:rPr>
          <w:b/>
          <w:color w:val="0B3D91"/>
          <w:sz w:val="17"/>
        </w:rPr>
        <w:t>Q5. Comment la section « DAACIP — Affaires académiques » prévoit-elle la mise en œuvre ou le suivi ?</w:t>
      </w:r>
    </w:p>
    <w:p>
      <w:pPr>
        <w:pStyle w:val="Normal"/>
        <w:spacing w:before="0" w:after="40"/>
        <w:ind w:start="255" w:end="85"/>
        <w:rPr/>
      </w:pPr>
      <w:r>
        <w:rPr>
          <w:b/>
          <w:color w:val="D4A017"/>
          <w:sz w:val="17"/>
        </w:rPr>
        <w:t xml:space="preserve">Réponse : </w:t>
      </w:r>
      <w:r>
        <w:rPr>
          <w:color w:val="1F2937"/>
          <w:sz w:val="17"/>
        </w:rPr>
        <w:t>Il aligne les progressions et analyse les évaluations avec rigueur.</w:t>
      </w:r>
    </w:p>
    <w:p>
      <w:pPr>
        <w:pStyle w:val="Normal"/>
        <w:keepNext w:val="true"/>
        <w:spacing w:before="40" w:after="0"/>
        <w:ind w:start="85" w:end="85"/>
        <w:rPr/>
      </w:pPr>
      <w:r>
        <w:rPr>
          <w:b/>
          <w:color w:val="0B3D91"/>
          <w:sz w:val="17"/>
        </w:rPr>
        <w:t>Q6. Quelle preuve, référence, règle ou information de statut accompagne « DAACIP — Affaires académiques » ?</w:t>
      </w:r>
    </w:p>
    <w:p>
      <w:pPr>
        <w:pStyle w:val="Normal"/>
        <w:spacing w:before="0" w:after="40"/>
        <w:ind w:start="255" w:end="85"/>
        <w:rPr/>
      </w:pPr>
      <w:r>
        <w:rPr>
          <w:b/>
          <w:color w:val="D4A017"/>
          <w:sz w:val="17"/>
        </w:rPr>
        <w:t xml:space="preserve">Réponse : </w:t>
      </w:r>
      <w:r>
        <w:rPr>
          <w:color w:val="1F2937"/>
          <w:sz w:val="17"/>
        </w:rPr>
        <w:t>Les programmes, progressions et analyses d’évaluation fournissent les preuves.</w:t>
      </w:r>
    </w:p>
    <w:p>
      <w:pPr>
        <w:pStyle w:val="Normal"/>
        <w:keepNext w:val="true"/>
        <w:spacing w:before="40" w:after="0"/>
        <w:ind w:start="85" w:end="85"/>
        <w:rPr/>
      </w:pPr>
      <w:r>
        <w:rPr>
          <w:b/>
          <w:color w:val="0B3D91"/>
          <w:sz w:val="17"/>
        </w:rPr>
        <w:t>Q7. Quelles limites de diffusion, de décision ou d’accès sont précisées pour « DAACIP — Affaires académiques » ?</w:t>
      </w:r>
    </w:p>
    <w:p>
      <w:pPr>
        <w:pStyle w:val="Normal"/>
        <w:spacing w:before="0" w:after="40"/>
        <w:ind w:start="255" w:end="85"/>
        <w:rPr/>
      </w:pPr>
      <w:r>
        <w:rPr>
          <w:b/>
          <w:color w:val="D4A017"/>
          <w:sz w:val="17"/>
        </w:rPr>
        <w:t xml:space="preserve">Réponse : </w:t>
      </w:r>
      <w:r>
        <w:rPr>
          <w:color w:val="1F2937"/>
          <w:sz w:val="17"/>
        </w:rPr>
        <w:t>Les notes, promotions, redoublements et décisions pédagogiques restent humains.</w:t>
      </w:r>
    </w:p>
    <w:p>
      <w:pPr>
        <w:pStyle w:val="Normal"/>
        <w:keepNext w:val="true"/>
        <w:spacing w:before="40" w:after="0"/>
        <w:ind w:start="85" w:end="85"/>
        <w:rPr/>
      </w:pPr>
      <w:r>
        <w:rPr>
          <w:b/>
          <w:color w:val="0B3D91"/>
          <w:sz w:val="17"/>
        </w:rPr>
        <w:t>Q8. À quels publics ou bénéficiaires la section « DAACIP — Affaires académiques » est-elle principalement destinée ?</w:t>
      </w:r>
    </w:p>
    <w:p>
      <w:pPr>
        <w:pStyle w:val="Normal"/>
        <w:spacing w:before="0" w:after="40"/>
        <w:ind w:start="255" w:end="85"/>
        <w:rPr/>
      </w:pPr>
      <w:r>
        <w:rPr>
          <w:b/>
          <w:color w:val="D4A017"/>
          <w:sz w:val="17"/>
        </w:rPr>
        <w:t xml:space="preserve">Réponse : </w:t>
      </w:r>
      <w:r>
        <w:rPr>
          <w:color w:val="1F2937"/>
          <w:sz w:val="17"/>
        </w:rPr>
        <w:t>Élèves, enseignants, familles et direction académique.</w:t>
      </w:r>
    </w:p>
    <w:p>
      <w:pPr>
        <w:pStyle w:val="Normal"/>
        <w:keepNext w:val="true"/>
        <w:spacing w:before="40" w:after="0"/>
        <w:ind w:start="85" w:end="85"/>
        <w:rPr/>
      </w:pPr>
      <w:r>
        <w:rPr>
          <w:b/>
          <w:color w:val="0B3D91"/>
          <w:sz w:val="17"/>
        </w:rPr>
        <w:t>Q9. À quelles autres rubriques ou fonctions du site « DAACIP — Affaires académiques » est-il relié ?</w:t>
      </w:r>
    </w:p>
    <w:p>
      <w:pPr>
        <w:pStyle w:val="Normal"/>
        <w:spacing w:before="0" w:after="40"/>
        <w:ind w:start="255" w:end="85"/>
        <w:rPr/>
      </w:pPr>
      <w:r>
        <w:rPr>
          <w:b/>
          <w:color w:val="D4A017"/>
          <w:sz w:val="17"/>
        </w:rPr>
        <w:t xml:space="preserve">Réponse : </w:t>
      </w:r>
      <w:r>
        <w:rPr>
          <w:color w:val="1F2937"/>
          <w:sz w:val="17"/>
        </w:rPr>
        <w:t>Lien avec Programmes, Bilinguisme, DAQAC et DRH-GP.</w:t>
      </w:r>
    </w:p>
    <w:p>
      <w:pPr>
        <w:pStyle w:val="Normal"/>
        <w:keepNext w:val="true"/>
        <w:spacing w:before="40" w:after="0"/>
        <w:ind w:start="85" w:end="85"/>
        <w:rPr/>
      </w:pPr>
      <w:r>
        <w:rPr>
          <w:b/>
          <w:color w:val="0B3D91"/>
          <w:sz w:val="17"/>
        </w:rPr>
        <w:t>Q10. Quelle action, orientation ou résultat concret le lecteur peut-il retenir de « DAACIP — Affaires académiques » ?</w:t>
      </w:r>
    </w:p>
    <w:p>
      <w:pPr>
        <w:pStyle w:val="Normal"/>
        <w:spacing w:before="0" w:after="40"/>
        <w:ind w:start="255" w:end="85"/>
        <w:rPr/>
      </w:pPr>
      <w:r>
        <w:rPr>
          <w:b/>
          <w:color w:val="D4A017"/>
          <w:sz w:val="17"/>
        </w:rPr>
        <w:t xml:space="preserve">Réponse : </w:t>
      </w:r>
      <w:r>
        <w:rPr>
          <w:color w:val="1F2937"/>
          <w:sz w:val="17"/>
        </w:rPr>
        <w:t>Consulter les programmes ou demander une explication; la décision finale appartient aux responsables humains.</w:t>
      </w:r>
    </w:p>
    <w:p>
      <w:pPr>
        <w:pStyle w:val="Normal"/>
        <w:rPr/>
      </w:pPr>
      <w:r>
        <w:rPr/>
      </w:r>
      <w:r>
        <w:br w:type="page"/>
      </w:r>
    </w:p>
    <w:p>
      <w:pPr>
        <w:pStyle w:val="Heading2"/>
        <w:spacing w:before="0" w:after="80"/>
        <w:rPr/>
      </w:pPr>
      <w:r>
        <w:rPr/>
        <w:t>FICHE 41 — DLMT — Logistique et maintenance</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DLMT gère les actifs, bâtiments, stocks, maintenance et transports occasionnels.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précise le périmètre matériel et logistique.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Des installations sûres et entretenues soutiennent directement l’apprentissage et la protection.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maintenance préventive, stocks et sorties scolaires.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Actifs</w:t>
      </w:r>
    </w:p>
    <w:p>
      <w:pPr>
        <w:pStyle w:val="ListBullet"/>
        <w:numPr>
          <w:ilvl w:val="0"/>
          <w:numId w:val="1"/>
        </w:numPr>
        <w:spacing w:before="0" w:after="20"/>
        <w:ind w:hanging="360" w:start="255"/>
        <w:contextualSpacing/>
        <w:rPr/>
      </w:pPr>
      <w:r>
        <w:rPr>
          <w:sz w:val="18"/>
        </w:rPr>
        <w:t>Bâtiments</w:t>
      </w:r>
    </w:p>
    <w:p>
      <w:pPr>
        <w:pStyle w:val="ListBullet"/>
        <w:numPr>
          <w:ilvl w:val="0"/>
          <w:numId w:val="1"/>
        </w:numPr>
        <w:spacing w:before="0" w:after="20"/>
        <w:ind w:hanging="360" w:start="255"/>
        <w:contextualSpacing/>
        <w:rPr/>
      </w:pPr>
      <w:r>
        <w:rPr>
          <w:sz w:val="18"/>
        </w:rPr>
        <w:t>Stocks</w:t>
      </w:r>
    </w:p>
    <w:p>
      <w:pPr>
        <w:pStyle w:val="ListBullet"/>
        <w:numPr>
          <w:ilvl w:val="0"/>
          <w:numId w:val="1"/>
        </w:numPr>
        <w:spacing w:before="0" w:after="20"/>
        <w:ind w:hanging="360" w:start="255"/>
        <w:contextualSpacing/>
        <w:rPr/>
      </w:pPr>
      <w:r>
        <w:rPr>
          <w:sz w:val="18"/>
        </w:rPr>
        <w:t>Maintenance</w:t>
      </w:r>
    </w:p>
    <w:p>
      <w:pPr>
        <w:pStyle w:val="ListBullet"/>
        <w:numPr>
          <w:ilvl w:val="0"/>
          <w:numId w:val="1"/>
        </w:numPr>
        <w:spacing w:before="0" w:after="20"/>
        <w:ind w:hanging="360" w:start="255"/>
        <w:contextualSpacing/>
        <w:rPr/>
      </w:pPr>
      <w:r>
        <w:rPr>
          <w:sz w:val="18"/>
        </w:rPr>
        <w:t>Transports occasionnels</w:t>
      </w:r>
    </w:p>
    <w:p>
      <w:pPr>
        <w:pStyle w:val="Heading3"/>
        <w:rPr/>
      </w:pPr>
      <w:r>
        <w:rPr/>
        <w:t>Banque de questions-réponses</w:t>
      </w:r>
    </w:p>
    <w:p>
      <w:pPr>
        <w:pStyle w:val="Normal"/>
        <w:keepNext w:val="true"/>
        <w:spacing w:before="40" w:after="0"/>
        <w:ind w:start="85" w:end="85"/>
        <w:rPr/>
      </w:pPr>
      <w:r>
        <w:rPr>
          <w:b/>
          <w:color w:val="0B3D91"/>
          <w:sz w:val="17"/>
        </w:rPr>
        <w:t>Q1. Que présente la section « DLMT — Logistique et maintenance » ?</w:t>
      </w:r>
    </w:p>
    <w:p>
      <w:pPr>
        <w:pStyle w:val="Normal"/>
        <w:spacing w:before="0" w:after="40"/>
        <w:ind w:start="255" w:end="85"/>
        <w:rPr/>
      </w:pPr>
      <w:r>
        <w:rPr>
          <w:b/>
          <w:color w:val="D4A017"/>
          <w:sz w:val="17"/>
        </w:rPr>
        <w:t xml:space="preserve">Réponse : </w:t>
      </w:r>
      <w:r>
        <w:rPr>
          <w:color w:val="1F2937"/>
          <w:sz w:val="17"/>
        </w:rPr>
        <w:t>Le DLMT gère les actifs, bâtiments, stocks, maintenance et transports occasionnels.</w:t>
      </w:r>
    </w:p>
    <w:p>
      <w:pPr>
        <w:pStyle w:val="Normal"/>
        <w:keepNext w:val="true"/>
        <w:spacing w:before="40" w:after="0"/>
        <w:ind w:start="85" w:end="85"/>
        <w:rPr/>
      </w:pPr>
      <w:r>
        <w:rPr>
          <w:b/>
          <w:color w:val="0B3D91"/>
          <w:sz w:val="17"/>
        </w:rPr>
        <w:t>Q2. Quel est l’objectif principal exposé dans « DLMT — Logistique et maintenance » ?</w:t>
      </w:r>
    </w:p>
    <w:p>
      <w:pPr>
        <w:pStyle w:val="Normal"/>
        <w:spacing w:before="0" w:after="40"/>
        <w:ind w:start="255" w:end="85"/>
        <w:rPr/>
      </w:pPr>
      <w:r>
        <w:rPr>
          <w:b/>
          <w:color w:val="D4A017"/>
          <w:sz w:val="17"/>
        </w:rPr>
        <w:t xml:space="preserve">Réponse : </w:t>
      </w:r>
      <w:r>
        <w:rPr>
          <w:color w:val="1F2937"/>
          <w:sz w:val="17"/>
        </w:rPr>
        <w:t>Identifier le service responsable des moyens matériels et de la continuité des installations.</w:t>
      </w:r>
    </w:p>
    <w:p>
      <w:pPr>
        <w:pStyle w:val="Normal"/>
        <w:keepNext w:val="true"/>
        <w:spacing w:before="40" w:after="0"/>
        <w:ind w:start="85" w:end="85"/>
        <w:rPr/>
      </w:pPr>
      <w:r>
        <w:rPr>
          <w:b/>
          <w:color w:val="0B3D91"/>
          <w:sz w:val="17"/>
        </w:rPr>
        <w:t>Q3. Quels éléments ou domaines sont couverts par « DLMT — Logistique et maintenance » ?</w:t>
      </w:r>
    </w:p>
    <w:p>
      <w:pPr>
        <w:pStyle w:val="Normal"/>
        <w:spacing w:before="0" w:after="40"/>
        <w:ind w:start="255" w:end="85"/>
        <w:rPr/>
      </w:pPr>
      <w:r>
        <w:rPr>
          <w:b/>
          <w:color w:val="D4A017"/>
          <w:sz w:val="17"/>
        </w:rPr>
        <w:t xml:space="preserve">Réponse : </w:t>
      </w:r>
      <w:r>
        <w:rPr>
          <w:color w:val="1F2937"/>
          <w:sz w:val="17"/>
        </w:rPr>
        <w:t>Actifs, bâtiments, stocks, maintenance préventive et déplacements occasionnels.</w:t>
      </w:r>
    </w:p>
    <w:p>
      <w:pPr>
        <w:pStyle w:val="Normal"/>
        <w:keepNext w:val="true"/>
        <w:spacing w:before="40" w:after="0"/>
        <w:ind w:start="85" w:end="85"/>
        <w:rPr/>
      </w:pPr>
      <w:r>
        <w:rPr>
          <w:b/>
          <w:color w:val="0B3D91"/>
          <w:sz w:val="17"/>
        </w:rPr>
        <w:t>Q4. Qui porte, coordonne ou garantit les éléments présentés dans « DLMT — Logistique et maintenance » ?</w:t>
      </w:r>
    </w:p>
    <w:p>
      <w:pPr>
        <w:pStyle w:val="Normal"/>
        <w:spacing w:before="0" w:after="40"/>
        <w:ind w:start="255" w:end="85"/>
        <w:rPr/>
      </w:pPr>
      <w:r>
        <w:rPr>
          <w:b/>
          <w:color w:val="D4A017"/>
          <w:sz w:val="17"/>
        </w:rPr>
        <w:t xml:space="preserve">Réponse : </w:t>
      </w:r>
      <w:r>
        <w:rPr>
          <w:color w:val="1F2937"/>
          <w:sz w:val="17"/>
        </w:rPr>
        <w:t>Le Département de la Logistique, de la Maintenance et du Transport.</w:t>
      </w:r>
    </w:p>
    <w:p>
      <w:pPr>
        <w:pStyle w:val="Normal"/>
        <w:keepNext w:val="true"/>
        <w:spacing w:before="40" w:after="0"/>
        <w:ind w:start="85" w:end="85"/>
        <w:rPr/>
      </w:pPr>
      <w:r>
        <w:rPr>
          <w:b/>
          <w:color w:val="0B3D91"/>
          <w:sz w:val="17"/>
        </w:rPr>
        <w:t>Q5. Comment la section « DLMT — Logistique et maintenance » prévoit-elle la mise en œuvre ou le suivi ?</w:t>
      </w:r>
    </w:p>
    <w:p>
      <w:pPr>
        <w:pStyle w:val="Normal"/>
        <w:spacing w:before="0" w:after="40"/>
        <w:ind w:start="255" w:end="85"/>
        <w:rPr/>
      </w:pPr>
      <w:r>
        <w:rPr>
          <w:b/>
          <w:color w:val="D4A017"/>
          <w:sz w:val="17"/>
        </w:rPr>
        <w:t xml:space="preserve">Réponse : </w:t>
      </w:r>
      <w:r>
        <w:rPr>
          <w:color w:val="1F2937"/>
          <w:sz w:val="17"/>
        </w:rPr>
        <w:t>Il tient des registres, planifie les inspections et prépare les sorties documentées.</w:t>
      </w:r>
    </w:p>
    <w:p>
      <w:pPr>
        <w:pStyle w:val="Normal"/>
        <w:keepNext w:val="true"/>
        <w:spacing w:before="40" w:after="0"/>
        <w:ind w:start="85" w:end="85"/>
        <w:rPr/>
      </w:pPr>
      <w:r>
        <w:rPr>
          <w:b/>
          <w:color w:val="0B3D91"/>
          <w:sz w:val="17"/>
        </w:rPr>
        <w:t>Q6. Quelle preuve, référence, règle ou information de statut accompagne « DLMT — Logistique et maintenance » ?</w:t>
      </w:r>
    </w:p>
    <w:p>
      <w:pPr>
        <w:pStyle w:val="Normal"/>
        <w:spacing w:before="0" w:after="40"/>
        <w:ind w:start="255" w:end="85"/>
        <w:rPr/>
      </w:pPr>
      <w:r>
        <w:rPr>
          <w:b/>
          <w:color w:val="D4A017"/>
          <w:sz w:val="17"/>
        </w:rPr>
        <w:t xml:space="preserve">Réponse : </w:t>
      </w:r>
      <w:r>
        <w:rPr>
          <w:color w:val="1F2937"/>
          <w:sz w:val="17"/>
        </w:rPr>
        <w:t>Registres des actifs, inspections, seuils de stock et dossiers de sortie servent de preuves.</w:t>
      </w:r>
    </w:p>
    <w:p>
      <w:pPr>
        <w:pStyle w:val="Normal"/>
        <w:keepNext w:val="true"/>
        <w:spacing w:before="40" w:after="0"/>
        <w:ind w:start="85" w:end="85"/>
        <w:rPr/>
      </w:pPr>
      <w:r>
        <w:rPr>
          <w:b/>
          <w:color w:val="0B3D91"/>
          <w:sz w:val="17"/>
        </w:rPr>
        <w:t>Q7. Quelles limites de diffusion, de décision ou d’accès sont précisées pour « DLMT — Logistique et maintenance » ?</w:t>
      </w:r>
    </w:p>
    <w:p>
      <w:pPr>
        <w:pStyle w:val="Normal"/>
        <w:spacing w:before="0" w:after="40"/>
        <w:ind w:start="255" w:end="85"/>
        <w:rPr/>
      </w:pPr>
      <w:r>
        <w:rPr>
          <w:b/>
          <w:color w:val="D4A017"/>
          <w:sz w:val="17"/>
        </w:rPr>
        <w:t xml:space="preserve">Réponse : </w:t>
      </w:r>
      <w:r>
        <w:rPr>
          <w:color w:val="1F2937"/>
          <w:sz w:val="17"/>
        </w:rPr>
        <w:t>Aucun service régulier de bus n’est annoncé pour 2026-2027.</w:t>
      </w:r>
    </w:p>
    <w:p>
      <w:pPr>
        <w:pStyle w:val="Normal"/>
        <w:keepNext w:val="true"/>
        <w:spacing w:before="40" w:after="0"/>
        <w:ind w:start="85" w:end="85"/>
        <w:rPr/>
      </w:pPr>
      <w:r>
        <w:rPr>
          <w:b/>
          <w:color w:val="0B3D91"/>
          <w:sz w:val="17"/>
        </w:rPr>
        <w:t>Q8. À quels publics ou bénéficiaires la section « DLMT — Logistique et maintenance » est-elle principalement destinée ?</w:t>
      </w:r>
    </w:p>
    <w:p>
      <w:pPr>
        <w:pStyle w:val="Normal"/>
        <w:spacing w:before="0" w:after="40"/>
        <w:ind w:start="255" w:end="85"/>
        <w:rPr/>
      </w:pPr>
      <w:r>
        <w:rPr>
          <w:b/>
          <w:color w:val="D4A017"/>
          <w:sz w:val="17"/>
        </w:rPr>
        <w:t xml:space="preserve">Réponse : </w:t>
      </w:r>
      <w:r>
        <w:rPr>
          <w:color w:val="1F2937"/>
          <w:sz w:val="17"/>
        </w:rPr>
        <w:t>Élèves, personnel et services utilisant les installations et équipements.</w:t>
      </w:r>
    </w:p>
    <w:p>
      <w:pPr>
        <w:pStyle w:val="Normal"/>
        <w:keepNext w:val="true"/>
        <w:spacing w:before="40" w:after="0"/>
        <w:ind w:start="85" w:end="85"/>
        <w:rPr/>
      </w:pPr>
      <w:r>
        <w:rPr>
          <w:b/>
          <w:color w:val="0B3D91"/>
          <w:sz w:val="17"/>
        </w:rPr>
        <w:t>Q9. À quelles autres rubriques ou fonctions du site « DLMT — Logistique et maintenance » est-il relié ?</w:t>
      </w:r>
    </w:p>
    <w:p>
      <w:pPr>
        <w:pStyle w:val="Normal"/>
        <w:spacing w:before="0" w:after="40"/>
        <w:ind w:start="255" w:end="85"/>
        <w:rPr/>
      </w:pPr>
      <w:r>
        <w:rPr>
          <w:b/>
          <w:color w:val="D4A017"/>
          <w:sz w:val="17"/>
        </w:rPr>
        <w:t xml:space="preserve">Réponse : </w:t>
      </w:r>
      <w:r>
        <w:rPr>
          <w:color w:val="1F2937"/>
          <w:sz w:val="17"/>
        </w:rPr>
        <w:t>Lien avec Infrastructures, Santé et sécurité, DAQAC et DSI.</w:t>
      </w:r>
    </w:p>
    <w:p>
      <w:pPr>
        <w:pStyle w:val="Normal"/>
        <w:keepNext w:val="true"/>
        <w:spacing w:before="40" w:after="0"/>
        <w:ind w:start="85" w:end="85"/>
        <w:rPr/>
      </w:pPr>
      <w:r>
        <w:rPr>
          <w:b/>
          <w:color w:val="0B3D91"/>
          <w:sz w:val="17"/>
        </w:rPr>
        <w:t>Q10. Quelle action, orientation ou résultat concret le lecteur peut-il retenir de « DLMT — Logistique et maintenance » ?</w:t>
      </w:r>
    </w:p>
    <w:p>
      <w:pPr>
        <w:pStyle w:val="Normal"/>
        <w:spacing w:before="0" w:after="40"/>
        <w:ind w:start="255" w:end="85"/>
        <w:rPr/>
      </w:pPr>
      <w:r>
        <w:rPr>
          <w:b/>
          <w:color w:val="D4A017"/>
          <w:sz w:val="17"/>
        </w:rPr>
        <w:t xml:space="preserve">Réponse : </w:t>
      </w:r>
      <w:r>
        <w:rPr>
          <w:color w:val="1F2937"/>
          <w:sz w:val="17"/>
        </w:rPr>
        <w:t>Signaler un besoin matériel ou consulter les communications officielles sur toute solution de transport.</w:t>
      </w:r>
    </w:p>
    <w:p>
      <w:pPr>
        <w:pStyle w:val="Normal"/>
        <w:rPr/>
      </w:pPr>
      <w:r>
        <w:rPr/>
      </w:r>
      <w:r>
        <w:br w:type="page"/>
      </w:r>
    </w:p>
    <w:p>
      <w:pPr>
        <w:pStyle w:val="Heading2"/>
        <w:spacing w:before="0" w:after="80"/>
        <w:rPr/>
      </w:pPr>
      <w:r>
        <w:rPr/>
        <w:t>FICHE 42 — DSI — Systèmes d’information</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DSI gouverne les données, la cybersécurité, les logiciels, les intégrations, les sauvegardes et la continuité.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sigle identifie la responsabilité institutionnelle du système numérique.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sécurité et la continuité numériques sont essentielles au fonctionnement de l’écosystème GSE.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protection des données, intégrations et transformation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Données</w:t>
      </w:r>
    </w:p>
    <w:p>
      <w:pPr>
        <w:pStyle w:val="ListBullet"/>
        <w:numPr>
          <w:ilvl w:val="0"/>
          <w:numId w:val="1"/>
        </w:numPr>
        <w:spacing w:before="0" w:after="20"/>
        <w:ind w:hanging="360" w:start="255"/>
        <w:contextualSpacing/>
        <w:rPr/>
      </w:pPr>
      <w:r>
        <w:rPr>
          <w:sz w:val="18"/>
        </w:rPr>
        <w:t>Cybersécurité</w:t>
      </w:r>
    </w:p>
    <w:p>
      <w:pPr>
        <w:pStyle w:val="ListBullet"/>
        <w:numPr>
          <w:ilvl w:val="0"/>
          <w:numId w:val="1"/>
        </w:numPr>
        <w:spacing w:before="0" w:after="20"/>
        <w:ind w:hanging="360" w:start="255"/>
        <w:contextualSpacing/>
        <w:rPr/>
      </w:pPr>
      <w:r>
        <w:rPr>
          <w:sz w:val="18"/>
        </w:rPr>
        <w:t>Logiciels</w:t>
      </w:r>
    </w:p>
    <w:p>
      <w:pPr>
        <w:pStyle w:val="ListBullet"/>
        <w:numPr>
          <w:ilvl w:val="0"/>
          <w:numId w:val="1"/>
        </w:numPr>
        <w:spacing w:before="0" w:after="20"/>
        <w:ind w:hanging="360" w:start="255"/>
        <w:contextualSpacing/>
        <w:rPr/>
      </w:pPr>
      <w:r>
        <w:rPr>
          <w:sz w:val="18"/>
        </w:rPr>
        <w:t>Continuité</w:t>
      </w:r>
    </w:p>
    <w:p>
      <w:pPr>
        <w:pStyle w:val="ListBullet"/>
        <w:numPr>
          <w:ilvl w:val="0"/>
          <w:numId w:val="1"/>
        </w:numPr>
        <w:spacing w:before="0" w:after="20"/>
        <w:ind w:hanging="360" w:start="255"/>
        <w:contextualSpacing/>
        <w:rPr/>
      </w:pPr>
      <w:r>
        <w:rPr>
          <w:sz w:val="18"/>
        </w:rPr>
        <w:t>Transformation numérique</w:t>
      </w:r>
    </w:p>
    <w:p>
      <w:pPr>
        <w:pStyle w:val="Heading3"/>
        <w:rPr/>
      </w:pPr>
      <w:r>
        <w:rPr/>
        <w:t>Banque de questions-réponses</w:t>
      </w:r>
    </w:p>
    <w:p>
      <w:pPr>
        <w:pStyle w:val="Normal"/>
        <w:keepNext w:val="true"/>
        <w:spacing w:before="40" w:after="0"/>
        <w:ind w:start="85" w:end="85"/>
        <w:rPr/>
      </w:pPr>
      <w:r>
        <w:rPr>
          <w:b/>
          <w:color w:val="0B3D91"/>
          <w:sz w:val="17"/>
        </w:rPr>
        <w:t>Q1. Que présente la section « DSI — Systèmes d’information » ?</w:t>
      </w:r>
    </w:p>
    <w:p>
      <w:pPr>
        <w:pStyle w:val="Normal"/>
        <w:spacing w:before="0" w:after="40"/>
        <w:ind w:start="255" w:end="85"/>
        <w:rPr/>
      </w:pPr>
      <w:r>
        <w:rPr>
          <w:b/>
          <w:color w:val="D4A017"/>
          <w:sz w:val="17"/>
        </w:rPr>
        <w:t xml:space="preserve">Réponse : </w:t>
      </w:r>
      <w:r>
        <w:rPr>
          <w:color w:val="1F2937"/>
          <w:sz w:val="17"/>
        </w:rPr>
        <w:t>Le DSI gouverne les données, la cybersécurité, les logiciels, les intégrations, les sauvegardes et la continuité.</w:t>
      </w:r>
    </w:p>
    <w:p>
      <w:pPr>
        <w:pStyle w:val="Normal"/>
        <w:keepNext w:val="true"/>
        <w:spacing w:before="40" w:after="0"/>
        <w:ind w:start="85" w:end="85"/>
        <w:rPr/>
      </w:pPr>
      <w:r>
        <w:rPr>
          <w:b/>
          <w:color w:val="0B3D91"/>
          <w:sz w:val="17"/>
        </w:rPr>
        <w:t>Q2. Quel est l’objectif principal exposé dans « DSI — Systèmes d’information » ?</w:t>
      </w:r>
    </w:p>
    <w:p>
      <w:pPr>
        <w:pStyle w:val="Normal"/>
        <w:spacing w:before="0" w:after="40"/>
        <w:ind w:start="255" w:end="85"/>
        <w:rPr/>
      </w:pPr>
      <w:r>
        <w:rPr>
          <w:b/>
          <w:color w:val="D4A017"/>
          <w:sz w:val="17"/>
        </w:rPr>
        <w:t xml:space="preserve">Réponse : </w:t>
      </w:r>
      <w:r>
        <w:rPr>
          <w:color w:val="1F2937"/>
          <w:sz w:val="17"/>
        </w:rPr>
        <w:t>Identifier le service responsable du numérique maîtrisé et sécurisé.</w:t>
      </w:r>
    </w:p>
    <w:p>
      <w:pPr>
        <w:pStyle w:val="Normal"/>
        <w:keepNext w:val="true"/>
        <w:spacing w:before="40" w:after="0"/>
        <w:ind w:start="85" w:end="85"/>
        <w:rPr/>
      </w:pPr>
      <w:r>
        <w:rPr>
          <w:b/>
          <w:color w:val="0B3D91"/>
          <w:sz w:val="17"/>
        </w:rPr>
        <w:t>Q3. Quels éléments ou domaines sont couverts par « DSI — Systèmes d’information » ?</w:t>
      </w:r>
    </w:p>
    <w:p>
      <w:pPr>
        <w:pStyle w:val="Normal"/>
        <w:spacing w:before="0" w:after="40"/>
        <w:ind w:start="255" w:end="85"/>
        <w:rPr/>
      </w:pPr>
      <w:r>
        <w:rPr>
          <w:b/>
          <w:color w:val="D4A017"/>
          <w:sz w:val="17"/>
        </w:rPr>
        <w:t xml:space="preserve">Réponse : </w:t>
      </w:r>
      <w:r>
        <w:rPr>
          <w:color w:val="1F2937"/>
          <w:sz w:val="17"/>
        </w:rPr>
        <w:t>Architecture, données, accès, cybersécurité, intégrations, sauvegardes et continuité.</w:t>
      </w:r>
    </w:p>
    <w:p>
      <w:pPr>
        <w:pStyle w:val="Normal"/>
        <w:keepNext w:val="true"/>
        <w:spacing w:before="40" w:after="0"/>
        <w:ind w:start="85" w:end="85"/>
        <w:rPr/>
      </w:pPr>
      <w:r>
        <w:rPr>
          <w:b/>
          <w:color w:val="0B3D91"/>
          <w:sz w:val="17"/>
        </w:rPr>
        <w:t>Q4. Qui porte, coordonne ou garantit les éléments présentés dans « DSI — Systèmes d’information » ?</w:t>
      </w:r>
    </w:p>
    <w:p>
      <w:pPr>
        <w:pStyle w:val="Normal"/>
        <w:spacing w:before="0" w:after="40"/>
        <w:ind w:start="255" w:end="85"/>
        <w:rPr/>
      </w:pPr>
      <w:r>
        <w:rPr>
          <w:b/>
          <w:color w:val="D4A017"/>
          <w:sz w:val="17"/>
        </w:rPr>
        <w:t xml:space="preserve">Réponse : </w:t>
      </w:r>
      <w:r>
        <w:rPr>
          <w:color w:val="1F2937"/>
          <w:sz w:val="17"/>
        </w:rPr>
        <w:t>Le Département des Systèmes d’Information.</w:t>
      </w:r>
    </w:p>
    <w:p>
      <w:pPr>
        <w:pStyle w:val="Normal"/>
        <w:keepNext w:val="true"/>
        <w:spacing w:before="40" w:after="0"/>
        <w:ind w:start="85" w:end="85"/>
        <w:rPr/>
      </w:pPr>
      <w:r>
        <w:rPr>
          <w:b/>
          <w:color w:val="0B3D91"/>
          <w:sz w:val="17"/>
        </w:rPr>
        <w:t>Q5. Comment la section « DSI — Systèmes d’information » prévoit-elle la mise en œuvre ou le suivi ?</w:t>
      </w:r>
    </w:p>
    <w:p>
      <w:pPr>
        <w:pStyle w:val="Normal"/>
        <w:spacing w:before="0" w:after="40"/>
        <w:ind w:start="255" w:end="85"/>
        <w:rPr/>
      </w:pPr>
      <w:r>
        <w:rPr>
          <w:b/>
          <w:color w:val="D4A017"/>
          <w:sz w:val="17"/>
        </w:rPr>
        <w:t xml:space="preserve">Réponse : </w:t>
      </w:r>
      <w:r>
        <w:rPr>
          <w:color w:val="1F2937"/>
          <w:sz w:val="17"/>
        </w:rPr>
        <w:t>Il applique le moindre privilège, le besoin de savoir et les accès par rôle.</w:t>
      </w:r>
    </w:p>
    <w:p>
      <w:pPr>
        <w:pStyle w:val="Normal"/>
        <w:keepNext w:val="true"/>
        <w:spacing w:before="40" w:after="0"/>
        <w:ind w:start="85" w:end="85"/>
        <w:rPr/>
      </w:pPr>
      <w:r>
        <w:rPr>
          <w:b/>
          <w:color w:val="0B3D91"/>
          <w:sz w:val="17"/>
        </w:rPr>
        <w:t>Q6. Quelle preuve, référence, règle ou information de statut accompagne « DSI — Systèmes d’information » ?</w:t>
      </w:r>
    </w:p>
    <w:p>
      <w:pPr>
        <w:pStyle w:val="Normal"/>
        <w:spacing w:before="0" w:after="40"/>
        <w:ind w:start="255" w:end="85"/>
        <w:rPr/>
      </w:pPr>
      <w:r>
        <w:rPr>
          <w:b/>
          <w:color w:val="D4A017"/>
          <w:sz w:val="17"/>
        </w:rPr>
        <w:t xml:space="preserve">Réponse : </w:t>
      </w:r>
      <w:r>
        <w:rPr>
          <w:color w:val="1F2937"/>
          <w:sz w:val="17"/>
        </w:rPr>
        <w:t>Journaux, sauvegardes, contrôles d’accès et changements maîtrisés constituent des preuves internes.</w:t>
      </w:r>
    </w:p>
    <w:p>
      <w:pPr>
        <w:pStyle w:val="Normal"/>
        <w:keepNext w:val="true"/>
        <w:spacing w:before="40" w:after="0"/>
        <w:ind w:start="85" w:end="85"/>
        <w:rPr/>
      </w:pPr>
      <w:r>
        <w:rPr>
          <w:b/>
          <w:color w:val="0B3D91"/>
          <w:sz w:val="17"/>
        </w:rPr>
        <w:t>Q7. Quelles limites de diffusion, de décision ou d’accès sont précisées pour « DSI — Systèmes d’information » ?</w:t>
      </w:r>
    </w:p>
    <w:p>
      <w:pPr>
        <w:pStyle w:val="Normal"/>
        <w:spacing w:before="0" w:after="40"/>
        <w:ind w:start="255" w:end="85"/>
        <w:rPr/>
      </w:pPr>
      <w:r>
        <w:rPr>
          <w:b/>
          <w:color w:val="D4A017"/>
          <w:sz w:val="17"/>
        </w:rPr>
        <w:t xml:space="preserve">Réponse : </w:t>
      </w:r>
      <w:r>
        <w:rPr>
          <w:color w:val="1F2937"/>
          <w:sz w:val="17"/>
        </w:rPr>
        <w:t>Les habilitations ne peuvent pas être contournées, y compris par ÉMINA.</w:t>
      </w:r>
    </w:p>
    <w:p>
      <w:pPr>
        <w:pStyle w:val="Normal"/>
        <w:keepNext w:val="true"/>
        <w:spacing w:before="40" w:after="0"/>
        <w:ind w:start="85" w:end="85"/>
        <w:rPr/>
      </w:pPr>
      <w:r>
        <w:rPr>
          <w:b/>
          <w:color w:val="0B3D91"/>
          <w:sz w:val="17"/>
        </w:rPr>
        <w:t>Q8. À quels publics ou bénéficiaires la section « DSI — Systèmes d’information » est-elle principalement destinée ?</w:t>
      </w:r>
    </w:p>
    <w:p>
      <w:pPr>
        <w:pStyle w:val="Normal"/>
        <w:spacing w:before="0" w:after="40"/>
        <w:ind w:start="255" w:end="85"/>
        <w:rPr/>
      </w:pPr>
      <w:r>
        <w:rPr>
          <w:b/>
          <w:color w:val="D4A017"/>
          <w:sz w:val="17"/>
        </w:rPr>
        <w:t xml:space="preserve">Réponse : </w:t>
      </w:r>
      <w:r>
        <w:rPr>
          <w:color w:val="1F2937"/>
          <w:sz w:val="17"/>
        </w:rPr>
        <w:t>Utilisateurs des services numériques, familles, élèves, personnel et direction.</w:t>
      </w:r>
    </w:p>
    <w:p>
      <w:pPr>
        <w:pStyle w:val="Normal"/>
        <w:keepNext w:val="true"/>
        <w:spacing w:before="40" w:after="0"/>
        <w:ind w:start="85" w:end="85"/>
        <w:rPr/>
      </w:pPr>
      <w:r>
        <w:rPr>
          <w:b/>
          <w:color w:val="0B3D91"/>
          <w:sz w:val="17"/>
        </w:rPr>
        <w:t>Q9. À quelles autres rubriques ou fonctions du site « DSI — Systèmes d’information » est-il relié ?</w:t>
      </w:r>
    </w:p>
    <w:p>
      <w:pPr>
        <w:pStyle w:val="Normal"/>
        <w:spacing w:before="0" w:after="40"/>
        <w:ind w:start="255" w:end="85"/>
        <w:rPr/>
      </w:pPr>
      <w:r>
        <w:rPr>
          <w:b/>
          <w:color w:val="D4A017"/>
          <w:sz w:val="17"/>
        </w:rPr>
        <w:t xml:space="preserve">Réponse : </w:t>
      </w:r>
      <w:r>
        <w:rPr>
          <w:color w:val="1F2937"/>
          <w:sz w:val="17"/>
        </w:rPr>
        <w:t>Lien avec Confidentialité, ÉMINA, Espace Parents, Admissions et tous les logiciels.</w:t>
      </w:r>
    </w:p>
    <w:p>
      <w:pPr>
        <w:pStyle w:val="Normal"/>
        <w:keepNext w:val="true"/>
        <w:spacing w:before="40" w:after="0"/>
        <w:ind w:start="85" w:end="85"/>
        <w:rPr/>
      </w:pPr>
      <w:r>
        <w:rPr>
          <w:b/>
          <w:color w:val="0B3D91"/>
          <w:sz w:val="17"/>
        </w:rPr>
        <w:t>Q10. Quelle action, orientation ou résultat concret le lecteur peut-il retenir de « DSI — Systèmes d’information » ?</w:t>
      </w:r>
    </w:p>
    <w:p>
      <w:pPr>
        <w:pStyle w:val="Normal"/>
        <w:spacing w:before="0" w:after="40"/>
        <w:ind w:start="255" w:end="85"/>
        <w:rPr/>
      </w:pPr>
      <w:r>
        <w:rPr>
          <w:b/>
          <w:color w:val="D4A017"/>
          <w:sz w:val="17"/>
        </w:rPr>
        <w:t xml:space="preserve">Réponse : </w:t>
      </w:r>
      <w:r>
        <w:rPr>
          <w:color w:val="1F2937"/>
          <w:sz w:val="17"/>
        </w:rPr>
        <w:t>Utiliser les accès autorisés et demander confirmation avant toute action sensible.</w:t>
      </w:r>
    </w:p>
    <w:p>
      <w:pPr>
        <w:pStyle w:val="Normal"/>
        <w:rPr/>
      </w:pPr>
      <w:r>
        <w:rPr/>
      </w:r>
      <w:r>
        <w:br w:type="page"/>
      </w:r>
    </w:p>
    <w:p>
      <w:pPr>
        <w:pStyle w:val="Heading2"/>
        <w:spacing w:before="0" w:after="80"/>
        <w:rPr/>
      </w:pPr>
      <w:r>
        <w:rPr/>
        <w:t>FICHE 43 — Documentation associée — Départements</w:t>
      </w:r>
    </w:p>
    <w:p>
      <w:pPr>
        <w:pStyle w:val="Normal"/>
        <w:spacing w:before="40" w:after="100"/>
        <w:rPr/>
      </w:pPr>
      <w:r>
        <w:rPr>
          <w:b/>
          <w:color w:val="0B3D91"/>
          <w:sz w:val="16"/>
        </w:rPr>
        <w:t xml:space="preserve">Source contrôlée : </w:t>
      </w:r>
      <w:r>
        <w:rPr>
          <w:color w:val="555555"/>
          <w:sz w:val="16"/>
        </w:rPr>
        <w:t>Départements institutionnels — https://test.gsleseminents.com/departements-institutionnels/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renvoie vers Gouvernance et organisation et Documentation publique.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relie la présentation des départements à la documentation de gouvernance.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renforce la clarté et la traçabilité de l’organisation.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gouvernance, rôles et propriétaires documentaires.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GSE-PUB-GOV-001</w:t>
      </w:r>
    </w:p>
    <w:p>
      <w:pPr>
        <w:pStyle w:val="ListBullet"/>
        <w:numPr>
          <w:ilvl w:val="0"/>
          <w:numId w:val="1"/>
        </w:numPr>
        <w:spacing w:before="0" w:after="20"/>
        <w:ind w:hanging="360" w:start="255"/>
        <w:contextualSpacing/>
        <w:rPr/>
      </w:pPr>
      <w:r>
        <w:rPr>
          <w:sz w:val="18"/>
        </w:rPr>
        <w:t>GSE-PUB-DOC-001</w:t>
      </w:r>
    </w:p>
    <w:p>
      <w:pPr>
        <w:pStyle w:val="ListBullet"/>
        <w:numPr>
          <w:ilvl w:val="0"/>
          <w:numId w:val="1"/>
        </w:numPr>
        <w:spacing w:before="0" w:after="20"/>
        <w:ind w:hanging="360" w:start="255"/>
        <w:contextualSpacing/>
        <w:rPr/>
      </w:pPr>
      <w:r>
        <w:rPr>
          <w:sz w:val="18"/>
        </w:rPr>
        <w:t>Publié</w:t>
      </w:r>
    </w:p>
    <w:p>
      <w:pPr>
        <w:pStyle w:val="ListBullet"/>
        <w:numPr>
          <w:ilvl w:val="0"/>
          <w:numId w:val="1"/>
        </w:numPr>
        <w:spacing w:before="0" w:after="20"/>
        <w:ind w:hanging="360" w:start="255"/>
        <w:contextualSpacing/>
        <w:rPr/>
      </w:pPr>
      <w:r>
        <w:rPr>
          <w:sz w:val="18"/>
        </w:rPr>
        <w:t>FR/EN</w:t>
      </w:r>
    </w:p>
    <w:p>
      <w:pPr>
        <w:pStyle w:val="Heading3"/>
        <w:rPr/>
      </w:pPr>
      <w:r>
        <w:rPr/>
        <w:t>Banque de questions-réponses</w:t>
      </w:r>
    </w:p>
    <w:p>
      <w:pPr>
        <w:pStyle w:val="Normal"/>
        <w:keepNext w:val="true"/>
        <w:spacing w:before="40" w:after="0"/>
        <w:ind w:start="85" w:end="85"/>
        <w:rPr/>
      </w:pPr>
      <w:r>
        <w:rPr>
          <w:b/>
          <w:color w:val="0B3D91"/>
          <w:sz w:val="17"/>
        </w:rPr>
        <w:t>Q1. Que présente la section « Documentation associée — Départements » ?</w:t>
      </w:r>
    </w:p>
    <w:p>
      <w:pPr>
        <w:pStyle w:val="Normal"/>
        <w:spacing w:before="0" w:after="40"/>
        <w:ind w:start="255" w:end="85"/>
        <w:rPr/>
      </w:pPr>
      <w:r>
        <w:rPr>
          <w:b/>
          <w:color w:val="D4A017"/>
          <w:sz w:val="17"/>
        </w:rPr>
        <w:t xml:space="preserve">Réponse : </w:t>
      </w:r>
      <w:r>
        <w:rPr>
          <w:color w:val="1F2937"/>
          <w:sz w:val="17"/>
        </w:rPr>
        <w:t>La page renvoie vers Gouvernance et organisation et Documentation publique.</w:t>
      </w:r>
    </w:p>
    <w:p>
      <w:pPr>
        <w:pStyle w:val="Normal"/>
        <w:keepNext w:val="true"/>
        <w:spacing w:before="40" w:after="0"/>
        <w:ind w:start="85" w:end="85"/>
        <w:rPr/>
      </w:pPr>
      <w:r>
        <w:rPr>
          <w:b/>
          <w:color w:val="0B3D91"/>
          <w:sz w:val="17"/>
        </w:rPr>
        <w:t>Q2. Quel est l’objectif principal exposé dans « Documentation associée — Départements » ?</w:t>
      </w:r>
    </w:p>
    <w:p>
      <w:pPr>
        <w:pStyle w:val="Normal"/>
        <w:spacing w:before="0" w:after="40"/>
        <w:ind w:start="255" w:end="85"/>
        <w:rPr/>
      </w:pPr>
      <w:r>
        <w:rPr>
          <w:b/>
          <w:color w:val="D4A017"/>
          <w:sz w:val="17"/>
        </w:rPr>
        <w:t xml:space="preserve">Réponse : </w:t>
      </w:r>
      <w:r>
        <w:rPr>
          <w:color w:val="1F2937"/>
          <w:sz w:val="17"/>
        </w:rPr>
        <w:t>Fournir les références qui soutiennent la répartition des responsabilités.</w:t>
      </w:r>
    </w:p>
    <w:p>
      <w:pPr>
        <w:pStyle w:val="Normal"/>
        <w:keepNext w:val="true"/>
        <w:spacing w:before="40" w:after="0"/>
        <w:ind w:start="85" w:end="85"/>
        <w:rPr/>
      </w:pPr>
      <w:r>
        <w:rPr>
          <w:b/>
          <w:color w:val="0B3D91"/>
          <w:sz w:val="17"/>
        </w:rPr>
        <w:t>Q3. Quels éléments ou domaines sont couverts par « Documentation associée — Départements » ?</w:t>
      </w:r>
    </w:p>
    <w:p>
      <w:pPr>
        <w:pStyle w:val="Normal"/>
        <w:spacing w:before="0" w:after="40"/>
        <w:ind w:start="255" w:end="85"/>
        <w:rPr/>
      </w:pPr>
      <w:r>
        <w:rPr>
          <w:b/>
          <w:color w:val="D4A017"/>
          <w:sz w:val="17"/>
        </w:rPr>
        <w:t xml:space="preserve">Réponse : </w:t>
      </w:r>
      <w:r>
        <w:rPr>
          <w:color w:val="1F2937"/>
          <w:sz w:val="17"/>
        </w:rPr>
        <w:t>GSE-PUB-GOV-001 et GSE-PUB-DOC-001, statut Publié, FR/EN.</w:t>
      </w:r>
    </w:p>
    <w:p>
      <w:pPr>
        <w:pStyle w:val="Normal"/>
        <w:keepNext w:val="true"/>
        <w:spacing w:before="40" w:after="0"/>
        <w:ind w:start="85" w:end="85"/>
        <w:rPr/>
      </w:pPr>
      <w:r>
        <w:rPr>
          <w:b/>
          <w:color w:val="0B3D91"/>
          <w:sz w:val="17"/>
        </w:rPr>
        <w:t>Q4. Qui porte, coordonne ou garantit les éléments présentés dans « Documentation associée — Départements » ?</w:t>
      </w:r>
    </w:p>
    <w:p>
      <w:pPr>
        <w:pStyle w:val="Normal"/>
        <w:spacing w:before="0" w:after="40"/>
        <w:ind w:start="255" w:end="85"/>
        <w:rPr/>
      </w:pPr>
      <w:r>
        <w:rPr>
          <w:b/>
          <w:color w:val="D4A017"/>
          <w:sz w:val="17"/>
        </w:rPr>
        <w:t xml:space="preserve">Réponse : </w:t>
      </w:r>
      <w:r>
        <w:rPr>
          <w:color w:val="1F2937"/>
          <w:sz w:val="17"/>
        </w:rPr>
        <w:t>La Direction et les propriétaires documentaires maintiennent ces références.</w:t>
      </w:r>
    </w:p>
    <w:p>
      <w:pPr>
        <w:pStyle w:val="Normal"/>
        <w:keepNext w:val="true"/>
        <w:spacing w:before="40" w:after="0"/>
        <w:ind w:start="85" w:end="85"/>
        <w:rPr/>
      </w:pPr>
      <w:r>
        <w:rPr>
          <w:b/>
          <w:color w:val="0B3D91"/>
          <w:sz w:val="17"/>
        </w:rPr>
        <w:t>Q5. Comment la section « Documentation associée — Départements » prévoit-elle la mise en œuvre ou le suivi ?</w:t>
      </w:r>
    </w:p>
    <w:p>
      <w:pPr>
        <w:pStyle w:val="Normal"/>
        <w:spacing w:before="0" w:after="40"/>
        <w:ind w:start="255" w:end="85"/>
        <w:rPr/>
      </w:pPr>
      <w:r>
        <w:rPr>
          <w:b/>
          <w:color w:val="D4A017"/>
          <w:sz w:val="17"/>
        </w:rPr>
        <w:t xml:space="preserve">Réponse : </w:t>
      </w:r>
      <w:r>
        <w:rPr>
          <w:color w:val="1F2937"/>
          <w:sz w:val="17"/>
        </w:rPr>
        <w:t>Le lecteur consulte la gouvernance puis la bibliothèque des sources.</w:t>
      </w:r>
    </w:p>
    <w:p>
      <w:pPr>
        <w:pStyle w:val="Normal"/>
        <w:keepNext w:val="true"/>
        <w:spacing w:before="40" w:after="0"/>
        <w:ind w:start="85" w:end="85"/>
        <w:rPr/>
      </w:pPr>
      <w:r>
        <w:rPr>
          <w:b/>
          <w:color w:val="0B3D91"/>
          <w:sz w:val="17"/>
        </w:rPr>
        <w:t>Q6. Quelle preuve, référence, règle ou information de statut accompagne « Documentation associée — Départements » ?</w:t>
      </w:r>
    </w:p>
    <w:p>
      <w:pPr>
        <w:pStyle w:val="Normal"/>
        <w:spacing w:before="0" w:after="40"/>
        <w:ind w:start="255" w:end="85"/>
        <w:rPr/>
      </w:pPr>
      <w:r>
        <w:rPr>
          <w:b/>
          <w:color w:val="D4A017"/>
          <w:sz w:val="17"/>
        </w:rPr>
        <w:t xml:space="preserve">Réponse : </w:t>
      </w:r>
      <w:r>
        <w:rPr>
          <w:color w:val="1F2937"/>
          <w:sz w:val="17"/>
        </w:rPr>
        <w:t>Les codes et statuts identifient les documents officiels.</w:t>
      </w:r>
    </w:p>
    <w:p>
      <w:pPr>
        <w:pStyle w:val="Normal"/>
        <w:keepNext w:val="true"/>
        <w:spacing w:before="40" w:after="0"/>
        <w:ind w:start="85" w:end="85"/>
        <w:rPr/>
      </w:pPr>
      <w:r>
        <w:rPr>
          <w:b/>
          <w:color w:val="0B3D91"/>
          <w:sz w:val="17"/>
        </w:rPr>
        <w:t>Q7. Quelles limites de diffusion, de décision ou d’accès sont précisées pour « Documentation associée — Départements » ?</w:t>
      </w:r>
    </w:p>
    <w:p>
      <w:pPr>
        <w:pStyle w:val="Normal"/>
        <w:spacing w:before="0" w:after="40"/>
        <w:ind w:start="255" w:end="85"/>
        <w:rPr/>
      </w:pPr>
      <w:r>
        <w:rPr>
          <w:b/>
          <w:color w:val="D4A017"/>
          <w:sz w:val="17"/>
        </w:rPr>
        <w:t xml:space="preserve">Réponse : </w:t>
      </w:r>
      <w:r>
        <w:rPr>
          <w:color w:val="1F2937"/>
          <w:sz w:val="17"/>
        </w:rPr>
        <w:t>Les organigrammes détaillés et habilitations internes peuvent rester protégés.</w:t>
      </w:r>
    </w:p>
    <w:p>
      <w:pPr>
        <w:pStyle w:val="Normal"/>
        <w:keepNext w:val="true"/>
        <w:spacing w:before="40" w:after="0"/>
        <w:ind w:start="85" w:end="85"/>
        <w:rPr/>
      </w:pPr>
      <w:r>
        <w:rPr>
          <w:b/>
          <w:color w:val="0B3D91"/>
          <w:sz w:val="17"/>
        </w:rPr>
        <w:t>Q8. À quels publics ou bénéficiaires la section « Documentation associée — Départements » est-elle principalement destinée ?</w:t>
      </w:r>
    </w:p>
    <w:p>
      <w:pPr>
        <w:pStyle w:val="Normal"/>
        <w:spacing w:before="0" w:after="40"/>
        <w:ind w:start="255" w:end="85"/>
        <w:rPr/>
      </w:pPr>
      <w:r>
        <w:rPr>
          <w:b/>
          <w:color w:val="D4A017"/>
          <w:sz w:val="17"/>
        </w:rPr>
        <w:t xml:space="preserve">Réponse : </w:t>
      </w:r>
      <w:r>
        <w:rPr>
          <w:color w:val="1F2937"/>
          <w:sz w:val="17"/>
        </w:rPr>
        <w:t>Familles, partenaires et personnels souhaitant comprendre l’organisation.</w:t>
      </w:r>
    </w:p>
    <w:p>
      <w:pPr>
        <w:pStyle w:val="Normal"/>
        <w:keepNext w:val="true"/>
        <w:spacing w:before="40" w:after="0"/>
        <w:ind w:start="85" w:end="85"/>
        <w:rPr/>
      </w:pPr>
      <w:r>
        <w:rPr>
          <w:b/>
          <w:color w:val="0B3D91"/>
          <w:sz w:val="17"/>
        </w:rPr>
        <w:t>Q9. À quelles autres rubriques ou fonctions du site « Documentation associée — Départements » est-il relié ?</w:t>
      </w:r>
    </w:p>
    <w:p>
      <w:pPr>
        <w:pStyle w:val="Normal"/>
        <w:spacing w:before="0" w:after="40"/>
        <w:ind w:start="255" w:end="85"/>
        <w:rPr/>
      </w:pPr>
      <w:r>
        <w:rPr>
          <w:b/>
          <w:color w:val="D4A017"/>
          <w:sz w:val="17"/>
        </w:rPr>
        <w:t xml:space="preserve">Réponse : </w:t>
      </w:r>
      <w:r>
        <w:rPr>
          <w:color w:val="1F2937"/>
          <w:sz w:val="17"/>
        </w:rPr>
        <w:t>Lien avec À propos/Gouvernance, Documentation et ÉMINA.</w:t>
      </w:r>
    </w:p>
    <w:p>
      <w:pPr>
        <w:pStyle w:val="Normal"/>
        <w:keepNext w:val="true"/>
        <w:spacing w:before="40" w:after="0"/>
        <w:ind w:start="85" w:end="85"/>
        <w:rPr/>
      </w:pPr>
      <w:r>
        <w:rPr>
          <w:b/>
          <w:color w:val="0B3D91"/>
          <w:sz w:val="17"/>
        </w:rPr>
        <w:t>Q10. Quelle action, orientation ou résultat concret le lecteur peut-il retenir de « Documentation associée — Départements » ?</w:t>
      </w:r>
    </w:p>
    <w:p>
      <w:pPr>
        <w:pStyle w:val="Normal"/>
        <w:spacing w:before="0" w:after="40"/>
        <w:ind w:start="255" w:end="85"/>
        <w:rPr/>
      </w:pPr>
      <w:r>
        <w:rPr>
          <w:b/>
          <w:color w:val="D4A017"/>
          <w:sz w:val="17"/>
        </w:rPr>
        <w:t xml:space="preserve">Réponse : </w:t>
      </w:r>
      <w:r>
        <w:rPr>
          <w:color w:val="1F2937"/>
          <w:sz w:val="17"/>
        </w:rPr>
        <w:t>Consulter la source publique active avant d’attribuer une responsabilité.</w:t>
      </w:r>
    </w:p>
    <w:p>
      <w:pPr>
        <w:pStyle w:val="Normal"/>
        <w:rPr/>
      </w:pPr>
      <w:r>
        <w:rPr/>
      </w:r>
      <w:r>
        <w:br w:type="page"/>
      </w:r>
    </w:p>
    <w:p>
      <w:pPr>
        <w:pStyle w:val="Heading2"/>
        <w:spacing w:before="0" w:after="80"/>
        <w:rPr/>
      </w:pPr>
      <w:r>
        <w:rPr/>
        <w:t>FICHE 44 — DRH-GP — Mission, engagements et collaboration</w:t>
      </w:r>
    </w:p>
    <w:p>
      <w:pPr>
        <w:pStyle w:val="Normal"/>
        <w:spacing w:before="40" w:after="100"/>
        <w:rPr/>
      </w:pPr>
      <w:r>
        <w:rPr>
          <w:b/>
          <w:color w:val="0B3D91"/>
          <w:sz w:val="16"/>
        </w:rPr>
        <w:t xml:space="preserve">Source contrôlée : </w:t>
      </w:r>
      <w:r>
        <w:rPr>
          <w:color w:val="555555"/>
          <w:sz w:val="16"/>
        </w:rPr>
        <w:t>Pages détaillées des départements — https://test.gsleseminents.com/ressources-humaines/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DRH-GP planifie les besoins en personnel, organise le recrutement sûr, l’intégration, le développement des compétences et le suivi équitable de la performance.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regroupe les trois composantes visibles de la page départementale.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gestion responsable du personnel soutient directement la sécurité et la qualité éducative.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protection de l’enfant, pédagogie, qualité et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Mission publique</w:t>
      </w:r>
    </w:p>
    <w:p>
      <w:pPr>
        <w:pStyle w:val="ListBullet"/>
        <w:numPr>
          <w:ilvl w:val="0"/>
          <w:numId w:val="1"/>
        </w:numPr>
        <w:spacing w:before="0" w:after="20"/>
        <w:ind w:hanging="360" w:start="255"/>
        <w:contextualSpacing/>
        <w:rPr/>
      </w:pPr>
      <w:r>
        <w:rPr>
          <w:sz w:val="18"/>
        </w:rPr>
        <w:t>Fiches de fonction</w:t>
      </w:r>
    </w:p>
    <w:p>
      <w:pPr>
        <w:pStyle w:val="ListBullet"/>
        <w:numPr>
          <w:ilvl w:val="0"/>
          <w:numId w:val="1"/>
        </w:numPr>
        <w:spacing w:before="0" w:after="20"/>
        <w:ind w:hanging="360" w:start="255"/>
        <w:contextualSpacing/>
        <w:rPr/>
      </w:pPr>
      <w:r>
        <w:rPr>
          <w:sz w:val="18"/>
        </w:rPr>
        <w:t>Vérifications préalables</w:t>
      </w:r>
    </w:p>
    <w:p>
      <w:pPr>
        <w:pStyle w:val="ListBullet"/>
        <w:numPr>
          <w:ilvl w:val="0"/>
          <w:numId w:val="1"/>
        </w:numPr>
        <w:spacing w:before="0" w:after="20"/>
        <w:ind w:hanging="360" w:start="255"/>
        <w:contextualSpacing/>
        <w:rPr/>
      </w:pPr>
      <w:r>
        <w:rPr>
          <w:sz w:val="18"/>
        </w:rPr>
        <w:t>Intégration</w:t>
      </w:r>
    </w:p>
    <w:p>
      <w:pPr>
        <w:pStyle w:val="ListBullet"/>
        <w:numPr>
          <w:ilvl w:val="0"/>
          <w:numId w:val="1"/>
        </w:numPr>
        <w:spacing w:before="0" w:after="20"/>
        <w:ind w:hanging="360" w:start="255"/>
        <w:contextualSpacing/>
        <w:rPr/>
      </w:pPr>
      <w:r>
        <w:rPr>
          <w:sz w:val="18"/>
        </w:rPr>
        <w:t>Formations obligatoires</w:t>
      </w:r>
    </w:p>
    <w:p>
      <w:pPr>
        <w:pStyle w:val="ListBullet"/>
        <w:numPr>
          <w:ilvl w:val="0"/>
          <w:numId w:val="1"/>
        </w:numPr>
        <w:spacing w:before="0" w:after="20"/>
        <w:ind w:hanging="360" w:start="255"/>
        <w:contextualSpacing/>
        <w:rPr/>
      </w:pPr>
      <w:r>
        <w:rPr>
          <w:sz w:val="18"/>
        </w:rPr>
        <w:t>Suivi équitable</w:t>
      </w:r>
    </w:p>
    <w:p>
      <w:pPr>
        <w:pStyle w:val="ListBullet"/>
        <w:numPr>
          <w:ilvl w:val="0"/>
          <w:numId w:val="1"/>
        </w:numPr>
        <w:spacing w:before="0" w:after="20"/>
        <w:ind w:hanging="360" w:start="255"/>
        <w:contextualSpacing/>
        <w:rPr/>
      </w:pPr>
      <w:r>
        <w:rPr>
          <w:sz w:val="18"/>
        </w:rPr>
        <w:t>Limites d’ÉMINA</w:t>
      </w:r>
    </w:p>
    <w:p>
      <w:pPr>
        <w:pStyle w:val="Heading3"/>
        <w:rPr/>
      </w:pPr>
      <w:r>
        <w:rPr/>
        <w:t>Banque de questions-réponses</w:t>
      </w:r>
    </w:p>
    <w:p>
      <w:pPr>
        <w:pStyle w:val="Normal"/>
        <w:keepNext w:val="true"/>
        <w:spacing w:before="40" w:after="0"/>
        <w:ind w:start="85" w:end="85"/>
        <w:rPr/>
      </w:pPr>
      <w:r>
        <w:rPr>
          <w:b/>
          <w:color w:val="0B3D91"/>
          <w:sz w:val="17"/>
        </w:rPr>
        <w:t>Q1. Que présente la section « DRH-GP — Mission, engagements et collaboration » ?</w:t>
      </w:r>
    </w:p>
    <w:p>
      <w:pPr>
        <w:pStyle w:val="Normal"/>
        <w:spacing w:before="0" w:after="40"/>
        <w:ind w:start="255" w:end="85"/>
        <w:rPr/>
      </w:pPr>
      <w:r>
        <w:rPr>
          <w:b/>
          <w:color w:val="D4A017"/>
          <w:sz w:val="17"/>
        </w:rPr>
        <w:t xml:space="preserve">Réponse : </w:t>
      </w:r>
      <w:r>
        <w:rPr>
          <w:color w:val="1F2937"/>
          <w:sz w:val="17"/>
        </w:rPr>
        <w:t>Le DRH-GP planifie les besoins en personnel, organise le recrutement sûr, l’intégration, le développement des compétences et le suivi équitable de la performance.</w:t>
      </w:r>
    </w:p>
    <w:p>
      <w:pPr>
        <w:pStyle w:val="Normal"/>
        <w:keepNext w:val="true"/>
        <w:spacing w:before="40" w:after="0"/>
        <w:ind w:start="85" w:end="85"/>
        <w:rPr/>
      </w:pPr>
      <w:r>
        <w:rPr>
          <w:b/>
          <w:color w:val="0B3D91"/>
          <w:sz w:val="17"/>
        </w:rPr>
        <w:t>Q2. Quel est l’objectif principal exposé dans « DRH-GP — Mission, engagements et collaboration » ?</w:t>
      </w:r>
    </w:p>
    <w:p>
      <w:pPr>
        <w:pStyle w:val="Normal"/>
        <w:spacing w:before="0" w:after="40"/>
        <w:ind w:start="255" w:end="85"/>
        <w:rPr/>
      </w:pPr>
      <w:r>
        <w:rPr>
          <w:b/>
          <w:color w:val="D4A017"/>
          <w:sz w:val="17"/>
        </w:rPr>
        <w:t xml:space="preserve">Réponse : </w:t>
      </w:r>
      <w:r>
        <w:rPr>
          <w:color w:val="1F2937"/>
          <w:sz w:val="17"/>
        </w:rPr>
        <w:t>Décrire publiquement le rôle du département des ressources humaines et ses engagements essentiels.</w:t>
      </w:r>
    </w:p>
    <w:p>
      <w:pPr>
        <w:pStyle w:val="Normal"/>
        <w:keepNext w:val="true"/>
        <w:spacing w:before="40" w:after="0"/>
        <w:ind w:start="85" w:end="85"/>
        <w:rPr/>
      </w:pPr>
      <w:r>
        <w:rPr>
          <w:b/>
          <w:color w:val="0B3D91"/>
          <w:sz w:val="17"/>
        </w:rPr>
        <w:t>Q3. Quels éléments ou domaines sont couverts par « DRH-GP — Mission, engagements et collaboration » ?</w:t>
      </w:r>
    </w:p>
    <w:p>
      <w:pPr>
        <w:pStyle w:val="Normal"/>
        <w:spacing w:before="0" w:after="40"/>
        <w:ind w:start="255" w:end="85"/>
        <w:rPr/>
      </w:pPr>
      <w:r>
        <w:rPr>
          <w:b/>
          <w:color w:val="D4A017"/>
          <w:sz w:val="17"/>
        </w:rPr>
        <w:t xml:space="preserve">Réponse : </w:t>
      </w:r>
      <w:r>
        <w:rPr>
          <w:color w:val="1F2937"/>
          <w:sz w:val="17"/>
        </w:rPr>
        <w:t>Fiches de fonction, vérifications préalables, intégration, formation, performance et collaboration interservices.</w:t>
      </w:r>
    </w:p>
    <w:p>
      <w:pPr>
        <w:pStyle w:val="Normal"/>
        <w:keepNext w:val="true"/>
        <w:spacing w:before="40" w:after="0"/>
        <w:ind w:start="85" w:end="85"/>
        <w:rPr/>
      </w:pPr>
      <w:r>
        <w:rPr>
          <w:b/>
          <w:color w:val="0B3D91"/>
          <w:sz w:val="17"/>
        </w:rPr>
        <w:t>Q4. Qui porte, coordonne ou garantit les éléments présentés dans « DRH-GP — Mission, engagements et collaboration » ?</w:t>
      </w:r>
    </w:p>
    <w:p>
      <w:pPr>
        <w:pStyle w:val="Normal"/>
        <w:spacing w:before="0" w:after="40"/>
        <w:ind w:start="255" w:end="85"/>
        <w:rPr/>
      </w:pPr>
      <w:r>
        <w:rPr>
          <w:b/>
          <w:color w:val="D4A017"/>
          <w:sz w:val="17"/>
        </w:rPr>
        <w:t xml:space="preserve">Réponse : </w:t>
      </w:r>
      <w:r>
        <w:rPr>
          <w:color w:val="1F2937"/>
          <w:sz w:val="17"/>
        </w:rPr>
        <w:t>Le DRH-GP, en lien avec la Direction et les départements spécialisés.</w:t>
      </w:r>
    </w:p>
    <w:p>
      <w:pPr>
        <w:pStyle w:val="Normal"/>
        <w:keepNext w:val="true"/>
        <w:spacing w:before="40" w:after="0"/>
        <w:ind w:start="85" w:end="85"/>
        <w:rPr/>
      </w:pPr>
      <w:r>
        <w:rPr>
          <w:b/>
          <w:color w:val="0B3D91"/>
          <w:sz w:val="17"/>
        </w:rPr>
        <w:t>Q5. Comment la section « DRH-GP — Mission, engagements et collaboration » prévoit-elle la mise en œuvre ou le suivi ?</w:t>
      </w:r>
    </w:p>
    <w:p>
      <w:pPr>
        <w:pStyle w:val="Normal"/>
        <w:spacing w:before="0" w:after="40"/>
        <w:ind w:start="255" w:end="85"/>
        <w:rPr/>
      </w:pPr>
      <w:r>
        <w:rPr>
          <w:b/>
          <w:color w:val="D4A017"/>
          <w:sz w:val="17"/>
        </w:rPr>
        <w:t xml:space="preserve">Réponse : </w:t>
      </w:r>
      <w:r>
        <w:rPr>
          <w:color w:val="1F2937"/>
          <w:sz w:val="17"/>
        </w:rPr>
        <w:t>Il planifie les effectifs, sécurise le recrutement, intègre et forme le personnel puis suit la performance.</w:t>
      </w:r>
    </w:p>
    <w:p>
      <w:pPr>
        <w:pStyle w:val="Normal"/>
        <w:keepNext w:val="true"/>
        <w:spacing w:before="40" w:after="0"/>
        <w:ind w:start="85" w:end="85"/>
        <w:rPr/>
      </w:pPr>
      <w:r>
        <w:rPr>
          <w:b/>
          <w:color w:val="0B3D91"/>
          <w:sz w:val="17"/>
        </w:rPr>
        <w:t>Q6. Quelle preuve, référence, règle ou information de statut accompagne « DRH-GP — Mission, engagements et collaboration » ?</w:t>
      </w:r>
    </w:p>
    <w:p>
      <w:pPr>
        <w:pStyle w:val="Normal"/>
        <w:spacing w:before="0" w:after="40"/>
        <w:ind w:start="255" w:end="85"/>
        <w:rPr/>
      </w:pPr>
      <w:r>
        <w:rPr>
          <w:b/>
          <w:color w:val="D4A017"/>
          <w:sz w:val="17"/>
        </w:rPr>
        <w:t xml:space="preserve">Réponse : </w:t>
      </w:r>
      <w:r>
        <w:rPr>
          <w:color w:val="1F2937"/>
          <w:sz w:val="17"/>
        </w:rPr>
        <w:t>Fiches de fonction, contrôles préalables et suivis de formation constituent les traces attendues.</w:t>
      </w:r>
    </w:p>
    <w:p>
      <w:pPr>
        <w:pStyle w:val="Normal"/>
        <w:keepNext w:val="true"/>
        <w:spacing w:before="40" w:after="0"/>
        <w:ind w:start="85" w:end="85"/>
        <w:rPr/>
      </w:pPr>
      <w:r>
        <w:rPr>
          <w:b/>
          <w:color w:val="0B3D91"/>
          <w:sz w:val="17"/>
        </w:rPr>
        <w:t>Q7. Quelles limites de diffusion, de décision ou d’accès sont précisées pour « DRH-GP — Mission, engagements et collaboration » ?</w:t>
      </w:r>
    </w:p>
    <w:p>
      <w:pPr>
        <w:pStyle w:val="Normal"/>
        <w:spacing w:before="0" w:after="40"/>
        <w:ind w:start="255" w:end="85"/>
        <w:rPr/>
      </w:pPr>
      <w:r>
        <w:rPr>
          <w:b/>
          <w:color w:val="D4A017"/>
          <w:sz w:val="17"/>
        </w:rPr>
        <w:t xml:space="preserve">Réponse : </w:t>
      </w:r>
      <w:r>
        <w:rPr>
          <w:color w:val="1F2937"/>
          <w:sz w:val="17"/>
        </w:rPr>
        <w:t>ÉMINA ne recrute, n’évalue ni ne sanctionne de manière autonome; les dossiers individuels restent protégés.</w:t>
      </w:r>
    </w:p>
    <w:p>
      <w:pPr>
        <w:pStyle w:val="Normal"/>
        <w:keepNext w:val="true"/>
        <w:spacing w:before="40" w:after="0"/>
        <w:ind w:start="85" w:end="85"/>
        <w:rPr/>
      </w:pPr>
      <w:r>
        <w:rPr>
          <w:b/>
          <w:color w:val="0B3D91"/>
          <w:sz w:val="17"/>
        </w:rPr>
        <w:t>Q8. À quels publics ou bénéficiaires la section « DRH-GP — Mission, engagements et collaboration » est-elle principalement destinée ?</w:t>
      </w:r>
    </w:p>
    <w:p>
      <w:pPr>
        <w:pStyle w:val="Normal"/>
        <w:spacing w:before="0" w:after="40"/>
        <w:ind w:start="255" w:end="85"/>
        <w:rPr/>
      </w:pPr>
      <w:r>
        <w:rPr>
          <w:b/>
          <w:color w:val="D4A017"/>
          <w:sz w:val="17"/>
        </w:rPr>
        <w:t xml:space="preserve">Réponse : </w:t>
      </w:r>
      <w:r>
        <w:rPr>
          <w:color w:val="1F2937"/>
          <w:sz w:val="17"/>
        </w:rPr>
        <w:t>Personnel, candidats, direction et communauté scolaire.</w:t>
      </w:r>
    </w:p>
    <w:p>
      <w:pPr>
        <w:pStyle w:val="Normal"/>
        <w:keepNext w:val="true"/>
        <w:spacing w:before="40" w:after="0"/>
        <w:ind w:start="85" w:end="85"/>
        <w:rPr/>
      </w:pPr>
      <w:r>
        <w:rPr>
          <w:b/>
          <w:color w:val="0B3D91"/>
          <w:sz w:val="17"/>
        </w:rPr>
        <w:t>Q9. À quelles autres rubriques ou fonctions du site « DRH-GP — Mission, engagements et collaboration » est-il relié ?</w:t>
      </w:r>
    </w:p>
    <w:p>
      <w:pPr>
        <w:pStyle w:val="Normal"/>
        <w:spacing w:before="0" w:after="40"/>
        <w:ind w:start="255" w:end="85"/>
        <w:rPr/>
      </w:pPr>
      <w:r>
        <w:rPr>
          <w:b/>
          <w:color w:val="D4A017"/>
          <w:sz w:val="17"/>
        </w:rPr>
        <w:t xml:space="preserve">Réponse : </w:t>
      </w:r>
      <w:r>
        <w:rPr>
          <w:color w:val="1F2937"/>
          <w:sz w:val="17"/>
        </w:rPr>
        <w:t>Collaboration avec Direction, DBSPE, DAQAC, DAACIP et DSI.</w:t>
      </w:r>
    </w:p>
    <w:p>
      <w:pPr>
        <w:pStyle w:val="Normal"/>
        <w:keepNext w:val="true"/>
        <w:spacing w:before="40" w:after="0"/>
        <w:ind w:start="85" w:end="85"/>
        <w:rPr/>
      </w:pPr>
      <w:r>
        <w:rPr>
          <w:b/>
          <w:color w:val="0B3D91"/>
          <w:sz w:val="17"/>
        </w:rPr>
        <w:t>Q10. Quelle action, orientation ou résultat concret le lecteur peut-il retenir de « DRH-GP — Mission, engagements et collaboration » ?</w:t>
      </w:r>
    </w:p>
    <w:p>
      <w:pPr>
        <w:pStyle w:val="Normal"/>
        <w:spacing w:before="0" w:after="40"/>
        <w:ind w:start="255" w:end="85"/>
        <w:rPr/>
      </w:pPr>
      <w:r>
        <w:rPr>
          <w:b/>
          <w:color w:val="D4A017"/>
          <w:sz w:val="17"/>
        </w:rPr>
        <w:t xml:space="preserve">Réponse : </w:t>
      </w:r>
      <w:r>
        <w:rPr>
          <w:color w:val="1F2937"/>
          <w:sz w:val="17"/>
        </w:rPr>
        <w:t>Contacter l’école pour une démarche RH; utiliser ÉMINA uniquement pour comprendre ou être orienté.</w:t>
      </w:r>
    </w:p>
    <w:p>
      <w:pPr>
        <w:pStyle w:val="Normal"/>
        <w:rPr/>
      </w:pPr>
      <w:r>
        <w:rPr/>
      </w:r>
      <w:r>
        <w:br w:type="page"/>
      </w:r>
    </w:p>
    <w:p>
      <w:pPr>
        <w:pStyle w:val="Heading2"/>
        <w:spacing w:before="0" w:after="80"/>
        <w:rPr/>
      </w:pPr>
      <w:r>
        <w:rPr/>
        <w:t>FICHE 45 — DBSPE — Mission, engagements et collaboration</w:t>
      </w:r>
    </w:p>
    <w:p>
      <w:pPr>
        <w:pStyle w:val="Normal"/>
        <w:spacing w:before="40" w:after="100"/>
        <w:rPr/>
      </w:pPr>
      <w:r>
        <w:rPr>
          <w:b/>
          <w:color w:val="0B3D91"/>
          <w:sz w:val="16"/>
        </w:rPr>
        <w:t xml:space="preserve">Source contrôlée : </w:t>
      </w:r>
      <w:r>
        <w:rPr>
          <w:color w:val="555555"/>
          <w:sz w:val="16"/>
        </w:rPr>
        <w:t>Pages détaillées des départements — https://test.gsleseminents.com/bien-etre-securite-protection/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DBSPE coordonne l’environnement protecteur, le bien-être, la prévention des violences, les voies de signalement et l’accompagnement approprié.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rend visible la mission, les engagements et les limites d’orientation.</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protection de l’enfant est une condition non négociable de l’éducation.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discipline positive, sécurité numérique et circuits d’urgence.</w:t>
            </w:r>
          </w:p>
        </w:tc>
      </w:tr>
    </w:tbl>
    <w:p>
      <w:pPr>
        <w:pStyle w:val="Heading3"/>
        <w:rPr/>
      </w:pPr>
      <w:r>
        <w:rPr/>
        <w:t>Points développés</w:t>
      </w:r>
    </w:p>
    <w:p>
      <w:pPr>
        <w:pStyle w:val="ListBullet"/>
        <w:numPr>
          <w:ilvl w:val="0"/>
          <w:numId w:val="1"/>
        </w:numPr>
        <w:spacing w:before="0" w:after="20"/>
        <w:ind w:hanging="360" w:start="255"/>
        <w:contextualSpacing/>
        <w:rPr/>
      </w:pPr>
      <w:r>
        <w:rPr>
          <w:sz w:val="18"/>
        </w:rPr>
        <w:t>Prévention des violences</w:t>
      </w:r>
    </w:p>
    <w:p>
      <w:pPr>
        <w:pStyle w:val="ListBullet"/>
        <w:numPr>
          <w:ilvl w:val="0"/>
          <w:numId w:val="1"/>
        </w:numPr>
        <w:spacing w:before="0" w:after="20"/>
        <w:ind w:hanging="360" w:start="255"/>
        <w:contextualSpacing/>
        <w:rPr/>
      </w:pPr>
      <w:r>
        <w:rPr>
          <w:sz w:val="18"/>
        </w:rPr>
        <w:t>Signalement</w:t>
      </w:r>
    </w:p>
    <w:p>
      <w:pPr>
        <w:pStyle w:val="ListBullet"/>
        <w:numPr>
          <w:ilvl w:val="0"/>
          <w:numId w:val="1"/>
        </w:numPr>
        <w:spacing w:before="0" w:after="20"/>
        <w:ind w:hanging="360" w:start="255"/>
        <w:contextualSpacing/>
        <w:rPr/>
      </w:pPr>
      <w:r>
        <w:rPr>
          <w:sz w:val="18"/>
        </w:rPr>
        <w:t>Discipline positive</w:t>
      </w:r>
    </w:p>
    <w:p>
      <w:pPr>
        <w:pStyle w:val="ListBullet"/>
        <w:numPr>
          <w:ilvl w:val="0"/>
          <w:numId w:val="1"/>
        </w:numPr>
        <w:spacing w:before="0" w:after="20"/>
        <w:ind w:hanging="360" w:start="255"/>
        <w:contextualSpacing/>
        <w:rPr/>
      </w:pPr>
      <w:r>
        <w:rPr>
          <w:sz w:val="18"/>
        </w:rPr>
        <w:t>Urgences</w:t>
      </w:r>
    </w:p>
    <w:p>
      <w:pPr>
        <w:pStyle w:val="ListBullet"/>
        <w:numPr>
          <w:ilvl w:val="0"/>
          <w:numId w:val="1"/>
        </w:numPr>
        <w:spacing w:before="0" w:after="20"/>
        <w:ind w:hanging="360" w:start="255"/>
        <w:contextualSpacing/>
        <w:rPr/>
      </w:pPr>
      <w:r>
        <w:rPr>
          <w:sz w:val="18"/>
        </w:rPr>
        <w:t>Besoin de savoir</w:t>
      </w:r>
    </w:p>
    <w:p>
      <w:pPr>
        <w:pStyle w:val="ListBullet"/>
        <w:numPr>
          <w:ilvl w:val="0"/>
          <w:numId w:val="1"/>
        </w:numPr>
        <w:spacing w:before="0" w:after="20"/>
        <w:ind w:hanging="360" w:start="255"/>
        <w:contextualSpacing/>
        <w:rPr/>
      </w:pPr>
      <w:r>
        <w:rPr>
          <w:sz w:val="18"/>
        </w:rPr>
        <w:t>Sécurité numérique</w:t>
      </w:r>
    </w:p>
    <w:p>
      <w:pPr>
        <w:pStyle w:val="ListBullet"/>
        <w:numPr>
          <w:ilvl w:val="0"/>
          <w:numId w:val="1"/>
        </w:numPr>
        <w:spacing w:before="0" w:after="20"/>
        <w:ind w:hanging="360" w:start="255"/>
        <w:contextualSpacing/>
        <w:rPr/>
      </w:pPr>
      <w:r>
        <w:rPr>
          <w:sz w:val="18"/>
        </w:rPr>
        <w:t>Limites d’ÉMINA</w:t>
      </w:r>
    </w:p>
    <w:p>
      <w:pPr>
        <w:pStyle w:val="Heading3"/>
        <w:rPr/>
      </w:pPr>
      <w:r>
        <w:rPr/>
        <w:t>Banque de questions-réponses</w:t>
      </w:r>
    </w:p>
    <w:p>
      <w:pPr>
        <w:pStyle w:val="Normal"/>
        <w:keepNext w:val="true"/>
        <w:spacing w:before="40" w:after="0"/>
        <w:ind w:start="85" w:end="85"/>
        <w:rPr/>
      </w:pPr>
      <w:r>
        <w:rPr>
          <w:b/>
          <w:color w:val="0B3D91"/>
          <w:sz w:val="17"/>
        </w:rPr>
        <w:t>Q1. Que présente la section « DBSPE — Mission, engagements et collaboration » ?</w:t>
      </w:r>
    </w:p>
    <w:p>
      <w:pPr>
        <w:pStyle w:val="Normal"/>
        <w:spacing w:before="0" w:after="40"/>
        <w:ind w:start="255" w:end="85"/>
        <w:rPr/>
      </w:pPr>
      <w:r>
        <w:rPr>
          <w:b/>
          <w:color w:val="D4A017"/>
          <w:sz w:val="17"/>
        </w:rPr>
        <w:t xml:space="preserve">Réponse : </w:t>
      </w:r>
      <w:r>
        <w:rPr>
          <w:color w:val="1F2937"/>
          <w:sz w:val="17"/>
        </w:rPr>
        <w:t>Le DBSPE coordonne l’environnement protecteur, le bien-être, la prévention des violences, les voies de signalement et l’accompagnement approprié.</w:t>
      </w:r>
    </w:p>
    <w:p>
      <w:pPr>
        <w:pStyle w:val="Normal"/>
        <w:keepNext w:val="true"/>
        <w:spacing w:before="40" w:after="0"/>
        <w:ind w:start="85" w:end="85"/>
        <w:rPr/>
      </w:pPr>
      <w:r>
        <w:rPr>
          <w:b/>
          <w:color w:val="0B3D91"/>
          <w:sz w:val="17"/>
        </w:rPr>
        <w:t>Q2. Quel est l’objectif principal exposé dans « DBSPE — Mission, engagements et collaboration » ?</w:t>
      </w:r>
    </w:p>
    <w:p>
      <w:pPr>
        <w:pStyle w:val="Normal"/>
        <w:spacing w:before="0" w:after="40"/>
        <w:ind w:start="255" w:end="85"/>
        <w:rPr/>
      </w:pPr>
      <w:r>
        <w:rPr>
          <w:b/>
          <w:color w:val="D4A017"/>
          <w:sz w:val="17"/>
        </w:rPr>
        <w:t xml:space="preserve">Réponse : </w:t>
      </w:r>
      <w:r>
        <w:rPr>
          <w:color w:val="1F2937"/>
          <w:sz w:val="17"/>
        </w:rPr>
        <w:t>Présenter le service qui protège l’enfant et organise l’orientation des situations sensibles.</w:t>
      </w:r>
    </w:p>
    <w:p>
      <w:pPr>
        <w:pStyle w:val="Normal"/>
        <w:keepNext w:val="true"/>
        <w:spacing w:before="40" w:after="0"/>
        <w:ind w:start="85" w:end="85"/>
        <w:rPr/>
      </w:pPr>
      <w:r>
        <w:rPr>
          <w:b/>
          <w:color w:val="0B3D91"/>
          <w:sz w:val="17"/>
        </w:rPr>
        <w:t>Q3. Quels éléments ou domaines sont couverts par « DBSPE — Mission, engagements et collaboration » ?</w:t>
      </w:r>
    </w:p>
    <w:p>
      <w:pPr>
        <w:pStyle w:val="Normal"/>
        <w:spacing w:before="0" w:after="40"/>
        <w:ind w:start="255" w:end="85"/>
        <w:rPr/>
      </w:pPr>
      <w:r>
        <w:rPr>
          <w:b/>
          <w:color w:val="D4A017"/>
          <w:sz w:val="17"/>
        </w:rPr>
        <w:t xml:space="preserve">Réponse : </w:t>
      </w:r>
      <w:r>
        <w:rPr>
          <w:color w:val="1F2937"/>
          <w:sz w:val="17"/>
        </w:rPr>
        <w:t>Canaux confidentiels, discipline positive, adultes de confiance, urgences, besoin de savoir et sécurité numérique.</w:t>
      </w:r>
    </w:p>
    <w:p>
      <w:pPr>
        <w:pStyle w:val="Normal"/>
        <w:keepNext w:val="true"/>
        <w:spacing w:before="40" w:after="0"/>
        <w:ind w:start="85" w:end="85"/>
        <w:rPr/>
      </w:pPr>
      <w:r>
        <w:rPr>
          <w:b/>
          <w:color w:val="0B3D91"/>
          <w:sz w:val="17"/>
        </w:rPr>
        <w:t>Q4. Qui porte, coordonne ou garantit les éléments présentés dans « DBSPE — Mission, engagements et collaboration » ?</w:t>
      </w:r>
    </w:p>
    <w:p>
      <w:pPr>
        <w:pStyle w:val="Normal"/>
        <w:spacing w:before="0" w:after="40"/>
        <w:ind w:start="255" w:end="85"/>
        <w:rPr/>
      </w:pPr>
      <w:r>
        <w:rPr>
          <w:b/>
          <w:color w:val="D4A017"/>
          <w:sz w:val="17"/>
        </w:rPr>
        <w:t xml:space="preserve">Réponse : </w:t>
      </w:r>
      <w:r>
        <w:rPr>
          <w:color w:val="1F2937"/>
          <w:sz w:val="17"/>
        </w:rPr>
        <w:t>Le DBSPE avec les personnes habilitées et les services spécialisés.</w:t>
      </w:r>
    </w:p>
    <w:p>
      <w:pPr>
        <w:pStyle w:val="Normal"/>
        <w:keepNext w:val="true"/>
        <w:spacing w:before="40" w:after="0"/>
        <w:ind w:start="85" w:end="85"/>
        <w:rPr/>
      </w:pPr>
      <w:r>
        <w:rPr>
          <w:b/>
          <w:color w:val="0B3D91"/>
          <w:sz w:val="17"/>
        </w:rPr>
        <w:t>Q5. Comment la section « DBSPE — Mission, engagements et collaboration » prévoit-elle la mise en œuvre ou le suivi ?</w:t>
      </w:r>
    </w:p>
    <w:p>
      <w:pPr>
        <w:pStyle w:val="Normal"/>
        <w:spacing w:before="0" w:after="40"/>
        <w:ind w:start="255" w:end="85"/>
        <w:rPr/>
      </w:pPr>
      <w:r>
        <w:rPr>
          <w:b/>
          <w:color w:val="D4A017"/>
          <w:sz w:val="17"/>
        </w:rPr>
        <w:t xml:space="preserve">Réponse : </w:t>
      </w:r>
      <w:r>
        <w:rPr>
          <w:color w:val="1F2937"/>
          <w:sz w:val="17"/>
        </w:rPr>
        <w:t>Les signalements sont reçus, orientés et traités proportionnellement dans des circuits sécurisés.</w:t>
      </w:r>
    </w:p>
    <w:p>
      <w:pPr>
        <w:pStyle w:val="Normal"/>
        <w:keepNext w:val="true"/>
        <w:spacing w:before="40" w:after="0"/>
        <w:ind w:start="85" w:end="85"/>
        <w:rPr/>
      </w:pPr>
      <w:r>
        <w:rPr>
          <w:b/>
          <w:color w:val="0B3D91"/>
          <w:sz w:val="17"/>
        </w:rPr>
        <w:t>Q6. Quelle preuve, référence, règle ou information de statut accompagne « DBSPE — Mission, engagements et collaboration » ?</w:t>
      </w:r>
    </w:p>
    <w:p>
      <w:pPr>
        <w:pStyle w:val="Normal"/>
        <w:spacing w:before="0" w:after="40"/>
        <w:ind w:start="255" w:end="85"/>
        <w:rPr/>
      </w:pPr>
      <w:r>
        <w:rPr>
          <w:b/>
          <w:color w:val="D4A017"/>
          <w:sz w:val="17"/>
        </w:rPr>
        <w:t xml:space="preserve">Réponse : </w:t>
      </w:r>
      <w:r>
        <w:rPr>
          <w:color w:val="1F2937"/>
          <w:sz w:val="17"/>
        </w:rPr>
        <w:t>Les canaux de signalement et traces de suivi documentent la prise en charge.</w:t>
      </w:r>
    </w:p>
    <w:p>
      <w:pPr>
        <w:pStyle w:val="Normal"/>
        <w:keepNext w:val="true"/>
        <w:spacing w:before="40" w:after="0"/>
        <w:ind w:start="85" w:end="85"/>
        <w:rPr/>
      </w:pPr>
      <w:r>
        <w:rPr>
          <w:b/>
          <w:color w:val="0B3D91"/>
          <w:sz w:val="17"/>
        </w:rPr>
        <w:t>Q7. Quelles limites de diffusion, de décision ou d’accès sont précisées pour « DBSPE — Mission, engagements et collaboration » ?</w:t>
      </w:r>
    </w:p>
    <w:p>
      <w:pPr>
        <w:pStyle w:val="Normal"/>
        <w:spacing w:before="0" w:after="40"/>
        <w:ind w:start="255" w:end="85"/>
        <w:rPr/>
      </w:pPr>
      <w:r>
        <w:rPr>
          <w:b/>
          <w:color w:val="D4A017"/>
          <w:sz w:val="17"/>
        </w:rPr>
        <w:t xml:space="preserve">Réponse : </w:t>
      </w:r>
      <w:r>
        <w:rPr>
          <w:color w:val="1F2937"/>
          <w:sz w:val="17"/>
        </w:rPr>
        <w:t>ÉMINA peut aider à formuler un signalement factuel mais n’enquête pas et ne clôture jamais seule un incident.</w:t>
      </w:r>
    </w:p>
    <w:p>
      <w:pPr>
        <w:pStyle w:val="Normal"/>
        <w:keepNext w:val="true"/>
        <w:spacing w:before="40" w:after="0"/>
        <w:ind w:start="85" w:end="85"/>
        <w:rPr/>
      </w:pPr>
      <w:r>
        <w:rPr>
          <w:b/>
          <w:color w:val="0B3D91"/>
          <w:sz w:val="17"/>
        </w:rPr>
        <w:t>Q8. À quels publics ou bénéficiaires la section « DBSPE — Mission, engagements et collaboration » est-elle principalement destinée ?</w:t>
      </w:r>
    </w:p>
    <w:p>
      <w:pPr>
        <w:pStyle w:val="Normal"/>
        <w:spacing w:before="0" w:after="40"/>
        <w:ind w:start="255" w:end="85"/>
        <w:rPr/>
      </w:pPr>
      <w:r>
        <w:rPr>
          <w:b/>
          <w:color w:val="D4A017"/>
          <w:sz w:val="17"/>
        </w:rPr>
        <w:t xml:space="preserve">Réponse : </w:t>
      </w:r>
      <w:r>
        <w:rPr>
          <w:color w:val="1F2937"/>
          <w:sz w:val="17"/>
        </w:rPr>
        <w:t>Enfants, familles, personnel et toute personne témoin ou concernée.</w:t>
      </w:r>
    </w:p>
    <w:p>
      <w:pPr>
        <w:pStyle w:val="Normal"/>
        <w:keepNext w:val="true"/>
        <w:spacing w:before="40" w:after="0"/>
        <w:ind w:start="85" w:end="85"/>
        <w:rPr/>
      </w:pPr>
      <w:r>
        <w:rPr>
          <w:b/>
          <w:color w:val="0B3D91"/>
          <w:sz w:val="17"/>
        </w:rPr>
        <w:t>Q9. À quelles autres rubriques ou fonctions du site « DBSPE — Mission, engagements et collaboration » est-il relié ?</w:t>
      </w:r>
    </w:p>
    <w:p>
      <w:pPr>
        <w:pStyle w:val="Normal"/>
        <w:spacing w:before="0" w:after="40"/>
        <w:ind w:start="255" w:end="85"/>
        <w:rPr/>
      </w:pPr>
      <w:r>
        <w:rPr>
          <w:b/>
          <w:color w:val="D4A017"/>
          <w:sz w:val="17"/>
        </w:rPr>
        <w:t xml:space="preserve">Réponse : </w:t>
      </w:r>
      <w:r>
        <w:rPr>
          <w:color w:val="1F2937"/>
          <w:sz w:val="17"/>
        </w:rPr>
        <w:t>Lien avec Vie scolaire, Santé, DSI, DRH-GP, DAQAC et Contact.</w:t>
      </w:r>
    </w:p>
    <w:p>
      <w:pPr>
        <w:pStyle w:val="Normal"/>
        <w:keepNext w:val="true"/>
        <w:spacing w:before="40" w:after="0"/>
        <w:ind w:start="85" w:end="85"/>
        <w:rPr/>
      </w:pPr>
      <w:r>
        <w:rPr>
          <w:b/>
          <w:color w:val="0B3D91"/>
          <w:sz w:val="17"/>
        </w:rPr>
        <w:t>Q10. Quelle action, orientation ou résultat concret le lecteur peut-il retenir de « DBSPE — Mission, engagements et collaboration » ?</w:t>
      </w:r>
    </w:p>
    <w:p>
      <w:pPr>
        <w:pStyle w:val="Normal"/>
        <w:spacing w:before="0" w:after="40"/>
        <w:ind w:start="255" w:end="85"/>
        <w:rPr/>
      </w:pPr>
      <w:r>
        <w:rPr>
          <w:b/>
          <w:color w:val="D4A017"/>
          <w:sz w:val="17"/>
        </w:rPr>
        <w:t xml:space="preserve">Réponse : </w:t>
      </w:r>
      <w:r>
        <w:rPr>
          <w:color w:val="1F2937"/>
          <w:sz w:val="17"/>
        </w:rPr>
        <w:t>Utiliser un canal confidentiel et demander une intervention humaine habilitée.</w:t>
      </w:r>
    </w:p>
    <w:p>
      <w:pPr>
        <w:pStyle w:val="Normal"/>
        <w:rPr/>
      </w:pPr>
      <w:r>
        <w:rPr/>
      </w:r>
      <w:r>
        <w:br w:type="page"/>
      </w:r>
    </w:p>
    <w:p>
      <w:pPr>
        <w:pStyle w:val="Heading2"/>
        <w:spacing w:before="0" w:after="80"/>
        <w:rPr/>
      </w:pPr>
      <w:r>
        <w:rPr/>
        <w:t>FICHE 46 — DAACIP — Mission, engagements et collaboration</w:t>
      </w:r>
    </w:p>
    <w:p>
      <w:pPr>
        <w:pStyle w:val="Normal"/>
        <w:spacing w:before="40" w:after="100"/>
        <w:rPr/>
      </w:pPr>
      <w:r>
        <w:rPr>
          <w:b/>
          <w:color w:val="0B3D91"/>
          <w:sz w:val="16"/>
        </w:rPr>
        <w:t xml:space="preserve">Source contrôlée : </w:t>
      </w:r>
      <w:r>
        <w:rPr>
          <w:color w:val="555555"/>
          <w:sz w:val="16"/>
        </w:rPr>
        <w:t>Pages détaillées des départements — https://test.gsleseminents.com/affaires-academiques-innovation/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DAACIP garantit l’alignement au curriculum national, la progression bilingue, la qualité des évaluations, le suivi des apprentissages et l’innovation adaptée.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expose les trois axes : affaires académiques, curriculum et innovation.</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 pilotage cohérent garantit la qualité et l’équité des apprentissages.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évaluations, progression bilingue et accompagnement des enseignants.</w:t>
            </w:r>
          </w:p>
        </w:tc>
      </w:tr>
    </w:tbl>
    <w:p>
      <w:pPr>
        <w:pStyle w:val="Heading3"/>
        <w:rPr/>
      </w:pPr>
      <w:r>
        <w:rPr/>
        <w:t>Points développés</w:t>
      </w:r>
    </w:p>
    <w:p>
      <w:pPr>
        <w:pStyle w:val="ListBullet"/>
        <w:numPr>
          <w:ilvl w:val="0"/>
          <w:numId w:val="1"/>
        </w:numPr>
        <w:spacing w:before="0" w:after="20"/>
        <w:ind w:hanging="360" w:start="255"/>
        <w:contextualSpacing/>
        <w:rPr/>
      </w:pPr>
      <w:r>
        <w:rPr>
          <w:sz w:val="18"/>
        </w:rPr>
        <w:t>Socle national</w:t>
      </w:r>
    </w:p>
    <w:p>
      <w:pPr>
        <w:pStyle w:val="ListBullet"/>
        <w:numPr>
          <w:ilvl w:val="0"/>
          <w:numId w:val="1"/>
        </w:numPr>
        <w:spacing w:before="0" w:after="20"/>
        <w:ind w:hanging="360" w:start="255"/>
        <w:contextualSpacing/>
        <w:rPr/>
      </w:pPr>
      <w:r>
        <w:rPr>
          <w:sz w:val="18"/>
        </w:rPr>
        <w:t>Progressions alignées</w:t>
      </w:r>
    </w:p>
    <w:p>
      <w:pPr>
        <w:pStyle w:val="ListBullet"/>
        <w:numPr>
          <w:ilvl w:val="0"/>
          <w:numId w:val="1"/>
        </w:numPr>
        <w:spacing w:before="0" w:after="20"/>
        <w:ind w:hanging="360" w:start="255"/>
        <w:contextualSpacing/>
        <w:rPr/>
      </w:pPr>
      <w:r>
        <w:rPr>
          <w:sz w:val="18"/>
        </w:rPr>
        <w:t>Évaluations rigoureuses</w:t>
      </w:r>
    </w:p>
    <w:p>
      <w:pPr>
        <w:pStyle w:val="ListBullet"/>
        <w:numPr>
          <w:ilvl w:val="0"/>
          <w:numId w:val="1"/>
        </w:numPr>
        <w:spacing w:before="0" w:after="20"/>
        <w:ind w:hanging="360" w:start="255"/>
        <w:contextualSpacing/>
        <w:rPr/>
      </w:pPr>
      <w:r>
        <w:rPr>
          <w:sz w:val="18"/>
        </w:rPr>
        <w:t>Suivi individualisé</w:t>
      </w:r>
    </w:p>
    <w:p>
      <w:pPr>
        <w:pStyle w:val="ListBullet"/>
        <w:numPr>
          <w:ilvl w:val="0"/>
          <w:numId w:val="1"/>
        </w:numPr>
        <w:spacing w:before="0" w:after="20"/>
        <w:ind w:hanging="360" w:start="255"/>
        <w:contextualSpacing/>
        <w:rPr/>
      </w:pPr>
      <w:r>
        <w:rPr>
          <w:sz w:val="18"/>
        </w:rPr>
        <w:t>Adaptations documentées</w:t>
      </w:r>
    </w:p>
    <w:p>
      <w:pPr>
        <w:pStyle w:val="ListBullet"/>
        <w:numPr>
          <w:ilvl w:val="0"/>
          <w:numId w:val="1"/>
        </w:numPr>
        <w:spacing w:before="0" w:after="20"/>
        <w:ind w:hanging="360" w:start="255"/>
        <w:contextualSpacing/>
        <w:rPr/>
      </w:pPr>
      <w:r>
        <w:rPr>
          <w:sz w:val="18"/>
        </w:rPr>
        <w:t>Décisions humaines</w:t>
      </w:r>
    </w:p>
    <w:p>
      <w:pPr>
        <w:pStyle w:val="Heading3"/>
        <w:rPr/>
      </w:pPr>
      <w:r>
        <w:rPr/>
        <w:t>Banque de questions-réponses</w:t>
      </w:r>
    </w:p>
    <w:p>
      <w:pPr>
        <w:pStyle w:val="Normal"/>
        <w:keepNext w:val="true"/>
        <w:spacing w:before="40" w:after="0"/>
        <w:ind w:start="85" w:end="85"/>
        <w:rPr/>
      </w:pPr>
      <w:r>
        <w:rPr>
          <w:b/>
          <w:color w:val="0B3D91"/>
          <w:sz w:val="17"/>
        </w:rPr>
        <w:t>Q1. Que présente la section « DAACIP — Mission, engagements et collaboration » ?</w:t>
      </w:r>
    </w:p>
    <w:p>
      <w:pPr>
        <w:pStyle w:val="Normal"/>
        <w:spacing w:before="0" w:after="40"/>
        <w:ind w:start="255" w:end="85"/>
        <w:rPr/>
      </w:pPr>
      <w:r>
        <w:rPr>
          <w:b/>
          <w:color w:val="D4A017"/>
          <w:sz w:val="17"/>
        </w:rPr>
        <w:t xml:space="preserve">Réponse : </w:t>
      </w:r>
      <w:r>
        <w:rPr>
          <w:color w:val="1F2937"/>
          <w:sz w:val="17"/>
        </w:rPr>
        <w:t>Le DAACIP garantit l’alignement au curriculum national, la progression bilingue, la qualité des évaluations, le suivi des apprentissages et l’innovation adaptée.</w:t>
      </w:r>
    </w:p>
    <w:p>
      <w:pPr>
        <w:pStyle w:val="Normal"/>
        <w:keepNext w:val="true"/>
        <w:spacing w:before="40" w:after="0"/>
        <w:ind w:start="85" w:end="85"/>
        <w:rPr/>
      </w:pPr>
      <w:r>
        <w:rPr>
          <w:b/>
          <w:color w:val="0B3D91"/>
          <w:sz w:val="17"/>
        </w:rPr>
        <w:t>Q2. Quel est l’objectif principal exposé dans « DAACIP — Mission, engagements et collaboration » ?</w:t>
      </w:r>
    </w:p>
    <w:p>
      <w:pPr>
        <w:pStyle w:val="Normal"/>
        <w:spacing w:before="0" w:after="40"/>
        <w:ind w:start="255" w:end="85"/>
        <w:rPr/>
      </w:pPr>
      <w:r>
        <w:rPr>
          <w:b/>
          <w:color w:val="D4A017"/>
          <w:sz w:val="17"/>
        </w:rPr>
        <w:t xml:space="preserve">Réponse : </w:t>
      </w:r>
      <w:r>
        <w:rPr>
          <w:color w:val="1F2937"/>
          <w:sz w:val="17"/>
        </w:rPr>
        <w:t>Présenter le pilotage pédagogique du GSE.</w:t>
      </w:r>
    </w:p>
    <w:p>
      <w:pPr>
        <w:pStyle w:val="Normal"/>
        <w:keepNext w:val="true"/>
        <w:spacing w:before="40" w:after="0"/>
        <w:ind w:start="85" w:end="85"/>
        <w:rPr/>
      </w:pPr>
      <w:r>
        <w:rPr>
          <w:b/>
          <w:color w:val="0B3D91"/>
          <w:sz w:val="17"/>
        </w:rPr>
        <w:t>Q3. Quels éléments ou domaines sont couverts par « DAACIP — Mission, engagements et collaboration » ?</w:t>
      </w:r>
    </w:p>
    <w:p>
      <w:pPr>
        <w:pStyle w:val="Normal"/>
        <w:spacing w:before="0" w:after="40"/>
        <w:ind w:start="255" w:end="85"/>
        <w:rPr/>
      </w:pPr>
      <w:r>
        <w:rPr>
          <w:b/>
          <w:color w:val="D4A017"/>
          <w:sz w:val="17"/>
        </w:rPr>
        <w:t xml:space="preserve">Réponse : </w:t>
      </w:r>
      <w:r>
        <w:rPr>
          <w:color w:val="1F2937"/>
          <w:sz w:val="17"/>
        </w:rPr>
        <w:t>Curriculum national, progressions, évaluations, suivi individualisé, adaptations et innovation.</w:t>
      </w:r>
    </w:p>
    <w:p>
      <w:pPr>
        <w:pStyle w:val="Normal"/>
        <w:keepNext w:val="true"/>
        <w:spacing w:before="40" w:after="0"/>
        <w:ind w:start="85" w:end="85"/>
        <w:rPr/>
      </w:pPr>
      <w:r>
        <w:rPr>
          <w:b/>
          <w:color w:val="0B3D91"/>
          <w:sz w:val="17"/>
        </w:rPr>
        <w:t>Q4. Qui porte, coordonne ou garantit les éléments présentés dans « DAACIP — Mission, engagements et collaboration » ?</w:t>
      </w:r>
    </w:p>
    <w:p>
      <w:pPr>
        <w:pStyle w:val="Normal"/>
        <w:spacing w:before="0" w:after="40"/>
        <w:ind w:start="255" w:end="85"/>
        <w:rPr/>
      </w:pPr>
      <w:r>
        <w:rPr>
          <w:b/>
          <w:color w:val="D4A017"/>
          <w:sz w:val="17"/>
        </w:rPr>
        <w:t xml:space="preserve">Réponse : </w:t>
      </w:r>
      <w:r>
        <w:rPr>
          <w:color w:val="1F2937"/>
          <w:sz w:val="17"/>
        </w:rPr>
        <w:t>Le DAACIP en collaboration avec enseignants, Direction, DAQAC et familles.</w:t>
      </w:r>
    </w:p>
    <w:p>
      <w:pPr>
        <w:pStyle w:val="Normal"/>
        <w:keepNext w:val="true"/>
        <w:spacing w:before="40" w:after="0"/>
        <w:ind w:start="85" w:end="85"/>
        <w:rPr/>
      </w:pPr>
      <w:r>
        <w:rPr>
          <w:b/>
          <w:color w:val="0B3D91"/>
          <w:sz w:val="17"/>
        </w:rPr>
        <w:t>Q5. Comment la section « DAACIP — Mission, engagements et collaboration » prévoit-elle la mise en œuvre ou le suivi ?</w:t>
      </w:r>
    </w:p>
    <w:p>
      <w:pPr>
        <w:pStyle w:val="Normal"/>
        <w:spacing w:before="0" w:after="40"/>
        <w:ind w:start="255" w:end="85"/>
        <w:rPr/>
      </w:pPr>
      <w:r>
        <w:rPr>
          <w:b/>
          <w:color w:val="D4A017"/>
          <w:sz w:val="17"/>
        </w:rPr>
        <w:t xml:space="preserve">Réponse : </w:t>
      </w:r>
      <w:r>
        <w:rPr>
          <w:color w:val="1F2937"/>
          <w:sz w:val="17"/>
        </w:rPr>
        <w:t>Il aligne les progressions, valide les évaluations et documente le suivi des apprentissages.</w:t>
      </w:r>
    </w:p>
    <w:p>
      <w:pPr>
        <w:pStyle w:val="Normal"/>
        <w:keepNext w:val="true"/>
        <w:spacing w:before="40" w:after="0"/>
        <w:ind w:start="85" w:end="85"/>
        <w:rPr/>
      </w:pPr>
      <w:r>
        <w:rPr>
          <w:b/>
          <w:color w:val="0B3D91"/>
          <w:sz w:val="17"/>
        </w:rPr>
        <w:t>Q6. Quelle preuve, référence, règle ou information de statut accompagne « DAACIP — Mission, engagements et collaboration » ?</w:t>
      </w:r>
    </w:p>
    <w:p>
      <w:pPr>
        <w:pStyle w:val="Normal"/>
        <w:spacing w:before="0" w:after="40"/>
        <w:ind w:start="255" w:end="85"/>
        <w:rPr/>
      </w:pPr>
      <w:r>
        <w:rPr>
          <w:b/>
          <w:color w:val="D4A017"/>
          <w:sz w:val="17"/>
        </w:rPr>
        <w:t xml:space="preserve">Réponse : </w:t>
      </w:r>
      <w:r>
        <w:rPr>
          <w:color w:val="1F2937"/>
          <w:sz w:val="17"/>
        </w:rPr>
        <w:t>Progressions, évaluations analysées et dossiers de suivi documentent le pilotage.</w:t>
      </w:r>
    </w:p>
    <w:p>
      <w:pPr>
        <w:pStyle w:val="Normal"/>
        <w:keepNext w:val="true"/>
        <w:spacing w:before="40" w:after="0"/>
        <w:ind w:start="85" w:end="85"/>
        <w:rPr/>
      </w:pPr>
      <w:r>
        <w:rPr>
          <w:b/>
          <w:color w:val="0B3D91"/>
          <w:sz w:val="17"/>
        </w:rPr>
        <w:t>Q7. Quelles limites de diffusion, de décision ou d’accès sont précisées pour « DAACIP — Mission, engagements et collaboration » ?</w:t>
      </w:r>
    </w:p>
    <w:p>
      <w:pPr>
        <w:pStyle w:val="Normal"/>
        <w:spacing w:before="0" w:after="40"/>
        <w:ind w:start="255" w:end="85"/>
        <w:rPr/>
      </w:pPr>
      <w:r>
        <w:rPr>
          <w:b/>
          <w:color w:val="D4A017"/>
          <w:sz w:val="17"/>
        </w:rPr>
        <w:t xml:space="preserve">Réponse : </w:t>
      </w:r>
      <w:r>
        <w:rPr>
          <w:color w:val="1F2937"/>
          <w:sz w:val="17"/>
        </w:rPr>
        <w:t>ÉMINA peut expliquer ou retrouver une référence, mais les décisions de notes, promotion ou redoublement restent humaines.</w:t>
      </w:r>
    </w:p>
    <w:p>
      <w:pPr>
        <w:pStyle w:val="Normal"/>
        <w:keepNext w:val="true"/>
        <w:spacing w:before="40" w:after="0"/>
        <w:ind w:start="85" w:end="85"/>
        <w:rPr/>
      </w:pPr>
      <w:r>
        <w:rPr>
          <w:b/>
          <w:color w:val="0B3D91"/>
          <w:sz w:val="17"/>
        </w:rPr>
        <w:t>Q8. À quels publics ou bénéficiaires la section « DAACIP — Mission, engagements et collaboration » est-elle principalement destinée ?</w:t>
      </w:r>
    </w:p>
    <w:p>
      <w:pPr>
        <w:pStyle w:val="Normal"/>
        <w:spacing w:before="0" w:after="40"/>
        <w:ind w:start="255" w:end="85"/>
        <w:rPr/>
      </w:pPr>
      <w:r>
        <w:rPr>
          <w:b/>
          <w:color w:val="D4A017"/>
          <w:sz w:val="17"/>
        </w:rPr>
        <w:t xml:space="preserve">Réponse : </w:t>
      </w:r>
      <w:r>
        <w:rPr>
          <w:color w:val="1F2937"/>
          <w:sz w:val="17"/>
        </w:rPr>
        <w:t>Élèves, enseignants et familles.</w:t>
      </w:r>
    </w:p>
    <w:p>
      <w:pPr>
        <w:pStyle w:val="Normal"/>
        <w:keepNext w:val="true"/>
        <w:spacing w:before="40" w:after="0"/>
        <w:ind w:start="85" w:end="85"/>
        <w:rPr/>
      </w:pPr>
      <w:r>
        <w:rPr>
          <w:b/>
          <w:color w:val="0B3D91"/>
          <w:sz w:val="17"/>
        </w:rPr>
        <w:t>Q9. À quelles autres rubriques ou fonctions du site « DAACIP — Mission, engagements et collaboration » est-il relié ?</w:t>
      </w:r>
    </w:p>
    <w:p>
      <w:pPr>
        <w:pStyle w:val="Normal"/>
        <w:spacing w:before="0" w:after="40"/>
        <w:ind w:start="255" w:end="85"/>
        <w:rPr/>
      </w:pPr>
      <w:r>
        <w:rPr>
          <w:b/>
          <w:color w:val="D4A017"/>
          <w:sz w:val="17"/>
        </w:rPr>
        <w:t xml:space="preserve">Réponse : </w:t>
      </w:r>
      <w:r>
        <w:rPr>
          <w:color w:val="1F2937"/>
          <w:sz w:val="17"/>
        </w:rPr>
        <w:t>Lien avec Programmes, Bilinguisme, DAQAC, DRH-GP et ÉMINA.</w:t>
      </w:r>
    </w:p>
    <w:p>
      <w:pPr>
        <w:pStyle w:val="Normal"/>
        <w:keepNext w:val="true"/>
        <w:spacing w:before="40" w:after="0"/>
        <w:ind w:start="85" w:end="85"/>
        <w:rPr/>
      </w:pPr>
      <w:r>
        <w:rPr>
          <w:b/>
          <w:color w:val="0B3D91"/>
          <w:sz w:val="17"/>
        </w:rPr>
        <w:t>Q10. Quelle action, orientation ou résultat concret le lecteur peut-il retenir de « DAACIP — Mission, engagements et collaboration » ?</w:t>
      </w:r>
    </w:p>
    <w:p>
      <w:pPr>
        <w:pStyle w:val="Normal"/>
        <w:spacing w:before="0" w:after="40"/>
        <w:ind w:start="255" w:end="85"/>
        <w:rPr/>
      </w:pPr>
      <w:r>
        <w:rPr>
          <w:b/>
          <w:color w:val="D4A017"/>
          <w:sz w:val="17"/>
        </w:rPr>
        <w:t xml:space="preserve">Réponse : </w:t>
      </w:r>
      <w:r>
        <w:rPr>
          <w:color w:val="1F2937"/>
          <w:sz w:val="17"/>
        </w:rPr>
        <w:t>Consulter les programmes et s’adresser aux responsables pour toute décision pédagogique individuelle.</w:t>
      </w:r>
    </w:p>
    <w:p>
      <w:pPr>
        <w:pStyle w:val="Normal"/>
        <w:rPr/>
      </w:pPr>
      <w:r>
        <w:rPr/>
      </w:r>
      <w:r>
        <w:br w:type="page"/>
      </w:r>
    </w:p>
    <w:p>
      <w:pPr>
        <w:pStyle w:val="Heading2"/>
        <w:spacing w:before="0" w:after="80"/>
        <w:rPr/>
      </w:pPr>
      <w:r>
        <w:rPr/>
        <w:t>FICHE 47 — DLMT — Mission, engagements et collaboration</w:t>
      </w:r>
    </w:p>
    <w:p>
      <w:pPr>
        <w:pStyle w:val="Normal"/>
        <w:spacing w:before="40" w:after="100"/>
        <w:rPr/>
      </w:pPr>
      <w:r>
        <w:rPr>
          <w:b/>
          <w:color w:val="0B3D91"/>
          <w:sz w:val="16"/>
        </w:rPr>
        <w:t xml:space="preserve">Source contrôlée : </w:t>
      </w:r>
      <w:r>
        <w:rPr>
          <w:color w:val="555555"/>
          <w:sz w:val="16"/>
        </w:rPr>
        <w:t>Pages détaillées des départements — https://test.gsleseminents.com/logistique-maintenance-transport/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DLMT organise les actifs, bâtiments, stocks, maintenance préventive et préparation sécurisée des déplacements occasionnels.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regroupe les ressources, leur entretien et les déplacements.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logistique maîtrisée protège les personnes et assure la continuité des activités.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hygiène, sécurité, stocks et sorties scolaires.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Registre des actifs</w:t>
      </w:r>
    </w:p>
    <w:p>
      <w:pPr>
        <w:pStyle w:val="ListBullet"/>
        <w:numPr>
          <w:ilvl w:val="0"/>
          <w:numId w:val="1"/>
        </w:numPr>
        <w:spacing w:before="0" w:after="20"/>
        <w:ind w:hanging="360" w:start="255"/>
        <w:contextualSpacing/>
        <w:rPr/>
      </w:pPr>
      <w:r>
        <w:rPr>
          <w:sz w:val="18"/>
        </w:rPr>
        <w:t>Maintenance préventive</w:t>
      </w:r>
    </w:p>
    <w:p>
      <w:pPr>
        <w:pStyle w:val="ListBullet"/>
        <w:numPr>
          <w:ilvl w:val="0"/>
          <w:numId w:val="1"/>
        </w:numPr>
        <w:spacing w:before="0" w:after="20"/>
        <w:ind w:hanging="360" w:start="255"/>
        <w:contextualSpacing/>
        <w:rPr/>
      </w:pPr>
      <w:r>
        <w:rPr>
          <w:sz w:val="18"/>
        </w:rPr>
        <w:t>Seuils de stock</w:t>
      </w:r>
    </w:p>
    <w:p>
      <w:pPr>
        <w:pStyle w:val="ListBullet"/>
        <w:numPr>
          <w:ilvl w:val="0"/>
          <w:numId w:val="1"/>
        </w:numPr>
        <w:spacing w:before="0" w:after="20"/>
        <w:ind w:hanging="360" w:start="255"/>
        <w:contextualSpacing/>
        <w:rPr/>
      </w:pPr>
      <w:r>
        <w:rPr>
          <w:sz w:val="18"/>
        </w:rPr>
        <w:t>Sorties documentées</w:t>
      </w:r>
    </w:p>
    <w:p>
      <w:pPr>
        <w:pStyle w:val="ListBullet"/>
        <w:numPr>
          <w:ilvl w:val="0"/>
          <w:numId w:val="1"/>
        </w:numPr>
        <w:spacing w:before="0" w:after="20"/>
        <w:ind w:hanging="360" w:start="255"/>
        <w:contextualSpacing/>
        <w:rPr/>
      </w:pPr>
      <w:r>
        <w:rPr>
          <w:sz w:val="18"/>
        </w:rPr>
        <w:t>Pas de bus régulier annoncé</w:t>
      </w:r>
    </w:p>
    <w:p>
      <w:pPr>
        <w:pStyle w:val="Heading3"/>
        <w:rPr/>
      </w:pPr>
      <w:r>
        <w:rPr/>
        <w:t>Banque de questions-réponses</w:t>
      </w:r>
    </w:p>
    <w:p>
      <w:pPr>
        <w:pStyle w:val="Normal"/>
        <w:keepNext w:val="true"/>
        <w:spacing w:before="40" w:after="0"/>
        <w:ind w:start="85" w:end="85"/>
        <w:rPr/>
      </w:pPr>
      <w:r>
        <w:rPr>
          <w:b/>
          <w:color w:val="0B3D91"/>
          <w:sz w:val="17"/>
        </w:rPr>
        <w:t>Q1. Que présente la section « DLMT — Mission, engagements et collaboration » ?</w:t>
      </w:r>
    </w:p>
    <w:p>
      <w:pPr>
        <w:pStyle w:val="Normal"/>
        <w:spacing w:before="0" w:after="40"/>
        <w:ind w:start="255" w:end="85"/>
        <w:rPr/>
      </w:pPr>
      <w:r>
        <w:rPr>
          <w:b/>
          <w:color w:val="D4A017"/>
          <w:sz w:val="17"/>
        </w:rPr>
        <w:t xml:space="preserve">Réponse : </w:t>
      </w:r>
      <w:r>
        <w:rPr>
          <w:color w:val="1F2937"/>
          <w:sz w:val="17"/>
        </w:rPr>
        <w:t>Le DLMT organise les actifs, bâtiments, stocks, maintenance préventive et préparation sécurisée des déplacements occasionnels.</w:t>
      </w:r>
    </w:p>
    <w:p>
      <w:pPr>
        <w:pStyle w:val="Normal"/>
        <w:keepNext w:val="true"/>
        <w:spacing w:before="40" w:after="0"/>
        <w:ind w:start="85" w:end="85"/>
        <w:rPr/>
      </w:pPr>
      <w:r>
        <w:rPr>
          <w:b/>
          <w:color w:val="0B3D91"/>
          <w:sz w:val="17"/>
        </w:rPr>
        <w:t>Q2. Quel est l’objectif principal exposé dans « DLMT — Mission, engagements et collaboration » ?</w:t>
      </w:r>
    </w:p>
    <w:p>
      <w:pPr>
        <w:pStyle w:val="Normal"/>
        <w:spacing w:before="0" w:after="40"/>
        <w:ind w:start="255" w:end="85"/>
        <w:rPr/>
      </w:pPr>
      <w:r>
        <w:rPr>
          <w:b/>
          <w:color w:val="D4A017"/>
          <w:sz w:val="17"/>
        </w:rPr>
        <w:t xml:space="preserve">Réponse : </w:t>
      </w:r>
      <w:r>
        <w:rPr>
          <w:color w:val="1F2937"/>
          <w:sz w:val="17"/>
        </w:rPr>
        <w:t>Présenter la gestion des moyens matériels et des installations.</w:t>
      </w:r>
    </w:p>
    <w:p>
      <w:pPr>
        <w:pStyle w:val="Normal"/>
        <w:keepNext w:val="true"/>
        <w:spacing w:before="40" w:after="0"/>
        <w:ind w:start="85" w:end="85"/>
        <w:rPr/>
      </w:pPr>
      <w:r>
        <w:rPr>
          <w:b/>
          <w:color w:val="0B3D91"/>
          <w:sz w:val="17"/>
        </w:rPr>
        <w:t>Q3. Quels éléments ou domaines sont couverts par « DLMT — Mission, engagements et collaboration » ?</w:t>
      </w:r>
    </w:p>
    <w:p>
      <w:pPr>
        <w:pStyle w:val="Normal"/>
        <w:spacing w:before="0" w:after="40"/>
        <w:ind w:start="255" w:end="85"/>
        <w:rPr/>
      </w:pPr>
      <w:r>
        <w:rPr>
          <w:b/>
          <w:color w:val="D4A017"/>
          <w:sz w:val="17"/>
        </w:rPr>
        <w:t xml:space="preserve">Réponse : </w:t>
      </w:r>
      <w:r>
        <w:rPr>
          <w:color w:val="1F2937"/>
          <w:sz w:val="17"/>
        </w:rPr>
        <w:t>Registre des actifs, inspections, maintenance, seuils d’alerte, sorties et transports occasionnels.</w:t>
      </w:r>
    </w:p>
    <w:p>
      <w:pPr>
        <w:pStyle w:val="Normal"/>
        <w:keepNext w:val="true"/>
        <w:spacing w:before="40" w:after="0"/>
        <w:ind w:start="85" w:end="85"/>
        <w:rPr/>
      </w:pPr>
      <w:r>
        <w:rPr>
          <w:b/>
          <w:color w:val="0B3D91"/>
          <w:sz w:val="17"/>
        </w:rPr>
        <w:t>Q4. Qui porte, coordonne ou garantit les éléments présentés dans « DLMT — Mission, engagements et collaboration » ?</w:t>
      </w:r>
    </w:p>
    <w:p>
      <w:pPr>
        <w:pStyle w:val="Normal"/>
        <w:spacing w:before="0" w:after="40"/>
        <w:ind w:start="255" w:end="85"/>
        <w:rPr/>
      </w:pPr>
      <w:r>
        <w:rPr>
          <w:b/>
          <w:color w:val="D4A017"/>
          <w:sz w:val="17"/>
        </w:rPr>
        <w:t xml:space="preserve">Réponse : </w:t>
      </w:r>
      <w:r>
        <w:rPr>
          <w:color w:val="1F2937"/>
          <w:sz w:val="17"/>
        </w:rPr>
        <w:t>Le DLMT avec la Direction et les services utilisateurs.</w:t>
      </w:r>
    </w:p>
    <w:p>
      <w:pPr>
        <w:pStyle w:val="Normal"/>
        <w:keepNext w:val="true"/>
        <w:spacing w:before="40" w:after="0"/>
        <w:ind w:start="85" w:end="85"/>
        <w:rPr/>
      </w:pPr>
      <w:r>
        <w:rPr>
          <w:b/>
          <w:color w:val="0B3D91"/>
          <w:sz w:val="17"/>
        </w:rPr>
        <w:t>Q5. Comment la section « DLMT — Mission, engagements et collaboration » prévoit-elle la mise en œuvre ou le suivi ?</w:t>
      </w:r>
    </w:p>
    <w:p>
      <w:pPr>
        <w:pStyle w:val="Normal"/>
        <w:spacing w:before="0" w:after="40"/>
        <w:ind w:start="255" w:end="85"/>
        <w:rPr/>
      </w:pPr>
      <w:r>
        <w:rPr>
          <w:b/>
          <w:color w:val="D4A017"/>
          <w:sz w:val="17"/>
        </w:rPr>
        <w:t xml:space="preserve">Réponse : </w:t>
      </w:r>
      <w:r>
        <w:rPr>
          <w:color w:val="1F2937"/>
          <w:sz w:val="17"/>
        </w:rPr>
        <w:t>Les équipements sont enregistrés, inspectés et entretenus selon des priorités de sécurité.</w:t>
      </w:r>
    </w:p>
    <w:p>
      <w:pPr>
        <w:pStyle w:val="Normal"/>
        <w:keepNext w:val="true"/>
        <w:spacing w:before="40" w:after="0"/>
        <w:ind w:start="85" w:end="85"/>
        <w:rPr/>
      </w:pPr>
      <w:r>
        <w:rPr>
          <w:b/>
          <w:color w:val="0B3D91"/>
          <w:sz w:val="17"/>
        </w:rPr>
        <w:t>Q6. Quelle preuve, référence, règle ou information de statut accompagne « DLMT — Mission, engagements et collaboration » ?</w:t>
      </w:r>
    </w:p>
    <w:p>
      <w:pPr>
        <w:pStyle w:val="Normal"/>
        <w:spacing w:before="0" w:after="40"/>
        <w:ind w:start="255" w:end="85"/>
        <w:rPr/>
      </w:pPr>
      <w:r>
        <w:rPr>
          <w:b/>
          <w:color w:val="D4A017"/>
          <w:sz w:val="17"/>
        </w:rPr>
        <w:t xml:space="preserve">Réponse : </w:t>
      </w:r>
      <w:r>
        <w:rPr>
          <w:color w:val="1F2937"/>
          <w:sz w:val="17"/>
        </w:rPr>
        <w:t>Codes d’actifs, localisation, état, responsable, plans d’inspection et dossiers de sortie constituent les traces.</w:t>
      </w:r>
    </w:p>
    <w:p>
      <w:pPr>
        <w:pStyle w:val="Normal"/>
        <w:keepNext w:val="true"/>
        <w:spacing w:before="40" w:after="0"/>
        <w:ind w:start="85" w:end="85"/>
        <w:rPr/>
      </w:pPr>
      <w:r>
        <w:rPr>
          <w:b/>
          <w:color w:val="0B3D91"/>
          <w:sz w:val="17"/>
        </w:rPr>
        <w:t>Q7. Quelles limites de diffusion, de décision ou d’accès sont précisées pour « DLMT — Mission, engagements et collaboration » ?</w:t>
      </w:r>
    </w:p>
    <w:p>
      <w:pPr>
        <w:pStyle w:val="Normal"/>
        <w:spacing w:before="0" w:after="40"/>
        <w:ind w:start="255" w:end="85"/>
        <w:rPr/>
      </w:pPr>
      <w:r>
        <w:rPr>
          <w:b/>
          <w:color w:val="D4A017"/>
          <w:sz w:val="17"/>
        </w:rPr>
        <w:t xml:space="preserve">Réponse : </w:t>
      </w:r>
      <w:r>
        <w:rPr>
          <w:color w:val="1F2937"/>
          <w:sz w:val="17"/>
        </w:rPr>
        <w:t>Le GSE n’annonce pas de service régulier de bus pour 2026-2027; toute évolution sera communiquée officiellement.</w:t>
      </w:r>
    </w:p>
    <w:p>
      <w:pPr>
        <w:pStyle w:val="Normal"/>
        <w:keepNext w:val="true"/>
        <w:spacing w:before="40" w:after="0"/>
        <w:ind w:start="85" w:end="85"/>
        <w:rPr/>
      </w:pPr>
      <w:r>
        <w:rPr>
          <w:b/>
          <w:color w:val="0B3D91"/>
          <w:sz w:val="17"/>
        </w:rPr>
        <w:t>Q8. À quels publics ou bénéficiaires la section « DLMT — Mission, engagements et collaboration » est-elle principalement destinée ?</w:t>
      </w:r>
    </w:p>
    <w:p>
      <w:pPr>
        <w:pStyle w:val="Normal"/>
        <w:spacing w:before="0" w:after="40"/>
        <w:ind w:start="255" w:end="85"/>
        <w:rPr/>
      </w:pPr>
      <w:r>
        <w:rPr>
          <w:b/>
          <w:color w:val="D4A017"/>
          <w:sz w:val="17"/>
        </w:rPr>
        <w:t xml:space="preserve">Réponse : </w:t>
      </w:r>
      <w:r>
        <w:rPr>
          <w:color w:val="1F2937"/>
          <w:sz w:val="17"/>
        </w:rPr>
        <w:t>Élèves, personnel et services utilisateurs des installations.</w:t>
      </w:r>
    </w:p>
    <w:p>
      <w:pPr>
        <w:pStyle w:val="Normal"/>
        <w:keepNext w:val="true"/>
        <w:spacing w:before="40" w:after="0"/>
        <w:ind w:start="85" w:end="85"/>
        <w:rPr/>
      </w:pPr>
      <w:r>
        <w:rPr>
          <w:b/>
          <w:color w:val="0B3D91"/>
          <w:sz w:val="17"/>
        </w:rPr>
        <w:t>Q9. À quelles autres rubriques ou fonctions du site « DLMT — Mission, engagements et collaboration » est-il relié ?</w:t>
      </w:r>
    </w:p>
    <w:p>
      <w:pPr>
        <w:pStyle w:val="Normal"/>
        <w:spacing w:before="0" w:after="40"/>
        <w:ind w:start="255" w:end="85"/>
        <w:rPr/>
      </w:pPr>
      <w:r>
        <w:rPr>
          <w:b/>
          <w:color w:val="D4A017"/>
          <w:sz w:val="17"/>
        </w:rPr>
        <w:t xml:space="preserve">Réponse : </w:t>
      </w:r>
      <w:r>
        <w:rPr>
          <w:color w:val="1F2937"/>
          <w:sz w:val="17"/>
        </w:rPr>
        <w:t>Lien avec Infrastructures, Santé et sécurité, DAQAC, DSI et Vie scolaire.</w:t>
      </w:r>
    </w:p>
    <w:p>
      <w:pPr>
        <w:pStyle w:val="Normal"/>
        <w:keepNext w:val="true"/>
        <w:spacing w:before="40" w:after="0"/>
        <w:ind w:start="85" w:end="85"/>
        <w:rPr/>
      </w:pPr>
      <w:r>
        <w:rPr>
          <w:b/>
          <w:color w:val="0B3D91"/>
          <w:sz w:val="17"/>
        </w:rPr>
        <w:t>Q10. Quelle action, orientation ou résultat concret le lecteur peut-il retenir de « DLMT — Mission, engagements et collaboration » ?</w:t>
      </w:r>
    </w:p>
    <w:p>
      <w:pPr>
        <w:pStyle w:val="Normal"/>
        <w:spacing w:before="0" w:after="40"/>
        <w:ind w:start="255" w:end="85"/>
        <w:rPr/>
      </w:pPr>
      <w:r>
        <w:rPr>
          <w:b/>
          <w:color w:val="D4A017"/>
          <w:sz w:val="17"/>
        </w:rPr>
        <w:t xml:space="preserve">Réponse : </w:t>
      </w:r>
      <w:r>
        <w:rPr>
          <w:color w:val="1F2937"/>
          <w:sz w:val="17"/>
        </w:rPr>
        <w:t>Consulter les communications officielles et signaler les besoins ou anomalies au service compétent.</w:t>
      </w:r>
    </w:p>
    <w:p>
      <w:pPr>
        <w:pStyle w:val="Normal"/>
        <w:rPr/>
      </w:pPr>
      <w:r>
        <w:rPr/>
      </w:r>
      <w:r>
        <w:br w:type="page"/>
      </w:r>
    </w:p>
    <w:p>
      <w:pPr>
        <w:pStyle w:val="Heading2"/>
        <w:spacing w:before="0" w:after="80"/>
        <w:rPr/>
      </w:pPr>
      <w:r>
        <w:rPr/>
        <w:t>FICHE 48 — DSI — Mission, engagements et collaboration</w:t>
      </w:r>
    </w:p>
    <w:p>
      <w:pPr>
        <w:pStyle w:val="Normal"/>
        <w:spacing w:before="40" w:after="100"/>
        <w:rPr/>
      </w:pPr>
      <w:r>
        <w:rPr>
          <w:b/>
          <w:color w:val="0B3D91"/>
          <w:sz w:val="16"/>
        </w:rPr>
        <w:t xml:space="preserve">Source contrôlée : </w:t>
      </w:r>
      <w:r>
        <w:rPr>
          <w:color w:val="555555"/>
          <w:sz w:val="16"/>
        </w:rPr>
        <w:t>Pages détaillées des départements — https://test.gsleseminents.com/systemes-information-transformation-numerique/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Le DSI gouverne l’architecture numérique, les données, les accès, la cybersécurité, les intégrations, les sauvegardes et la continuité.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couvre à la fois le système, la donnée et la transformation numérique.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sécurité, la disponibilité et l’intégration des outils conditionnent la fiabilité de l’écosystème.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protection des données, continuité et interconnexion des logiciels.</w:t>
            </w:r>
          </w:p>
        </w:tc>
      </w:tr>
    </w:tbl>
    <w:p>
      <w:pPr>
        <w:pStyle w:val="Heading3"/>
        <w:rPr/>
      </w:pPr>
      <w:r>
        <w:rPr/>
        <w:t>Points développés</w:t>
      </w:r>
    </w:p>
    <w:p>
      <w:pPr>
        <w:pStyle w:val="ListBullet"/>
        <w:numPr>
          <w:ilvl w:val="0"/>
          <w:numId w:val="1"/>
        </w:numPr>
        <w:spacing w:before="0" w:after="20"/>
        <w:ind w:hanging="360" w:start="255"/>
        <w:contextualSpacing/>
        <w:rPr/>
      </w:pPr>
      <w:r>
        <w:rPr>
          <w:sz w:val="18"/>
        </w:rPr>
        <w:t>Moindre privilège</w:t>
      </w:r>
    </w:p>
    <w:p>
      <w:pPr>
        <w:pStyle w:val="ListBullet"/>
        <w:numPr>
          <w:ilvl w:val="0"/>
          <w:numId w:val="1"/>
        </w:numPr>
        <w:spacing w:before="0" w:after="20"/>
        <w:ind w:hanging="360" w:start="255"/>
        <w:contextualSpacing/>
        <w:rPr/>
      </w:pPr>
      <w:r>
        <w:rPr>
          <w:sz w:val="18"/>
        </w:rPr>
        <w:t>Besoin de savoir</w:t>
      </w:r>
    </w:p>
    <w:p>
      <w:pPr>
        <w:pStyle w:val="ListBullet"/>
        <w:numPr>
          <w:ilvl w:val="0"/>
          <w:numId w:val="1"/>
        </w:numPr>
        <w:spacing w:before="0" w:after="20"/>
        <w:ind w:hanging="360" w:start="255"/>
        <w:contextualSpacing/>
        <w:rPr/>
      </w:pPr>
      <w:r>
        <w:rPr>
          <w:sz w:val="18"/>
        </w:rPr>
        <w:t>Accès par rôle</w:t>
      </w:r>
    </w:p>
    <w:p>
      <w:pPr>
        <w:pStyle w:val="ListBullet"/>
        <w:numPr>
          <w:ilvl w:val="0"/>
          <w:numId w:val="1"/>
        </w:numPr>
        <w:spacing w:before="0" w:after="20"/>
        <w:ind w:hanging="360" w:start="255"/>
        <w:contextualSpacing/>
        <w:rPr/>
      </w:pPr>
      <w:r>
        <w:rPr>
          <w:sz w:val="18"/>
        </w:rPr>
        <w:t>Sauvegardes</w:t>
      </w:r>
    </w:p>
    <w:p>
      <w:pPr>
        <w:pStyle w:val="ListBullet"/>
        <w:numPr>
          <w:ilvl w:val="0"/>
          <w:numId w:val="1"/>
        </w:numPr>
        <w:spacing w:before="0" w:after="20"/>
        <w:ind w:hanging="360" w:start="255"/>
        <w:contextualSpacing/>
        <w:rPr/>
      </w:pPr>
      <w:r>
        <w:rPr>
          <w:sz w:val="18"/>
        </w:rPr>
        <w:t>Interfaces sécurisées</w:t>
      </w:r>
    </w:p>
    <w:p>
      <w:pPr>
        <w:pStyle w:val="ListBullet"/>
        <w:numPr>
          <w:ilvl w:val="0"/>
          <w:numId w:val="1"/>
        </w:numPr>
        <w:spacing w:before="0" w:after="20"/>
        <w:ind w:hanging="360" w:start="255"/>
        <w:contextualSpacing/>
        <w:rPr/>
      </w:pPr>
      <w:r>
        <w:rPr>
          <w:sz w:val="18"/>
        </w:rPr>
        <w:t>Séparation des données</w:t>
      </w:r>
    </w:p>
    <w:p>
      <w:pPr>
        <w:pStyle w:val="ListBullet"/>
        <w:numPr>
          <w:ilvl w:val="0"/>
          <w:numId w:val="1"/>
        </w:numPr>
        <w:spacing w:before="0" w:after="20"/>
        <w:ind w:hanging="360" w:start="255"/>
        <w:contextualSpacing/>
        <w:rPr/>
      </w:pPr>
      <w:r>
        <w:rPr>
          <w:sz w:val="18"/>
        </w:rPr>
        <w:t>Confirmation des actions sensibles</w:t>
      </w:r>
    </w:p>
    <w:p>
      <w:pPr>
        <w:pStyle w:val="Heading3"/>
        <w:rPr/>
      </w:pPr>
      <w:r>
        <w:rPr/>
        <w:t>Banque de questions-réponses</w:t>
      </w:r>
    </w:p>
    <w:p>
      <w:pPr>
        <w:pStyle w:val="Normal"/>
        <w:keepNext w:val="true"/>
        <w:spacing w:before="40" w:after="0"/>
        <w:ind w:start="85" w:end="85"/>
        <w:rPr/>
      </w:pPr>
      <w:r>
        <w:rPr>
          <w:b/>
          <w:color w:val="0B3D91"/>
          <w:sz w:val="17"/>
        </w:rPr>
        <w:t>Q1. Que présente la section « DSI — Mission, engagements et collaboration » ?</w:t>
      </w:r>
    </w:p>
    <w:p>
      <w:pPr>
        <w:pStyle w:val="Normal"/>
        <w:spacing w:before="0" w:after="40"/>
        <w:ind w:start="255" w:end="85"/>
        <w:rPr/>
      </w:pPr>
      <w:r>
        <w:rPr>
          <w:b/>
          <w:color w:val="D4A017"/>
          <w:sz w:val="17"/>
        </w:rPr>
        <w:t xml:space="preserve">Réponse : </w:t>
      </w:r>
      <w:r>
        <w:rPr>
          <w:color w:val="1F2937"/>
          <w:sz w:val="17"/>
        </w:rPr>
        <w:t>Le DSI gouverne l’architecture numérique, les données, les accès, la cybersécurité, les intégrations, les sauvegardes et la continuité.</w:t>
      </w:r>
    </w:p>
    <w:p>
      <w:pPr>
        <w:pStyle w:val="Normal"/>
        <w:keepNext w:val="true"/>
        <w:spacing w:before="40" w:after="0"/>
        <w:ind w:start="85" w:end="85"/>
        <w:rPr/>
      </w:pPr>
      <w:r>
        <w:rPr>
          <w:b/>
          <w:color w:val="0B3D91"/>
          <w:sz w:val="17"/>
        </w:rPr>
        <w:t>Q2. Quel est l’objectif principal exposé dans « DSI — Mission, engagements et collaboration » ?</w:t>
      </w:r>
    </w:p>
    <w:p>
      <w:pPr>
        <w:pStyle w:val="Normal"/>
        <w:spacing w:before="0" w:after="40"/>
        <w:ind w:start="255" w:end="85"/>
        <w:rPr/>
      </w:pPr>
      <w:r>
        <w:rPr>
          <w:b/>
          <w:color w:val="D4A017"/>
          <w:sz w:val="17"/>
        </w:rPr>
        <w:t xml:space="preserve">Réponse : </w:t>
      </w:r>
      <w:r>
        <w:rPr>
          <w:color w:val="1F2937"/>
          <w:sz w:val="17"/>
        </w:rPr>
        <w:t>Présenter les garanties publiques du numérique institutionnel.</w:t>
      </w:r>
    </w:p>
    <w:p>
      <w:pPr>
        <w:pStyle w:val="Normal"/>
        <w:keepNext w:val="true"/>
        <w:spacing w:before="40" w:after="0"/>
        <w:ind w:start="85" w:end="85"/>
        <w:rPr/>
      </w:pPr>
      <w:r>
        <w:rPr>
          <w:b/>
          <w:color w:val="0B3D91"/>
          <w:sz w:val="17"/>
        </w:rPr>
        <w:t>Q3. Quels éléments ou domaines sont couverts par « DSI — Mission, engagements et collaboration » ?</w:t>
      </w:r>
    </w:p>
    <w:p>
      <w:pPr>
        <w:pStyle w:val="Normal"/>
        <w:spacing w:before="0" w:after="40"/>
        <w:ind w:start="255" w:end="85"/>
        <w:rPr/>
      </w:pPr>
      <w:r>
        <w:rPr>
          <w:b/>
          <w:color w:val="D4A017"/>
          <w:sz w:val="17"/>
        </w:rPr>
        <w:t xml:space="preserve">Réponse : </w:t>
      </w:r>
      <w:r>
        <w:rPr>
          <w:color w:val="1F2937"/>
          <w:sz w:val="17"/>
        </w:rPr>
        <w:t>Moindre privilège, besoin de savoir, accès par rôle, sauvegardes, restaurations, changements, interfaces et séparation des données.</w:t>
      </w:r>
    </w:p>
    <w:p>
      <w:pPr>
        <w:pStyle w:val="Normal"/>
        <w:keepNext w:val="true"/>
        <w:spacing w:before="40" w:after="0"/>
        <w:ind w:start="85" w:end="85"/>
        <w:rPr/>
      </w:pPr>
      <w:r>
        <w:rPr>
          <w:b/>
          <w:color w:val="0B3D91"/>
          <w:sz w:val="17"/>
        </w:rPr>
        <w:t>Q4. Qui porte, coordonne ou garantit les éléments présentés dans « DSI — Mission, engagements et collaboration » ?</w:t>
      </w:r>
    </w:p>
    <w:p>
      <w:pPr>
        <w:pStyle w:val="Normal"/>
        <w:spacing w:before="0" w:after="40"/>
        <w:ind w:start="255" w:end="85"/>
        <w:rPr/>
      </w:pPr>
      <w:r>
        <w:rPr>
          <w:b/>
          <w:color w:val="D4A017"/>
          <w:sz w:val="17"/>
        </w:rPr>
        <w:t xml:space="preserve">Réponse : </w:t>
      </w:r>
      <w:r>
        <w:rPr>
          <w:color w:val="1F2937"/>
          <w:sz w:val="17"/>
        </w:rPr>
        <w:t>Le DSI en collaboration avec la Direction et tous les services numériques.</w:t>
      </w:r>
    </w:p>
    <w:p>
      <w:pPr>
        <w:pStyle w:val="Normal"/>
        <w:keepNext w:val="true"/>
        <w:spacing w:before="40" w:after="0"/>
        <w:ind w:start="85" w:end="85"/>
        <w:rPr/>
      </w:pPr>
      <w:r>
        <w:rPr>
          <w:b/>
          <w:color w:val="0B3D91"/>
          <w:sz w:val="17"/>
        </w:rPr>
        <w:t>Q5. Comment la section « DSI — Mission, engagements et collaboration » prévoit-elle la mise en œuvre ou le suivi ?</w:t>
      </w:r>
    </w:p>
    <w:p>
      <w:pPr>
        <w:pStyle w:val="Normal"/>
        <w:spacing w:before="0" w:after="40"/>
        <w:ind w:start="255" w:end="85"/>
        <w:rPr/>
      </w:pPr>
      <w:r>
        <w:rPr>
          <w:b/>
          <w:color w:val="D4A017"/>
          <w:sz w:val="17"/>
        </w:rPr>
        <w:t xml:space="preserve">Réponse : </w:t>
      </w:r>
      <w:r>
        <w:rPr>
          <w:color w:val="1F2937"/>
          <w:sz w:val="17"/>
        </w:rPr>
        <w:t>Les droits sont attribués par rôle, les changements sont maîtrisés et les données sont séparées selon leur sensibilité.</w:t>
      </w:r>
    </w:p>
    <w:p>
      <w:pPr>
        <w:pStyle w:val="Normal"/>
        <w:keepNext w:val="true"/>
        <w:spacing w:before="40" w:after="0"/>
        <w:ind w:start="85" w:end="85"/>
        <w:rPr/>
      </w:pPr>
      <w:r>
        <w:rPr>
          <w:b/>
          <w:color w:val="0B3D91"/>
          <w:sz w:val="17"/>
        </w:rPr>
        <w:t>Q6. Quelle preuve, référence, règle ou information de statut accompagne « DSI — Mission, engagements et collaboration » ?</w:t>
      </w:r>
    </w:p>
    <w:p>
      <w:pPr>
        <w:pStyle w:val="Normal"/>
        <w:spacing w:before="0" w:after="40"/>
        <w:ind w:start="255" w:end="85"/>
        <w:rPr/>
      </w:pPr>
      <w:r>
        <w:rPr>
          <w:b/>
          <w:color w:val="D4A017"/>
          <w:sz w:val="17"/>
        </w:rPr>
        <w:t xml:space="preserve">Réponse : </w:t>
      </w:r>
      <w:r>
        <w:rPr>
          <w:color w:val="1F2937"/>
          <w:sz w:val="17"/>
        </w:rPr>
        <w:t>Sauvegardes, contrôles d’accès, journaux et tests de restauration apportent les preuves internes.</w:t>
      </w:r>
    </w:p>
    <w:p>
      <w:pPr>
        <w:pStyle w:val="Normal"/>
        <w:keepNext w:val="true"/>
        <w:spacing w:before="40" w:after="0"/>
        <w:ind w:start="85" w:end="85"/>
        <w:rPr/>
      </w:pPr>
      <w:r>
        <w:rPr>
          <w:b/>
          <w:color w:val="0B3D91"/>
          <w:sz w:val="17"/>
        </w:rPr>
        <w:t>Q7. Quelles limites de diffusion, de décision ou d’accès sont précisées pour « DSI — Mission, engagements et collaboration » ?</w:t>
      </w:r>
    </w:p>
    <w:p>
      <w:pPr>
        <w:pStyle w:val="Normal"/>
        <w:spacing w:before="0" w:after="40"/>
        <w:ind w:start="255" w:end="85"/>
        <w:rPr/>
      </w:pPr>
      <w:r>
        <w:rPr>
          <w:b/>
          <w:color w:val="D4A017"/>
          <w:sz w:val="17"/>
        </w:rPr>
        <w:t xml:space="preserve">Réponse : </w:t>
      </w:r>
      <w:r>
        <w:rPr>
          <w:color w:val="1F2937"/>
          <w:sz w:val="17"/>
        </w:rPr>
        <w:t>ÉMINA respecte les habilitations et demande confirmation avant une action sensible; les procédures détaillées ne sont pas publiques.</w:t>
      </w:r>
    </w:p>
    <w:p>
      <w:pPr>
        <w:pStyle w:val="Normal"/>
        <w:keepNext w:val="true"/>
        <w:spacing w:before="40" w:after="0"/>
        <w:ind w:start="85" w:end="85"/>
        <w:rPr/>
      </w:pPr>
      <w:r>
        <w:rPr>
          <w:b/>
          <w:color w:val="0B3D91"/>
          <w:sz w:val="17"/>
        </w:rPr>
        <w:t>Q8. À quels publics ou bénéficiaires la section « DSI — Mission, engagements et collaboration » est-elle principalement destinée ?</w:t>
      </w:r>
    </w:p>
    <w:p>
      <w:pPr>
        <w:pStyle w:val="Normal"/>
        <w:spacing w:before="0" w:after="40"/>
        <w:ind w:start="255" w:end="85"/>
        <w:rPr/>
      </w:pPr>
      <w:r>
        <w:rPr>
          <w:b/>
          <w:color w:val="D4A017"/>
          <w:sz w:val="17"/>
        </w:rPr>
        <w:t xml:space="preserve">Réponse : </w:t>
      </w:r>
      <w:r>
        <w:rPr>
          <w:color w:val="1F2937"/>
          <w:sz w:val="17"/>
        </w:rPr>
        <w:t>Tous les utilisateurs des systèmes du GSE.</w:t>
      </w:r>
    </w:p>
    <w:p>
      <w:pPr>
        <w:pStyle w:val="Normal"/>
        <w:keepNext w:val="true"/>
        <w:spacing w:before="40" w:after="0"/>
        <w:ind w:start="85" w:end="85"/>
        <w:rPr/>
      </w:pPr>
      <w:r>
        <w:rPr>
          <w:b/>
          <w:color w:val="0B3D91"/>
          <w:sz w:val="17"/>
        </w:rPr>
        <w:t>Q9. À quelles autres rubriques ou fonctions du site « DSI — Mission, engagements et collaboration » est-il relié ?</w:t>
      </w:r>
    </w:p>
    <w:p>
      <w:pPr>
        <w:pStyle w:val="Normal"/>
        <w:spacing w:before="0" w:after="40"/>
        <w:ind w:start="255" w:end="85"/>
        <w:rPr/>
      </w:pPr>
      <w:r>
        <w:rPr>
          <w:b/>
          <w:color w:val="D4A017"/>
          <w:sz w:val="17"/>
        </w:rPr>
        <w:t xml:space="preserve">Réponse : </w:t>
      </w:r>
      <w:r>
        <w:rPr>
          <w:color w:val="1F2937"/>
          <w:sz w:val="17"/>
        </w:rPr>
        <w:t>Lien avec ÉMINA, Confidentialité, Admissions, Espace Parents, EMA et GSE School Management.</w:t>
      </w:r>
    </w:p>
    <w:p>
      <w:pPr>
        <w:pStyle w:val="Normal"/>
        <w:keepNext w:val="true"/>
        <w:spacing w:before="40" w:after="0"/>
        <w:ind w:start="85" w:end="85"/>
        <w:rPr/>
      </w:pPr>
      <w:r>
        <w:rPr>
          <w:b/>
          <w:color w:val="0B3D91"/>
          <w:sz w:val="17"/>
        </w:rPr>
        <w:t>Q10. Quelle action, orientation ou résultat concret le lecteur peut-il retenir de « DSI — Mission, engagements et collaboration » ?</w:t>
      </w:r>
    </w:p>
    <w:p>
      <w:pPr>
        <w:pStyle w:val="Normal"/>
        <w:spacing w:before="0" w:after="40"/>
        <w:ind w:start="255" w:end="85"/>
        <w:rPr/>
      </w:pPr>
      <w:r>
        <w:rPr>
          <w:b/>
          <w:color w:val="D4A017"/>
          <w:sz w:val="17"/>
        </w:rPr>
        <w:t xml:space="preserve">Réponse : </w:t>
      </w:r>
      <w:r>
        <w:rPr>
          <w:color w:val="1F2937"/>
          <w:sz w:val="17"/>
        </w:rPr>
        <w:t>Utiliser uniquement les accès autorisés et signaler tout incident au canal compétent.</w:t>
      </w:r>
    </w:p>
    <w:p>
      <w:pPr>
        <w:pStyle w:val="Normal"/>
        <w:rPr/>
      </w:pPr>
      <w:r>
        <w:rPr/>
      </w:r>
      <w:r>
        <w:br w:type="page"/>
      </w:r>
    </w:p>
    <w:p>
      <w:pPr>
        <w:pStyle w:val="Heading2"/>
        <w:spacing w:before="0" w:after="80"/>
        <w:rPr/>
      </w:pPr>
      <w:r>
        <w:rPr/>
        <w:t>FICHE 49 — ÉMINA — présentation générale</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explique ce qu’ÉMINA peut faire, les sources utilisées, ses limites, la confidentialité et l’escalade humaine.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affirme son statut institutionnel et non celui d’une autorité décisionnelle.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transparence sur l’outil protège les utilisateurs et la responsabilité de l’école.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toutes les pages publiques et les canaux humains.</w:t>
            </w:r>
          </w:p>
        </w:tc>
      </w:tr>
    </w:tbl>
    <w:p>
      <w:pPr>
        <w:pStyle w:val="Heading3"/>
        <w:rPr/>
      </w:pPr>
      <w:r>
        <w:rPr/>
        <w:t>Points développés</w:t>
      </w:r>
    </w:p>
    <w:p>
      <w:pPr>
        <w:pStyle w:val="ListBullet"/>
        <w:numPr>
          <w:ilvl w:val="0"/>
          <w:numId w:val="1"/>
        </w:numPr>
        <w:spacing w:before="0" w:after="20"/>
        <w:ind w:hanging="360" w:start="255"/>
        <w:contextualSpacing/>
        <w:rPr/>
      </w:pPr>
      <w:r>
        <w:rPr>
          <w:sz w:val="18"/>
        </w:rPr>
        <w:t>Capacités</w:t>
      </w:r>
    </w:p>
    <w:p>
      <w:pPr>
        <w:pStyle w:val="ListBullet"/>
        <w:numPr>
          <w:ilvl w:val="0"/>
          <w:numId w:val="1"/>
        </w:numPr>
        <w:spacing w:before="0" w:after="20"/>
        <w:ind w:hanging="360" w:start="255"/>
        <w:contextualSpacing/>
        <w:rPr/>
      </w:pPr>
      <w:r>
        <w:rPr>
          <w:sz w:val="18"/>
        </w:rPr>
        <w:t>Sources</w:t>
      </w:r>
    </w:p>
    <w:p>
      <w:pPr>
        <w:pStyle w:val="ListBullet"/>
        <w:numPr>
          <w:ilvl w:val="0"/>
          <w:numId w:val="1"/>
        </w:numPr>
        <w:spacing w:before="0" w:after="20"/>
        <w:ind w:hanging="360" w:start="255"/>
        <w:contextualSpacing/>
        <w:rPr/>
      </w:pPr>
      <w:r>
        <w:rPr>
          <w:sz w:val="18"/>
        </w:rPr>
        <w:t>Limites</w:t>
      </w:r>
    </w:p>
    <w:p>
      <w:pPr>
        <w:pStyle w:val="ListBullet"/>
        <w:numPr>
          <w:ilvl w:val="0"/>
          <w:numId w:val="1"/>
        </w:numPr>
        <w:spacing w:before="0" w:after="20"/>
        <w:ind w:hanging="360" w:start="255"/>
        <w:contextualSpacing/>
        <w:rPr/>
      </w:pPr>
      <w:r>
        <w:rPr>
          <w:sz w:val="18"/>
        </w:rPr>
        <w:t>Confidentialité</w:t>
      </w:r>
    </w:p>
    <w:p>
      <w:pPr>
        <w:pStyle w:val="ListBullet"/>
        <w:numPr>
          <w:ilvl w:val="0"/>
          <w:numId w:val="1"/>
        </w:numPr>
        <w:spacing w:before="0" w:after="20"/>
        <w:ind w:hanging="360" w:start="255"/>
        <w:contextualSpacing/>
        <w:rPr/>
      </w:pPr>
      <w:r>
        <w:rPr>
          <w:sz w:val="18"/>
        </w:rPr>
        <w:t>Escalade humaine</w:t>
      </w:r>
    </w:p>
    <w:p>
      <w:pPr>
        <w:pStyle w:val="Heading3"/>
        <w:rPr/>
      </w:pPr>
      <w:r>
        <w:rPr/>
        <w:t>Banque de questions-réponses</w:t>
      </w:r>
    </w:p>
    <w:p>
      <w:pPr>
        <w:pStyle w:val="Normal"/>
        <w:keepNext w:val="true"/>
        <w:spacing w:before="40" w:after="0"/>
        <w:ind w:start="85" w:end="85"/>
        <w:rPr/>
      </w:pPr>
      <w:r>
        <w:rPr>
          <w:b/>
          <w:color w:val="0B3D91"/>
          <w:sz w:val="17"/>
        </w:rPr>
        <w:t>Q1. Que présente la section « ÉMINA — présentation générale » ?</w:t>
      </w:r>
    </w:p>
    <w:p>
      <w:pPr>
        <w:pStyle w:val="Normal"/>
        <w:spacing w:before="0" w:after="40"/>
        <w:ind w:start="255" w:end="85"/>
        <w:rPr/>
      </w:pPr>
      <w:r>
        <w:rPr>
          <w:b/>
          <w:color w:val="D4A017"/>
          <w:sz w:val="17"/>
        </w:rPr>
        <w:t xml:space="preserve">Réponse : </w:t>
      </w:r>
      <w:r>
        <w:rPr>
          <w:color w:val="1F2937"/>
          <w:sz w:val="17"/>
        </w:rPr>
        <w:t>La page explique ce qu’ÉMINA peut faire, les sources utilisées, ses limites, la confidentialité et l’escalade humaine.</w:t>
      </w:r>
    </w:p>
    <w:p>
      <w:pPr>
        <w:pStyle w:val="Normal"/>
        <w:keepNext w:val="true"/>
        <w:spacing w:before="40" w:after="0"/>
        <w:ind w:start="85" w:end="85"/>
        <w:rPr/>
      </w:pPr>
      <w:r>
        <w:rPr>
          <w:b/>
          <w:color w:val="0B3D91"/>
          <w:sz w:val="17"/>
        </w:rPr>
        <w:t>Q2. Quel est l’objectif principal exposé dans « ÉMINA — présentation générale » ?</w:t>
      </w:r>
    </w:p>
    <w:p>
      <w:pPr>
        <w:pStyle w:val="Normal"/>
        <w:spacing w:before="0" w:after="40"/>
        <w:ind w:start="255" w:end="85"/>
        <w:rPr/>
      </w:pPr>
      <w:r>
        <w:rPr>
          <w:b/>
          <w:color w:val="D4A017"/>
          <w:sz w:val="17"/>
        </w:rPr>
        <w:t xml:space="preserve">Réponse : </w:t>
      </w:r>
      <w:r>
        <w:rPr>
          <w:color w:val="1F2937"/>
          <w:sz w:val="17"/>
        </w:rPr>
        <w:t>Informer clairement le public sur le rôle et les limites de l’assistante institutionnelle.</w:t>
      </w:r>
    </w:p>
    <w:p>
      <w:pPr>
        <w:pStyle w:val="Normal"/>
        <w:keepNext w:val="true"/>
        <w:spacing w:before="40" w:after="0"/>
        <w:ind w:start="85" w:end="85"/>
        <w:rPr/>
      </w:pPr>
      <w:r>
        <w:rPr>
          <w:b/>
          <w:color w:val="0B3D91"/>
          <w:sz w:val="17"/>
        </w:rPr>
        <w:t>Q3. Quels éléments ou domaines sont couverts par « ÉMINA — présentation générale » ?</w:t>
      </w:r>
    </w:p>
    <w:p>
      <w:pPr>
        <w:pStyle w:val="Normal"/>
        <w:spacing w:before="0" w:after="40"/>
        <w:ind w:start="255" w:end="85"/>
        <w:rPr/>
      </w:pPr>
      <w:r>
        <w:rPr>
          <w:b/>
          <w:color w:val="D4A017"/>
          <w:sz w:val="17"/>
        </w:rPr>
        <w:t xml:space="preserve">Réponse : </w:t>
      </w:r>
      <w:r>
        <w:rPr>
          <w:color w:val="1F2937"/>
          <w:sz w:val="17"/>
        </w:rPr>
        <w:t>Identité, capacités, sources, décisions interdites, confidentialité et recours humain.</w:t>
      </w:r>
    </w:p>
    <w:p>
      <w:pPr>
        <w:pStyle w:val="Normal"/>
        <w:keepNext w:val="true"/>
        <w:spacing w:before="40" w:after="0"/>
        <w:ind w:start="85" w:end="85"/>
        <w:rPr/>
      </w:pPr>
      <w:r>
        <w:rPr>
          <w:b/>
          <w:color w:val="0B3D91"/>
          <w:sz w:val="17"/>
        </w:rPr>
        <w:t>Q4. Qui porte, coordonne ou garantit les éléments présentés dans « ÉMINA — présentation générale » ?</w:t>
      </w:r>
    </w:p>
    <w:p>
      <w:pPr>
        <w:pStyle w:val="Normal"/>
        <w:spacing w:before="0" w:after="40"/>
        <w:ind w:start="255" w:end="85"/>
        <w:rPr/>
      </w:pPr>
      <w:r>
        <w:rPr>
          <w:b/>
          <w:color w:val="D4A017"/>
          <w:sz w:val="17"/>
        </w:rPr>
        <w:t xml:space="preserve">Réponse : </w:t>
      </w:r>
      <w:r>
        <w:rPr>
          <w:color w:val="1F2937"/>
          <w:sz w:val="17"/>
        </w:rPr>
        <w:t>Le GROUPE SCOLAIRE LES ÉMINENTS est propriétaire d’ÉMINA.</w:t>
      </w:r>
    </w:p>
    <w:p>
      <w:pPr>
        <w:pStyle w:val="Normal"/>
        <w:keepNext w:val="true"/>
        <w:spacing w:before="40" w:after="0"/>
        <w:ind w:start="85" w:end="85"/>
        <w:rPr/>
      </w:pPr>
      <w:r>
        <w:rPr>
          <w:b/>
          <w:color w:val="0B3D91"/>
          <w:sz w:val="17"/>
        </w:rPr>
        <w:t>Q5. Comment la section « ÉMINA — présentation générale » prévoit-elle la mise en œuvre ou le suivi ?</w:t>
      </w:r>
    </w:p>
    <w:p>
      <w:pPr>
        <w:pStyle w:val="Normal"/>
        <w:spacing w:before="0" w:after="40"/>
        <w:ind w:start="255" w:end="85"/>
        <w:rPr/>
      </w:pPr>
      <w:r>
        <w:rPr>
          <w:b/>
          <w:color w:val="D4A017"/>
          <w:sz w:val="17"/>
        </w:rPr>
        <w:t xml:space="preserve">Réponse : </w:t>
      </w:r>
      <w:r>
        <w:rPr>
          <w:color w:val="1F2937"/>
          <w:sz w:val="17"/>
        </w:rPr>
        <w:t>ÉMINA répond à partir de la base publique validée et oriente vers les pages ou personnes compétentes.</w:t>
      </w:r>
    </w:p>
    <w:p>
      <w:pPr>
        <w:pStyle w:val="Normal"/>
        <w:keepNext w:val="true"/>
        <w:spacing w:before="40" w:after="0"/>
        <w:ind w:start="85" w:end="85"/>
        <w:rPr/>
      </w:pPr>
      <w:r>
        <w:rPr>
          <w:b/>
          <w:color w:val="0B3D91"/>
          <w:sz w:val="17"/>
        </w:rPr>
        <w:t>Q6. Quelle preuve, référence, règle ou information de statut accompagne « ÉMINA — présentation générale » ?</w:t>
      </w:r>
    </w:p>
    <w:p>
      <w:pPr>
        <w:pStyle w:val="Normal"/>
        <w:spacing w:before="0" w:after="40"/>
        <w:ind w:start="255" w:end="85"/>
        <w:rPr/>
      </w:pPr>
      <w:r>
        <w:rPr>
          <w:b/>
          <w:color w:val="D4A017"/>
          <w:sz w:val="17"/>
        </w:rPr>
        <w:t xml:space="preserve">Réponse : </w:t>
      </w:r>
      <w:r>
        <w:rPr>
          <w:color w:val="1F2937"/>
          <w:sz w:val="17"/>
        </w:rPr>
        <w:t>Les réponses importantes présentent référence, version, propriétaire et lien disponible.</w:t>
      </w:r>
    </w:p>
    <w:p>
      <w:pPr>
        <w:pStyle w:val="Normal"/>
        <w:keepNext w:val="true"/>
        <w:spacing w:before="40" w:after="0"/>
        <w:ind w:start="85" w:end="85"/>
        <w:rPr/>
      </w:pPr>
      <w:r>
        <w:rPr>
          <w:b/>
          <w:color w:val="0B3D91"/>
          <w:sz w:val="17"/>
        </w:rPr>
        <w:t>Q7. Quelles limites de diffusion, de décision ou d’accès sont précisées pour « ÉMINA — présentation générale » ?</w:t>
      </w:r>
    </w:p>
    <w:p>
      <w:pPr>
        <w:pStyle w:val="Normal"/>
        <w:spacing w:before="0" w:after="40"/>
        <w:ind w:start="255" w:end="85"/>
        <w:rPr/>
      </w:pPr>
      <w:r>
        <w:rPr>
          <w:b/>
          <w:color w:val="D4A017"/>
          <w:sz w:val="17"/>
        </w:rPr>
        <w:t xml:space="preserve">Réponse : </w:t>
      </w:r>
      <w:r>
        <w:rPr>
          <w:color w:val="1F2937"/>
          <w:sz w:val="17"/>
        </w:rPr>
        <w:t>Elle ne remplace aucune décision humaine sensible ou institutionnelle.</w:t>
      </w:r>
    </w:p>
    <w:p>
      <w:pPr>
        <w:pStyle w:val="Normal"/>
        <w:keepNext w:val="true"/>
        <w:spacing w:before="40" w:after="0"/>
        <w:ind w:start="85" w:end="85"/>
        <w:rPr/>
      </w:pPr>
      <w:r>
        <w:rPr>
          <w:b/>
          <w:color w:val="0B3D91"/>
          <w:sz w:val="17"/>
        </w:rPr>
        <w:t>Q8. À quels publics ou bénéficiaires la section « ÉMINA — présentation générale » est-elle principalement destinée ?</w:t>
      </w:r>
    </w:p>
    <w:p>
      <w:pPr>
        <w:pStyle w:val="Normal"/>
        <w:spacing w:before="0" w:after="40"/>
        <w:ind w:start="255" w:end="85"/>
        <w:rPr/>
      </w:pPr>
      <w:r>
        <w:rPr>
          <w:b/>
          <w:color w:val="D4A017"/>
          <w:sz w:val="17"/>
        </w:rPr>
        <w:t xml:space="preserve">Réponse : </w:t>
      </w:r>
      <w:r>
        <w:rPr>
          <w:color w:val="1F2937"/>
          <w:sz w:val="17"/>
        </w:rPr>
        <w:t>Visiteurs, familles, élèves, personnels et partenaires selon les accès autorisés.</w:t>
      </w:r>
    </w:p>
    <w:p>
      <w:pPr>
        <w:pStyle w:val="Normal"/>
        <w:keepNext w:val="true"/>
        <w:spacing w:before="40" w:after="0"/>
        <w:ind w:start="85" w:end="85"/>
        <w:rPr/>
      </w:pPr>
      <w:r>
        <w:rPr>
          <w:b/>
          <w:color w:val="0B3D91"/>
          <w:sz w:val="17"/>
        </w:rPr>
        <w:t>Q9. À quelles autres rubriques ou fonctions du site « ÉMINA — présentation générale » est-il relié ?</w:t>
      </w:r>
    </w:p>
    <w:p>
      <w:pPr>
        <w:pStyle w:val="Normal"/>
        <w:spacing w:before="0" w:after="40"/>
        <w:ind w:start="255" w:end="85"/>
        <w:rPr/>
      </w:pPr>
      <w:r>
        <w:rPr>
          <w:b/>
          <w:color w:val="D4A017"/>
          <w:sz w:val="17"/>
        </w:rPr>
        <w:t xml:space="preserve">Réponse : </w:t>
      </w:r>
      <w:r>
        <w:rPr>
          <w:color w:val="1F2937"/>
          <w:sz w:val="17"/>
        </w:rPr>
        <w:t>Lien avec Documentation publique, Départements, Confidentialité et Assistance humaine.</w:t>
      </w:r>
    </w:p>
    <w:p>
      <w:pPr>
        <w:pStyle w:val="Normal"/>
        <w:keepNext w:val="true"/>
        <w:spacing w:before="40" w:after="0"/>
        <w:ind w:start="85" w:end="85"/>
        <w:rPr/>
      </w:pPr>
      <w:r>
        <w:rPr>
          <w:b/>
          <w:color w:val="0B3D91"/>
          <w:sz w:val="17"/>
        </w:rPr>
        <w:t>Q10. Quelle action, orientation ou résultat concret le lecteur peut-il retenir de « ÉMINA — présentation générale » ?</w:t>
      </w:r>
    </w:p>
    <w:p>
      <w:pPr>
        <w:pStyle w:val="Normal"/>
        <w:spacing w:before="0" w:after="40"/>
        <w:ind w:start="255" w:end="85"/>
        <w:rPr/>
      </w:pPr>
      <w:r>
        <w:rPr>
          <w:b/>
          <w:color w:val="D4A017"/>
          <w:sz w:val="17"/>
        </w:rPr>
        <w:t xml:space="preserve">Réponse : </w:t>
      </w:r>
      <w:r>
        <w:rPr>
          <w:color w:val="1F2937"/>
          <w:sz w:val="17"/>
        </w:rPr>
        <w:t>Utiliser ÉMINA pour comprendre et s’orienter, puis recourir à une personne habilitée lorsque nécessaire.</w:t>
      </w:r>
    </w:p>
    <w:p>
      <w:pPr>
        <w:pStyle w:val="Normal"/>
        <w:rPr/>
      </w:pPr>
      <w:r>
        <w:rPr/>
      </w:r>
      <w:r>
        <w:br w:type="page"/>
      </w:r>
    </w:p>
    <w:p>
      <w:pPr>
        <w:pStyle w:val="Normal"/>
        <w:spacing w:before="0" w:after="60"/>
        <w:jc w:val="center"/>
        <w:rPr/>
      </w:pPr>
      <w:r>
        <w:rPr>
          <w:b/>
          <w:color w:val="D4A017"/>
          <w:sz w:val="28"/>
        </w:rPr>
        <w:t>PARTIE V</w:t>
      </w:r>
    </w:p>
    <w:p>
      <w:pPr>
        <w:pStyle w:val="Normal"/>
        <w:jc w:val="center"/>
        <w:rPr/>
      </w:pPr>
      <w:r>
        <w:rPr>
          <w:b/>
          <w:color w:val="0B3D91"/>
          <w:sz w:val="44"/>
        </w:rPr>
        <w:t>ÉMINA — ASSISTANTE INSTITUTIONNELLE</w:t>
      </w:r>
    </w:p>
    <w:p>
      <w:pPr>
        <w:pStyle w:val="Normal"/>
        <w:jc w:val="center"/>
        <w:rPr/>
      </w:pPr>
      <w:r>
        <w:rPr>
          <w:i/>
          <w:color w:val="1F2937"/>
          <w:sz w:val="20"/>
        </w:rPr>
        <w:t>Relevé • Analyse • Banque de questions-réponses</w:t>
      </w:r>
    </w:p>
    <w:p>
      <w:pPr>
        <w:pStyle w:val="Normal"/>
        <w:rPr/>
      </w:pPr>
      <w:r>
        <w:rPr/>
      </w:r>
      <w:r>
        <w:br w:type="page"/>
      </w:r>
    </w:p>
    <w:p>
      <w:pPr>
        <w:pStyle w:val="Heading2"/>
        <w:spacing w:before="0" w:after="80"/>
        <w:rPr/>
      </w:pPr>
      <w:r>
        <w:rPr/>
        <w:t>FICHE 50 — Une assistante unique, encadrée et transparente</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explique, guide et cite ses sources publiques sans remplacer la décision humaine.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réunit trois qualités attendues : unité, encadrement et transparence.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Ces qualités préviennent les incohérences, les abus et l’opacité algorithmique.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gouvernance de l’IA, documentation et habilitations.</w:t>
            </w:r>
          </w:p>
        </w:tc>
      </w:tr>
    </w:tbl>
    <w:p>
      <w:pPr>
        <w:pStyle w:val="Heading3"/>
        <w:rPr/>
      </w:pPr>
      <w:r>
        <w:rPr/>
        <w:t>Points développés</w:t>
      </w:r>
    </w:p>
    <w:p>
      <w:pPr>
        <w:pStyle w:val="ListBullet"/>
        <w:numPr>
          <w:ilvl w:val="0"/>
          <w:numId w:val="1"/>
        </w:numPr>
        <w:spacing w:before="0" w:after="20"/>
        <w:ind w:hanging="360" w:start="255"/>
        <w:contextualSpacing/>
        <w:rPr/>
      </w:pPr>
      <w:r>
        <w:rPr>
          <w:sz w:val="18"/>
        </w:rPr>
        <w:t>Explique</w:t>
      </w:r>
    </w:p>
    <w:p>
      <w:pPr>
        <w:pStyle w:val="ListBullet"/>
        <w:numPr>
          <w:ilvl w:val="0"/>
          <w:numId w:val="1"/>
        </w:numPr>
        <w:spacing w:before="0" w:after="20"/>
        <w:ind w:hanging="360" w:start="255"/>
        <w:contextualSpacing/>
        <w:rPr/>
      </w:pPr>
      <w:r>
        <w:rPr>
          <w:sz w:val="18"/>
        </w:rPr>
        <w:t>Guide</w:t>
      </w:r>
    </w:p>
    <w:p>
      <w:pPr>
        <w:pStyle w:val="ListBullet"/>
        <w:numPr>
          <w:ilvl w:val="0"/>
          <w:numId w:val="1"/>
        </w:numPr>
        <w:spacing w:before="0" w:after="20"/>
        <w:ind w:hanging="360" w:start="255"/>
        <w:contextualSpacing/>
        <w:rPr/>
      </w:pPr>
      <w:r>
        <w:rPr>
          <w:sz w:val="18"/>
        </w:rPr>
        <w:t>Cite les sources</w:t>
      </w:r>
    </w:p>
    <w:p>
      <w:pPr>
        <w:pStyle w:val="ListBullet"/>
        <w:numPr>
          <w:ilvl w:val="0"/>
          <w:numId w:val="1"/>
        </w:numPr>
        <w:spacing w:before="0" w:after="20"/>
        <w:ind w:hanging="360" w:start="255"/>
        <w:contextualSpacing/>
        <w:rPr/>
      </w:pPr>
      <w:r>
        <w:rPr>
          <w:sz w:val="18"/>
        </w:rPr>
        <w:t>Ne remplace pas l’humain</w:t>
      </w:r>
    </w:p>
    <w:p>
      <w:pPr>
        <w:pStyle w:val="Heading3"/>
        <w:rPr/>
      </w:pPr>
      <w:r>
        <w:rPr/>
        <w:t>Banque de questions-réponses</w:t>
      </w:r>
    </w:p>
    <w:p>
      <w:pPr>
        <w:pStyle w:val="Normal"/>
        <w:keepNext w:val="true"/>
        <w:spacing w:before="40" w:after="0"/>
        <w:ind w:start="85" w:end="85"/>
        <w:rPr/>
      </w:pPr>
      <w:r>
        <w:rPr>
          <w:b/>
          <w:color w:val="0B3D91"/>
          <w:sz w:val="17"/>
        </w:rPr>
        <w:t>Q1. Que présente la section « Une assistante unique, encadrée et transparente » ?</w:t>
      </w:r>
    </w:p>
    <w:p>
      <w:pPr>
        <w:pStyle w:val="Normal"/>
        <w:spacing w:before="0" w:after="40"/>
        <w:ind w:start="255" w:end="85"/>
        <w:rPr/>
      </w:pPr>
      <w:r>
        <w:rPr>
          <w:b/>
          <w:color w:val="D4A017"/>
          <w:sz w:val="17"/>
        </w:rPr>
        <w:t xml:space="preserve">Réponse : </w:t>
      </w:r>
      <w:r>
        <w:rPr>
          <w:color w:val="1F2937"/>
          <w:sz w:val="17"/>
        </w:rPr>
        <w:t>ÉMINA explique, guide et cite ses sources publiques sans remplacer la décision humaine.</w:t>
      </w:r>
    </w:p>
    <w:p>
      <w:pPr>
        <w:pStyle w:val="Normal"/>
        <w:keepNext w:val="true"/>
        <w:spacing w:before="40" w:after="0"/>
        <w:ind w:start="85" w:end="85"/>
        <w:rPr/>
      </w:pPr>
      <w:r>
        <w:rPr>
          <w:b/>
          <w:color w:val="0B3D91"/>
          <w:sz w:val="17"/>
        </w:rPr>
        <w:t>Q2. Quel est l’objectif principal exposé dans « Une assistante unique, encadrée et transparente » ?</w:t>
      </w:r>
    </w:p>
    <w:p>
      <w:pPr>
        <w:pStyle w:val="Normal"/>
        <w:spacing w:before="0" w:after="40"/>
        <w:ind w:start="255" w:end="85"/>
        <w:rPr/>
      </w:pPr>
      <w:r>
        <w:rPr>
          <w:b/>
          <w:color w:val="D4A017"/>
          <w:sz w:val="17"/>
        </w:rPr>
        <w:t xml:space="preserve">Réponse : </w:t>
      </w:r>
      <w:r>
        <w:rPr>
          <w:color w:val="1F2937"/>
          <w:sz w:val="17"/>
        </w:rPr>
        <w:t>Résumer la promesse et les garde-fous de l’assistante.</w:t>
      </w:r>
    </w:p>
    <w:p>
      <w:pPr>
        <w:pStyle w:val="Normal"/>
        <w:keepNext w:val="true"/>
        <w:spacing w:before="40" w:after="0"/>
        <w:ind w:start="85" w:end="85"/>
        <w:rPr/>
      </w:pPr>
      <w:r>
        <w:rPr>
          <w:b/>
          <w:color w:val="0B3D91"/>
          <w:sz w:val="17"/>
        </w:rPr>
        <w:t>Q3. Quels éléments ou domaines sont couverts par « Une assistante unique, encadrée et transparente » ?</w:t>
      </w:r>
    </w:p>
    <w:p>
      <w:pPr>
        <w:pStyle w:val="Normal"/>
        <w:spacing w:before="0" w:after="40"/>
        <w:ind w:start="255" w:end="85"/>
        <w:rPr/>
      </w:pPr>
      <w:r>
        <w:rPr>
          <w:b/>
          <w:color w:val="D4A017"/>
          <w:sz w:val="17"/>
        </w:rPr>
        <w:t xml:space="preserve">Réponse : </w:t>
      </w:r>
      <w:r>
        <w:rPr>
          <w:color w:val="1F2937"/>
          <w:sz w:val="17"/>
        </w:rPr>
        <w:t>Explication, guidage, citations, encadrement et primauté de l’humain.</w:t>
      </w:r>
    </w:p>
    <w:p>
      <w:pPr>
        <w:pStyle w:val="Normal"/>
        <w:keepNext w:val="true"/>
        <w:spacing w:before="40" w:after="0"/>
        <w:ind w:start="85" w:end="85"/>
        <w:rPr/>
      </w:pPr>
      <w:r>
        <w:rPr>
          <w:b/>
          <w:color w:val="0B3D91"/>
          <w:sz w:val="17"/>
        </w:rPr>
        <w:t>Q4. Qui porte, coordonne ou garantit les éléments présentés dans « Une assistante unique, encadrée et transparente » ?</w:t>
      </w:r>
    </w:p>
    <w:p>
      <w:pPr>
        <w:pStyle w:val="Normal"/>
        <w:spacing w:before="0" w:after="40"/>
        <w:ind w:start="255" w:end="85"/>
        <w:rPr/>
      </w:pPr>
      <w:r>
        <w:rPr>
          <w:b/>
          <w:color w:val="D4A017"/>
          <w:sz w:val="17"/>
        </w:rPr>
        <w:t xml:space="preserve">Réponse : </w:t>
      </w:r>
      <w:r>
        <w:rPr>
          <w:color w:val="1F2937"/>
          <w:sz w:val="17"/>
        </w:rPr>
        <w:t>Le GSE définit son identité, ses règles et ses sources.</w:t>
      </w:r>
    </w:p>
    <w:p>
      <w:pPr>
        <w:pStyle w:val="Normal"/>
        <w:keepNext w:val="true"/>
        <w:spacing w:before="40" w:after="0"/>
        <w:ind w:start="85" w:end="85"/>
        <w:rPr/>
      </w:pPr>
      <w:r>
        <w:rPr>
          <w:b/>
          <w:color w:val="0B3D91"/>
          <w:sz w:val="17"/>
        </w:rPr>
        <w:t>Q5. Comment la section « Une assistante unique, encadrée et transparente » prévoit-elle la mise en œuvre ou le suivi ?</w:t>
      </w:r>
    </w:p>
    <w:p>
      <w:pPr>
        <w:pStyle w:val="Normal"/>
        <w:spacing w:before="0" w:after="40"/>
        <w:ind w:start="255" w:end="85"/>
        <w:rPr/>
      </w:pPr>
      <w:r>
        <w:rPr>
          <w:b/>
          <w:color w:val="D4A017"/>
          <w:sz w:val="17"/>
        </w:rPr>
        <w:t xml:space="preserve">Réponse : </w:t>
      </w:r>
      <w:r>
        <w:rPr>
          <w:color w:val="1F2937"/>
          <w:sz w:val="17"/>
        </w:rPr>
        <w:t>Les réponses sont fondées sur des contenus validés et les situations sensibles sont escaladées.</w:t>
      </w:r>
    </w:p>
    <w:p>
      <w:pPr>
        <w:pStyle w:val="Normal"/>
        <w:keepNext w:val="true"/>
        <w:spacing w:before="40" w:after="0"/>
        <w:ind w:start="85" w:end="85"/>
        <w:rPr/>
      </w:pPr>
      <w:r>
        <w:rPr>
          <w:b/>
          <w:color w:val="0B3D91"/>
          <w:sz w:val="17"/>
        </w:rPr>
        <w:t>Q6. Quelle preuve, référence, règle ou information de statut accompagne « Une assistante unique, encadrée et transparente » ?</w:t>
      </w:r>
    </w:p>
    <w:p>
      <w:pPr>
        <w:pStyle w:val="Normal"/>
        <w:spacing w:before="0" w:after="40"/>
        <w:ind w:start="255" w:end="85"/>
        <w:rPr/>
      </w:pPr>
      <w:r>
        <w:rPr>
          <w:b/>
          <w:color w:val="D4A017"/>
          <w:sz w:val="17"/>
        </w:rPr>
        <w:t xml:space="preserve">Réponse : </w:t>
      </w:r>
      <w:r>
        <w:rPr>
          <w:color w:val="1F2937"/>
          <w:sz w:val="17"/>
        </w:rPr>
        <w:t>Les références affichées rendent les réponses vérifiables.</w:t>
      </w:r>
    </w:p>
    <w:p>
      <w:pPr>
        <w:pStyle w:val="Normal"/>
        <w:keepNext w:val="true"/>
        <w:spacing w:before="40" w:after="0"/>
        <w:ind w:start="85" w:end="85"/>
        <w:rPr/>
      </w:pPr>
      <w:r>
        <w:rPr>
          <w:b/>
          <w:color w:val="0B3D91"/>
          <w:sz w:val="17"/>
        </w:rPr>
        <w:t>Q7. Quelles limites de diffusion, de décision ou d’accès sont précisées pour « Une assistante unique, encadrée et transparente » ?</w:t>
      </w:r>
    </w:p>
    <w:p>
      <w:pPr>
        <w:pStyle w:val="Normal"/>
        <w:spacing w:before="0" w:after="40"/>
        <w:ind w:start="255" w:end="85"/>
        <w:rPr/>
      </w:pPr>
      <w:r>
        <w:rPr>
          <w:b/>
          <w:color w:val="D4A017"/>
          <w:sz w:val="17"/>
        </w:rPr>
        <w:t xml:space="preserve">Réponse : </w:t>
      </w:r>
      <w:r>
        <w:rPr>
          <w:color w:val="1F2937"/>
          <w:sz w:val="17"/>
        </w:rPr>
        <w:t>L’assistante ne décide pas à la place des responsables habilités.</w:t>
      </w:r>
    </w:p>
    <w:p>
      <w:pPr>
        <w:pStyle w:val="Normal"/>
        <w:keepNext w:val="true"/>
        <w:spacing w:before="40" w:after="0"/>
        <w:ind w:start="85" w:end="85"/>
        <w:rPr/>
      </w:pPr>
      <w:r>
        <w:rPr>
          <w:b/>
          <w:color w:val="0B3D91"/>
          <w:sz w:val="17"/>
        </w:rPr>
        <w:t>Q8. À quels publics ou bénéficiaires la section « Une assistante unique, encadrée et transparente » est-elle principalement destinée ?</w:t>
      </w:r>
    </w:p>
    <w:p>
      <w:pPr>
        <w:pStyle w:val="Normal"/>
        <w:spacing w:before="0" w:after="40"/>
        <w:ind w:start="255" w:end="85"/>
        <w:rPr/>
      </w:pPr>
      <w:r>
        <w:rPr>
          <w:b/>
          <w:color w:val="D4A017"/>
          <w:sz w:val="17"/>
        </w:rPr>
        <w:t xml:space="preserve">Réponse : </w:t>
      </w:r>
      <w:r>
        <w:rPr>
          <w:color w:val="1F2937"/>
          <w:sz w:val="17"/>
        </w:rPr>
        <w:t>Toute personne utilisant l’interface d’assistance.</w:t>
      </w:r>
    </w:p>
    <w:p>
      <w:pPr>
        <w:pStyle w:val="Normal"/>
        <w:keepNext w:val="true"/>
        <w:spacing w:before="40" w:after="0"/>
        <w:ind w:start="85" w:end="85"/>
        <w:rPr/>
      </w:pPr>
      <w:r>
        <w:rPr>
          <w:b/>
          <w:color w:val="0B3D91"/>
          <w:sz w:val="17"/>
        </w:rPr>
        <w:t>Q9. À quelles autres rubriques ou fonctions du site « Une assistante unique, encadrée et transparente » est-il relié ?</w:t>
      </w:r>
    </w:p>
    <w:p>
      <w:pPr>
        <w:pStyle w:val="Normal"/>
        <w:spacing w:before="0" w:after="40"/>
        <w:ind w:start="255" w:end="85"/>
        <w:rPr/>
      </w:pPr>
      <w:r>
        <w:rPr>
          <w:b/>
          <w:color w:val="D4A017"/>
          <w:sz w:val="17"/>
        </w:rPr>
        <w:t xml:space="preserve">Réponse : </w:t>
      </w:r>
      <w:r>
        <w:rPr>
          <w:color w:val="1F2937"/>
          <w:sz w:val="17"/>
        </w:rPr>
        <w:t>Lien avec Une identité unique, Sources et transparence et Confidentialité.</w:t>
      </w:r>
    </w:p>
    <w:p>
      <w:pPr>
        <w:pStyle w:val="Normal"/>
        <w:keepNext w:val="true"/>
        <w:spacing w:before="40" w:after="0"/>
        <w:ind w:start="85" w:end="85"/>
        <w:rPr/>
      </w:pPr>
      <w:r>
        <w:rPr>
          <w:b/>
          <w:color w:val="0B3D91"/>
          <w:sz w:val="17"/>
        </w:rPr>
        <w:t>Q10. Quelle action, orientation ou résultat concret le lecteur peut-il retenir de « Une assistante unique, encadrée et transparente » ?</w:t>
      </w:r>
    </w:p>
    <w:p>
      <w:pPr>
        <w:pStyle w:val="Normal"/>
        <w:spacing w:before="0" w:after="40"/>
        <w:ind w:start="255" w:end="85"/>
        <w:rPr/>
      </w:pPr>
      <w:r>
        <w:rPr>
          <w:b/>
          <w:color w:val="D4A017"/>
          <w:sz w:val="17"/>
        </w:rPr>
        <w:t xml:space="preserve">Réponse : </w:t>
      </w:r>
      <w:r>
        <w:rPr>
          <w:color w:val="1F2937"/>
          <w:sz w:val="17"/>
        </w:rPr>
        <w:t>Vérifier les sources et demander une intervention humaine pour les décisions.</w:t>
      </w:r>
    </w:p>
    <w:p>
      <w:pPr>
        <w:pStyle w:val="Normal"/>
        <w:rPr/>
      </w:pPr>
      <w:r>
        <w:rPr/>
      </w:r>
      <w:r>
        <w:br w:type="page"/>
      </w:r>
    </w:p>
    <w:p>
      <w:pPr>
        <w:pStyle w:val="Heading2"/>
        <w:spacing w:before="0" w:after="80"/>
        <w:rPr/>
      </w:pPr>
      <w:r>
        <w:rPr/>
        <w:t>FICHE 51 — Une identité unique</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conserve la même identité, le même ton et la même voix féminine officielle dans tous les modules; seules les informations et actions varient selon les rôles et habilitations.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évite la fragmentation en plusieurs personnalités ou voix.</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identité uniforme renforce la confiance et la cohérence de la communication.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rôles, accès, personnalisation autorisée et gouvernance numérique.</w:t>
            </w:r>
          </w:p>
        </w:tc>
      </w:tr>
    </w:tbl>
    <w:p>
      <w:pPr>
        <w:pStyle w:val="Heading3"/>
        <w:rPr/>
      </w:pPr>
      <w:r>
        <w:rPr/>
        <w:t>Points développés</w:t>
      </w:r>
    </w:p>
    <w:p>
      <w:pPr>
        <w:pStyle w:val="ListBullet"/>
        <w:numPr>
          <w:ilvl w:val="0"/>
          <w:numId w:val="1"/>
        </w:numPr>
        <w:spacing w:before="0" w:after="20"/>
        <w:ind w:hanging="360" w:start="255"/>
        <w:contextualSpacing/>
        <w:rPr/>
      </w:pPr>
      <w:r>
        <w:rPr>
          <w:sz w:val="18"/>
        </w:rPr>
        <w:t>Identité uniforme</w:t>
      </w:r>
    </w:p>
    <w:p>
      <w:pPr>
        <w:pStyle w:val="ListBullet"/>
        <w:numPr>
          <w:ilvl w:val="0"/>
          <w:numId w:val="1"/>
        </w:numPr>
        <w:spacing w:before="0" w:after="20"/>
        <w:ind w:hanging="360" w:start="255"/>
        <w:contextualSpacing/>
        <w:rPr/>
      </w:pPr>
      <w:r>
        <w:rPr>
          <w:sz w:val="18"/>
        </w:rPr>
        <w:t>Ton institutionnel</w:t>
      </w:r>
    </w:p>
    <w:p>
      <w:pPr>
        <w:pStyle w:val="ListBullet"/>
        <w:numPr>
          <w:ilvl w:val="0"/>
          <w:numId w:val="1"/>
        </w:numPr>
        <w:spacing w:before="0" w:after="20"/>
        <w:ind w:hanging="360" w:start="255"/>
        <w:contextualSpacing/>
        <w:rPr/>
      </w:pPr>
      <w:r>
        <w:rPr>
          <w:sz w:val="18"/>
        </w:rPr>
        <w:t>Voix féminine officielle</w:t>
      </w:r>
    </w:p>
    <w:p>
      <w:pPr>
        <w:pStyle w:val="ListBullet"/>
        <w:numPr>
          <w:ilvl w:val="0"/>
          <w:numId w:val="1"/>
        </w:numPr>
        <w:spacing w:before="0" w:after="20"/>
        <w:ind w:hanging="360" w:start="255"/>
        <w:contextualSpacing/>
        <w:rPr/>
      </w:pPr>
      <w:r>
        <w:rPr>
          <w:sz w:val="18"/>
        </w:rPr>
        <w:t>Adaptation selon rôle</w:t>
      </w:r>
    </w:p>
    <w:p>
      <w:pPr>
        <w:pStyle w:val="ListBullet"/>
        <w:numPr>
          <w:ilvl w:val="0"/>
          <w:numId w:val="1"/>
        </w:numPr>
        <w:spacing w:before="0" w:after="20"/>
        <w:ind w:hanging="360" w:start="255"/>
        <w:contextualSpacing/>
        <w:rPr/>
      </w:pPr>
      <w:r>
        <w:rPr>
          <w:sz w:val="18"/>
        </w:rPr>
        <w:t>Respect des habilitations</w:t>
      </w:r>
    </w:p>
    <w:p>
      <w:pPr>
        <w:pStyle w:val="Heading3"/>
        <w:rPr/>
      </w:pPr>
      <w:r>
        <w:rPr/>
        <w:t>Banque de questions-réponses</w:t>
      </w:r>
    </w:p>
    <w:p>
      <w:pPr>
        <w:pStyle w:val="Normal"/>
        <w:keepNext w:val="true"/>
        <w:spacing w:before="40" w:after="0"/>
        <w:ind w:start="85" w:end="85"/>
        <w:rPr/>
      </w:pPr>
      <w:r>
        <w:rPr>
          <w:b/>
          <w:color w:val="0B3D91"/>
          <w:sz w:val="17"/>
        </w:rPr>
        <w:t>Q1. Que présente la section « Une identité unique » ?</w:t>
      </w:r>
    </w:p>
    <w:p>
      <w:pPr>
        <w:pStyle w:val="Normal"/>
        <w:spacing w:before="0" w:after="40"/>
        <w:ind w:start="255" w:end="85"/>
        <w:rPr/>
      </w:pPr>
      <w:r>
        <w:rPr>
          <w:b/>
          <w:color w:val="D4A017"/>
          <w:sz w:val="17"/>
        </w:rPr>
        <w:t xml:space="preserve">Réponse : </w:t>
      </w:r>
      <w:r>
        <w:rPr>
          <w:color w:val="1F2937"/>
          <w:sz w:val="17"/>
        </w:rPr>
        <w:t>ÉMINA conserve la même identité, le même ton et la même voix féminine officielle dans tous les modules; seules les informations et actions varient selon les rôles et habilitations.</w:t>
      </w:r>
    </w:p>
    <w:p>
      <w:pPr>
        <w:pStyle w:val="Normal"/>
        <w:keepNext w:val="true"/>
        <w:spacing w:before="40" w:after="0"/>
        <w:ind w:start="85" w:end="85"/>
        <w:rPr/>
      </w:pPr>
      <w:r>
        <w:rPr>
          <w:b/>
          <w:color w:val="0B3D91"/>
          <w:sz w:val="17"/>
        </w:rPr>
        <w:t>Q2. Quel est l’objectif principal exposé dans « Une identité unique » ?</w:t>
      </w:r>
    </w:p>
    <w:p>
      <w:pPr>
        <w:pStyle w:val="Normal"/>
        <w:spacing w:before="0" w:after="40"/>
        <w:ind w:start="255" w:end="85"/>
        <w:rPr/>
      </w:pPr>
      <w:r>
        <w:rPr>
          <w:b/>
          <w:color w:val="D4A017"/>
          <w:sz w:val="17"/>
        </w:rPr>
        <w:t xml:space="preserve">Réponse : </w:t>
      </w:r>
      <w:r>
        <w:rPr>
          <w:color w:val="1F2937"/>
          <w:sz w:val="17"/>
        </w:rPr>
        <w:t>Garantir une expérience cohérente dans tout l’écosystème numérique du GSE.</w:t>
      </w:r>
    </w:p>
    <w:p>
      <w:pPr>
        <w:pStyle w:val="Normal"/>
        <w:keepNext w:val="true"/>
        <w:spacing w:before="40" w:after="0"/>
        <w:ind w:start="85" w:end="85"/>
        <w:rPr/>
      </w:pPr>
      <w:r>
        <w:rPr>
          <w:b/>
          <w:color w:val="0B3D91"/>
          <w:sz w:val="17"/>
        </w:rPr>
        <w:t>Q3. Quels éléments ou domaines sont couverts par « Une identité unique » ?</w:t>
      </w:r>
    </w:p>
    <w:p>
      <w:pPr>
        <w:pStyle w:val="Normal"/>
        <w:spacing w:before="0" w:after="40"/>
        <w:ind w:start="255" w:end="85"/>
        <w:rPr/>
      </w:pPr>
      <w:r>
        <w:rPr>
          <w:b/>
          <w:color w:val="D4A017"/>
          <w:sz w:val="17"/>
        </w:rPr>
        <w:t xml:space="preserve">Réponse : </w:t>
      </w:r>
      <w:r>
        <w:rPr>
          <w:color w:val="1F2937"/>
          <w:sz w:val="17"/>
        </w:rPr>
        <w:t>Identité, ton, voix, rôles, habilitations et adaptation du contenu.</w:t>
      </w:r>
    </w:p>
    <w:p>
      <w:pPr>
        <w:pStyle w:val="Normal"/>
        <w:keepNext w:val="true"/>
        <w:spacing w:before="40" w:after="0"/>
        <w:ind w:start="85" w:end="85"/>
        <w:rPr/>
      </w:pPr>
      <w:r>
        <w:rPr>
          <w:b/>
          <w:color w:val="0B3D91"/>
          <w:sz w:val="17"/>
        </w:rPr>
        <w:t>Q4. Qui porte, coordonne ou garantit les éléments présentés dans « Une identité unique » ?</w:t>
      </w:r>
    </w:p>
    <w:p>
      <w:pPr>
        <w:pStyle w:val="Normal"/>
        <w:spacing w:before="0" w:after="40"/>
        <w:ind w:start="255" w:end="85"/>
        <w:rPr/>
      </w:pPr>
      <w:r>
        <w:rPr>
          <w:b/>
          <w:color w:val="D4A017"/>
          <w:sz w:val="17"/>
        </w:rPr>
        <w:t xml:space="preserve">Réponse : </w:t>
      </w:r>
      <w:r>
        <w:rPr>
          <w:color w:val="1F2937"/>
          <w:sz w:val="17"/>
        </w:rPr>
        <w:t>Le GSE définit l’identité officielle; le DSI applique les règles techniques.</w:t>
      </w:r>
    </w:p>
    <w:p>
      <w:pPr>
        <w:pStyle w:val="Normal"/>
        <w:keepNext w:val="true"/>
        <w:spacing w:before="40" w:after="0"/>
        <w:ind w:start="85" w:end="85"/>
        <w:rPr/>
      </w:pPr>
      <w:r>
        <w:rPr>
          <w:b/>
          <w:color w:val="0B3D91"/>
          <w:sz w:val="17"/>
        </w:rPr>
        <w:t>Q5. Comment la section « Une identité unique » prévoit-elle la mise en œuvre ou le suivi ?</w:t>
      </w:r>
    </w:p>
    <w:p>
      <w:pPr>
        <w:pStyle w:val="Normal"/>
        <w:spacing w:before="0" w:after="40"/>
        <w:ind w:start="255" w:end="85"/>
        <w:rPr/>
      </w:pPr>
      <w:r>
        <w:rPr>
          <w:b/>
          <w:color w:val="D4A017"/>
          <w:sz w:val="17"/>
        </w:rPr>
        <w:t xml:space="preserve">Réponse : </w:t>
      </w:r>
      <w:r>
        <w:rPr>
          <w:color w:val="1F2937"/>
          <w:sz w:val="17"/>
        </w:rPr>
        <w:t>Le système adapte les informations autorisées sans changer la personnalité institutionnelle.</w:t>
      </w:r>
    </w:p>
    <w:p>
      <w:pPr>
        <w:pStyle w:val="Normal"/>
        <w:keepNext w:val="true"/>
        <w:spacing w:before="40" w:after="0"/>
        <w:ind w:start="85" w:end="85"/>
        <w:rPr/>
      </w:pPr>
      <w:r>
        <w:rPr>
          <w:b/>
          <w:color w:val="0B3D91"/>
          <w:sz w:val="17"/>
        </w:rPr>
        <w:t>Q6. Quelle preuve, référence, règle ou information de statut accompagne « Une identité unique » ?</w:t>
      </w:r>
    </w:p>
    <w:p>
      <w:pPr>
        <w:pStyle w:val="Normal"/>
        <w:spacing w:before="0" w:after="40"/>
        <w:ind w:start="255" w:end="85"/>
        <w:rPr/>
      </w:pPr>
      <w:r>
        <w:rPr>
          <w:b/>
          <w:color w:val="D4A017"/>
          <w:sz w:val="17"/>
        </w:rPr>
        <w:t xml:space="preserve">Réponse : </w:t>
      </w:r>
      <w:r>
        <w:rPr>
          <w:color w:val="1F2937"/>
          <w:sz w:val="17"/>
        </w:rPr>
        <w:t>Les configurations centralisées et les droits par rôle assurent la cohérence.</w:t>
      </w:r>
    </w:p>
    <w:p>
      <w:pPr>
        <w:pStyle w:val="Normal"/>
        <w:keepNext w:val="true"/>
        <w:spacing w:before="40" w:after="0"/>
        <w:ind w:start="85" w:end="85"/>
        <w:rPr/>
      </w:pPr>
      <w:r>
        <w:rPr>
          <w:b/>
          <w:color w:val="0B3D91"/>
          <w:sz w:val="17"/>
        </w:rPr>
        <w:t>Q7. Quelles limites de diffusion, de décision ou d’accès sont précisées pour « Une identité unique » ?</w:t>
      </w:r>
    </w:p>
    <w:p>
      <w:pPr>
        <w:pStyle w:val="Normal"/>
        <w:spacing w:before="0" w:after="40"/>
        <w:ind w:start="255" w:end="85"/>
        <w:rPr/>
      </w:pPr>
      <w:r>
        <w:rPr>
          <w:b/>
          <w:color w:val="D4A017"/>
          <w:sz w:val="17"/>
        </w:rPr>
        <w:t xml:space="preserve">Réponse : </w:t>
      </w:r>
      <w:r>
        <w:rPr>
          <w:color w:val="1F2937"/>
          <w:sz w:val="17"/>
        </w:rPr>
        <w:t>Aucune adaptation ne doit contourner les habilitations ou révéler des informations non autorisées.</w:t>
      </w:r>
    </w:p>
    <w:p>
      <w:pPr>
        <w:pStyle w:val="Normal"/>
        <w:keepNext w:val="true"/>
        <w:spacing w:before="40" w:after="0"/>
        <w:ind w:start="85" w:end="85"/>
        <w:rPr/>
      </w:pPr>
      <w:r>
        <w:rPr>
          <w:b/>
          <w:color w:val="0B3D91"/>
          <w:sz w:val="17"/>
        </w:rPr>
        <w:t>Q8. À quels publics ou bénéficiaires la section « Une identité unique » est-elle principalement destinée ?</w:t>
      </w:r>
    </w:p>
    <w:p>
      <w:pPr>
        <w:pStyle w:val="Normal"/>
        <w:spacing w:before="0" w:after="40"/>
        <w:ind w:start="255" w:end="85"/>
        <w:rPr/>
      </w:pPr>
      <w:r>
        <w:rPr>
          <w:b/>
          <w:color w:val="D4A017"/>
          <w:sz w:val="17"/>
        </w:rPr>
        <w:t xml:space="preserve">Réponse : </w:t>
      </w:r>
      <w:r>
        <w:rPr>
          <w:color w:val="1F2937"/>
          <w:sz w:val="17"/>
        </w:rPr>
        <w:t>Tous les utilisateurs des différents modules.</w:t>
      </w:r>
    </w:p>
    <w:p>
      <w:pPr>
        <w:pStyle w:val="Normal"/>
        <w:keepNext w:val="true"/>
        <w:spacing w:before="40" w:after="0"/>
        <w:ind w:start="85" w:end="85"/>
        <w:rPr/>
      </w:pPr>
      <w:r>
        <w:rPr>
          <w:b/>
          <w:color w:val="0B3D91"/>
          <w:sz w:val="17"/>
        </w:rPr>
        <w:t>Q9. À quelles autres rubriques ou fonctions du site « Une identité unique » est-il relié ?</w:t>
      </w:r>
    </w:p>
    <w:p>
      <w:pPr>
        <w:pStyle w:val="Normal"/>
        <w:spacing w:before="0" w:after="40"/>
        <w:ind w:start="255" w:end="85"/>
        <w:rPr/>
      </w:pPr>
      <w:r>
        <w:rPr>
          <w:b/>
          <w:color w:val="D4A017"/>
          <w:sz w:val="17"/>
        </w:rPr>
        <w:t xml:space="preserve">Réponse : </w:t>
      </w:r>
      <w:r>
        <w:rPr>
          <w:color w:val="1F2937"/>
          <w:sz w:val="17"/>
        </w:rPr>
        <w:t>Lien avec DSI, identité institutionnelle, Espace Parents et logiciels GSE.</w:t>
      </w:r>
    </w:p>
    <w:p>
      <w:pPr>
        <w:pStyle w:val="Normal"/>
        <w:keepNext w:val="true"/>
        <w:spacing w:before="40" w:after="0"/>
        <w:ind w:start="85" w:end="85"/>
        <w:rPr/>
      </w:pPr>
      <w:r>
        <w:rPr>
          <w:b/>
          <w:color w:val="0B3D91"/>
          <w:sz w:val="17"/>
        </w:rPr>
        <w:t>Q10. Quelle action, orientation ou résultat concret le lecteur peut-il retenir de « Une identité unique » ?</w:t>
      </w:r>
    </w:p>
    <w:p>
      <w:pPr>
        <w:pStyle w:val="Normal"/>
        <w:spacing w:before="0" w:after="40"/>
        <w:ind w:start="255" w:end="85"/>
        <w:rPr/>
      </w:pPr>
      <w:r>
        <w:rPr>
          <w:b/>
          <w:color w:val="D4A017"/>
          <w:sz w:val="17"/>
        </w:rPr>
        <w:t xml:space="preserve">Réponse : </w:t>
      </w:r>
      <w:r>
        <w:rPr>
          <w:color w:val="1F2937"/>
          <w:sz w:val="17"/>
        </w:rPr>
        <w:t>Reconnaître ÉMINA comme la même assistante dans tous les services, avec des droits adaptés.</w:t>
      </w:r>
    </w:p>
    <w:p>
      <w:pPr>
        <w:pStyle w:val="Normal"/>
        <w:rPr/>
      </w:pPr>
      <w:r>
        <w:rPr/>
      </w:r>
      <w:r>
        <w:br w:type="page"/>
      </w:r>
    </w:p>
    <w:p>
      <w:pPr>
        <w:pStyle w:val="Heading2"/>
        <w:spacing w:before="0" w:after="80"/>
        <w:rPr/>
      </w:pPr>
      <w:r>
        <w:rPr/>
        <w:t>FICHE 52 — Voici l’aide qu’ÉMINA peut vous apporter</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peut expliquer, retrouver, guider et escalader vers une personne habilitée.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introduit une liste concrète de capacités plutôt qu’une promesse vague.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aide l’utilisateur à savoir quelles demandes sont appropriées.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les quatre sous-sections Expliquer, Retrouver, Guider et Escalader.</w:t>
            </w:r>
          </w:p>
        </w:tc>
      </w:tr>
    </w:tbl>
    <w:p>
      <w:pPr>
        <w:pStyle w:val="Heading3"/>
        <w:rPr/>
      </w:pPr>
      <w:r>
        <w:rPr/>
        <w:t>Points développés</w:t>
      </w:r>
    </w:p>
    <w:p>
      <w:pPr>
        <w:pStyle w:val="ListBullet"/>
        <w:numPr>
          <w:ilvl w:val="0"/>
          <w:numId w:val="1"/>
        </w:numPr>
        <w:spacing w:before="0" w:after="20"/>
        <w:ind w:hanging="360" w:start="255"/>
        <w:contextualSpacing/>
        <w:rPr/>
      </w:pPr>
      <w:r>
        <w:rPr>
          <w:sz w:val="18"/>
        </w:rPr>
        <w:t>Expliquer</w:t>
      </w:r>
    </w:p>
    <w:p>
      <w:pPr>
        <w:pStyle w:val="ListBullet"/>
        <w:numPr>
          <w:ilvl w:val="0"/>
          <w:numId w:val="1"/>
        </w:numPr>
        <w:spacing w:before="0" w:after="20"/>
        <w:ind w:hanging="360" w:start="255"/>
        <w:contextualSpacing/>
        <w:rPr/>
      </w:pPr>
      <w:r>
        <w:rPr>
          <w:sz w:val="18"/>
        </w:rPr>
        <w:t>Retrouver</w:t>
      </w:r>
    </w:p>
    <w:p>
      <w:pPr>
        <w:pStyle w:val="ListBullet"/>
        <w:numPr>
          <w:ilvl w:val="0"/>
          <w:numId w:val="1"/>
        </w:numPr>
        <w:spacing w:before="0" w:after="20"/>
        <w:ind w:hanging="360" w:start="255"/>
        <w:contextualSpacing/>
        <w:rPr/>
      </w:pPr>
      <w:r>
        <w:rPr>
          <w:sz w:val="18"/>
        </w:rPr>
        <w:t>Guider</w:t>
      </w:r>
    </w:p>
    <w:p>
      <w:pPr>
        <w:pStyle w:val="ListBullet"/>
        <w:numPr>
          <w:ilvl w:val="0"/>
          <w:numId w:val="1"/>
        </w:numPr>
        <w:spacing w:before="0" w:after="20"/>
        <w:ind w:hanging="360" w:start="255"/>
        <w:contextualSpacing/>
        <w:rPr/>
      </w:pPr>
      <w:r>
        <w:rPr>
          <w:sz w:val="18"/>
        </w:rPr>
        <w:t>Escalader</w:t>
      </w:r>
    </w:p>
    <w:p>
      <w:pPr>
        <w:pStyle w:val="Heading3"/>
        <w:rPr/>
      </w:pPr>
      <w:r>
        <w:rPr/>
        <w:t>Banque de questions-réponses</w:t>
      </w:r>
    </w:p>
    <w:p>
      <w:pPr>
        <w:pStyle w:val="Normal"/>
        <w:keepNext w:val="true"/>
        <w:spacing w:before="40" w:after="0"/>
        <w:ind w:start="85" w:end="85"/>
        <w:rPr/>
      </w:pPr>
      <w:r>
        <w:rPr>
          <w:b/>
          <w:color w:val="0B3D91"/>
          <w:sz w:val="17"/>
        </w:rPr>
        <w:t>Q1. Que présente la section « Voici l’aide qu’ÉMINA peut vous apporter » ?</w:t>
      </w:r>
    </w:p>
    <w:p>
      <w:pPr>
        <w:pStyle w:val="Normal"/>
        <w:spacing w:before="0" w:after="40"/>
        <w:ind w:start="255" w:end="85"/>
        <w:rPr/>
      </w:pPr>
      <w:r>
        <w:rPr>
          <w:b/>
          <w:color w:val="D4A017"/>
          <w:sz w:val="17"/>
        </w:rPr>
        <w:t xml:space="preserve">Réponse : </w:t>
      </w:r>
      <w:r>
        <w:rPr>
          <w:color w:val="1F2937"/>
          <w:sz w:val="17"/>
        </w:rPr>
        <w:t>ÉMINA peut expliquer, retrouver, guider et escalader vers une personne habilitée.</w:t>
      </w:r>
    </w:p>
    <w:p>
      <w:pPr>
        <w:pStyle w:val="Normal"/>
        <w:keepNext w:val="true"/>
        <w:spacing w:before="40" w:after="0"/>
        <w:ind w:start="85" w:end="85"/>
        <w:rPr/>
      </w:pPr>
      <w:r>
        <w:rPr>
          <w:b/>
          <w:color w:val="0B3D91"/>
          <w:sz w:val="17"/>
        </w:rPr>
        <w:t>Q2. Quel est l’objectif principal exposé dans « Voici l’aide qu’ÉMINA peut vous apporter » ?</w:t>
      </w:r>
    </w:p>
    <w:p>
      <w:pPr>
        <w:pStyle w:val="Normal"/>
        <w:spacing w:before="0" w:after="40"/>
        <w:ind w:start="255" w:end="85"/>
        <w:rPr/>
      </w:pPr>
      <w:r>
        <w:rPr>
          <w:b/>
          <w:color w:val="D4A017"/>
          <w:sz w:val="17"/>
        </w:rPr>
        <w:t xml:space="preserve">Réponse : </w:t>
      </w:r>
      <w:r>
        <w:rPr>
          <w:color w:val="1F2937"/>
          <w:sz w:val="17"/>
        </w:rPr>
        <w:t>Présenter les quatre catégories principales de service offertes au public.</w:t>
      </w:r>
    </w:p>
    <w:p>
      <w:pPr>
        <w:pStyle w:val="Normal"/>
        <w:keepNext w:val="true"/>
        <w:spacing w:before="40" w:after="0"/>
        <w:ind w:start="85" w:end="85"/>
        <w:rPr/>
      </w:pPr>
      <w:r>
        <w:rPr>
          <w:b/>
          <w:color w:val="0B3D91"/>
          <w:sz w:val="17"/>
        </w:rPr>
        <w:t>Q3. Quels éléments ou domaines sont couverts par « Voici l’aide qu’ÉMINA peut vous apporter » ?</w:t>
      </w:r>
    </w:p>
    <w:p>
      <w:pPr>
        <w:pStyle w:val="Normal"/>
        <w:spacing w:before="0" w:after="40"/>
        <w:ind w:start="255" w:end="85"/>
        <w:rPr/>
      </w:pPr>
      <w:r>
        <w:rPr>
          <w:b/>
          <w:color w:val="D4A017"/>
          <w:sz w:val="17"/>
        </w:rPr>
        <w:t xml:space="preserve">Réponse : </w:t>
      </w:r>
      <w:r>
        <w:rPr>
          <w:color w:val="1F2937"/>
          <w:sz w:val="17"/>
        </w:rPr>
        <w:t>Explication, recherche de source, guidage vers une étape et orientation humaine.</w:t>
      </w:r>
    </w:p>
    <w:p>
      <w:pPr>
        <w:pStyle w:val="Normal"/>
        <w:keepNext w:val="true"/>
        <w:spacing w:before="40" w:after="0"/>
        <w:ind w:start="85" w:end="85"/>
        <w:rPr/>
      </w:pPr>
      <w:r>
        <w:rPr>
          <w:b/>
          <w:color w:val="0B3D91"/>
          <w:sz w:val="17"/>
        </w:rPr>
        <w:t>Q4. Qui porte, coordonne ou garantit les éléments présentés dans « Voici l’aide qu’ÉMINA peut vous apporter » ?</w:t>
      </w:r>
    </w:p>
    <w:p>
      <w:pPr>
        <w:pStyle w:val="Normal"/>
        <w:spacing w:before="0" w:after="40"/>
        <w:ind w:start="255" w:end="85"/>
        <w:rPr/>
      </w:pPr>
      <w:r>
        <w:rPr>
          <w:b/>
          <w:color w:val="D4A017"/>
          <w:sz w:val="17"/>
        </w:rPr>
        <w:t xml:space="preserve">Réponse : </w:t>
      </w:r>
      <w:r>
        <w:rPr>
          <w:color w:val="1F2937"/>
          <w:sz w:val="17"/>
        </w:rPr>
        <w:t>ÉMINA exécute ces fonctions dans le cadre défini par le GSE.</w:t>
      </w:r>
    </w:p>
    <w:p>
      <w:pPr>
        <w:pStyle w:val="Normal"/>
        <w:keepNext w:val="true"/>
        <w:spacing w:before="40" w:after="0"/>
        <w:ind w:start="85" w:end="85"/>
        <w:rPr/>
      </w:pPr>
      <w:r>
        <w:rPr>
          <w:b/>
          <w:color w:val="0B3D91"/>
          <w:sz w:val="17"/>
        </w:rPr>
        <w:t>Q5. Comment la section « Voici l’aide qu’ÉMINA peut vous apporter » prévoit-elle la mise en œuvre ou le suivi ?</w:t>
      </w:r>
    </w:p>
    <w:p>
      <w:pPr>
        <w:pStyle w:val="Normal"/>
        <w:spacing w:before="0" w:after="40"/>
        <w:ind w:start="255" w:end="85"/>
        <w:rPr/>
      </w:pPr>
      <w:r>
        <w:rPr>
          <w:b/>
          <w:color w:val="D4A017"/>
          <w:sz w:val="17"/>
        </w:rPr>
        <w:t xml:space="preserve">Réponse : </w:t>
      </w:r>
      <w:r>
        <w:rPr>
          <w:color w:val="1F2937"/>
          <w:sz w:val="17"/>
        </w:rPr>
        <w:t>Elle utilise les sources publiques puis choisit l’action d’information ou d’orientation adaptée.</w:t>
      </w:r>
    </w:p>
    <w:p>
      <w:pPr>
        <w:pStyle w:val="Normal"/>
        <w:keepNext w:val="true"/>
        <w:spacing w:before="40" w:after="0"/>
        <w:ind w:start="85" w:end="85"/>
        <w:rPr/>
      </w:pPr>
      <w:r>
        <w:rPr>
          <w:b/>
          <w:color w:val="0B3D91"/>
          <w:sz w:val="17"/>
        </w:rPr>
        <w:t>Q6. Quelle preuve, référence, règle ou information de statut accompagne « Voici l’aide qu’ÉMINA peut vous apporter » ?</w:t>
      </w:r>
    </w:p>
    <w:p>
      <w:pPr>
        <w:pStyle w:val="Normal"/>
        <w:spacing w:before="0" w:after="40"/>
        <w:ind w:start="255" w:end="85"/>
        <w:rPr/>
      </w:pPr>
      <w:r>
        <w:rPr>
          <w:b/>
          <w:color w:val="D4A017"/>
          <w:sz w:val="17"/>
        </w:rPr>
        <w:t xml:space="preserve">Réponse : </w:t>
      </w:r>
      <w:r>
        <w:rPr>
          <w:color w:val="1F2937"/>
          <w:sz w:val="17"/>
        </w:rPr>
        <w:t>Les références et liens proposés permettent de vérifier le résultat.</w:t>
      </w:r>
    </w:p>
    <w:p>
      <w:pPr>
        <w:pStyle w:val="Normal"/>
        <w:keepNext w:val="true"/>
        <w:spacing w:before="40" w:after="0"/>
        <w:ind w:start="85" w:end="85"/>
        <w:rPr/>
      </w:pPr>
      <w:r>
        <w:rPr>
          <w:b/>
          <w:color w:val="0B3D91"/>
          <w:sz w:val="17"/>
        </w:rPr>
        <w:t>Q7. Quelles limites de diffusion, de décision ou d’accès sont précisées pour « Voici l’aide qu’ÉMINA peut vous apporter » ?</w:t>
      </w:r>
    </w:p>
    <w:p>
      <w:pPr>
        <w:pStyle w:val="Normal"/>
        <w:spacing w:before="0" w:after="40"/>
        <w:ind w:start="255" w:end="85"/>
        <w:rPr/>
      </w:pPr>
      <w:r>
        <w:rPr>
          <w:b/>
          <w:color w:val="D4A017"/>
          <w:sz w:val="17"/>
        </w:rPr>
        <w:t xml:space="preserve">Réponse : </w:t>
      </w:r>
      <w:r>
        <w:rPr>
          <w:color w:val="1F2937"/>
          <w:sz w:val="17"/>
        </w:rPr>
        <w:t>Elle ne crée pas de décision à la place de l’école.</w:t>
      </w:r>
    </w:p>
    <w:p>
      <w:pPr>
        <w:pStyle w:val="Normal"/>
        <w:keepNext w:val="true"/>
        <w:spacing w:before="40" w:after="0"/>
        <w:ind w:start="85" w:end="85"/>
        <w:rPr/>
      </w:pPr>
      <w:r>
        <w:rPr>
          <w:b/>
          <w:color w:val="0B3D91"/>
          <w:sz w:val="17"/>
        </w:rPr>
        <w:t>Q8. À quels publics ou bénéficiaires la section « Voici l’aide qu’ÉMINA peut vous apporter » est-elle principalement destinée ?</w:t>
      </w:r>
    </w:p>
    <w:p>
      <w:pPr>
        <w:pStyle w:val="Normal"/>
        <w:spacing w:before="0" w:after="40"/>
        <w:ind w:start="255" w:end="85"/>
        <w:rPr/>
      </w:pPr>
      <w:r>
        <w:rPr>
          <w:b/>
          <w:color w:val="D4A017"/>
          <w:sz w:val="17"/>
        </w:rPr>
        <w:t xml:space="preserve">Réponse : </w:t>
      </w:r>
      <w:r>
        <w:rPr>
          <w:color w:val="1F2937"/>
          <w:sz w:val="17"/>
        </w:rPr>
        <w:t>Utilisateurs recherchant une information ou un parcours institutionnel.</w:t>
      </w:r>
    </w:p>
    <w:p>
      <w:pPr>
        <w:pStyle w:val="Normal"/>
        <w:keepNext w:val="true"/>
        <w:spacing w:before="40" w:after="0"/>
        <w:ind w:start="85" w:end="85"/>
        <w:rPr/>
      </w:pPr>
      <w:r>
        <w:rPr>
          <w:b/>
          <w:color w:val="0B3D91"/>
          <w:sz w:val="17"/>
        </w:rPr>
        <w:t>Q9. À quelles autres rubriques ou fonctions du site « Voici l’aide qu’ÉMINA peut vous apporter » est-il relié ?</w:t>
      </w:r>
    </w:p>
    <w:p>
      <w:pPr>
        <w:pStyle w:val="Normal"/>
        <w:spacing w:before="0" w:after="40"/>
        <w:ind w:start="255" w:end="85"/>
        <w:rPr/>
      </w:pPr>
      <w:r>
        <w:rPr>
          <w:b/>
          <w:color w:val="D4A017"/>
          <w:sz w:val="17"/>
        </w:rPr>
        <w:t xml:space="preserve">Réponse : </w:t>
      </w:r>
      <w:r>
        <w:rPr>
          <w:color w:val="1F2937"/>
          <w:sz w:val="17"/>
        </w:rPr>
        <w:t>Lien avec Programmes, Agrément, Qualité, Admissions, Documentation et Départements.</w:t>
      </w:r>
    </w:p>
    <w:p>
      <w:pPr>
        <w:pStyle w:val="Normal"/>
        <w:keepNext w:val="true"/>
        <w:spacing w:before="40" w:after="0"/>
        <w:ind w:start="85" w:end="85"/>
        <w:rPr/>
      </w:pPr>
      <w:r>
        <w:rPr>
          <w:b/>
          <w:color w:val="0B3D91"/>
          <w:sz w:val="17"/>
        </w:rPr>
        <w:t>Q10. Quelle action, orientation ou résultat concret le lecteur peut-il retenir de « Voici l’aide qu’ÉMINA peut vous apporter » ?</w:t>
      </w:r>
    </w:p>
    <w:p>
      <w:pPr>
        <w:pStyle w:val="Normal"/>
        <w:spacing w:before="0" w:after="40"/>
        <w:ind w:start="255" w:end="85"/>
        <w:rPr/>
      </w:pPr>
      <w:r>
        <w:rPr>
          <w:b/>
          <w:color w:val="D4A017"/>
          <w:sz w:val="17"/>
        </w:rPr>
        <w:t xml:space="preserve">Réponse : </w:t>
      </w:r>
      <w:r>
        <w:rPr>
          <w:color w:val="1F2937"/>
          <w:sz w:val="17"/>
        </w:rPr>
        <w:t>Formuler une question publique ou demander l’orientation vers le bon service.</w:t>
      </w:r>
    </w:p>
    <w:p>
      <w:pPr>
        <w:pStyle w:val="Normal"/>
        <w:rPr/>
      </w:pPr>
      <w:r>
        <w:rPr/>
      </w:r>
      <w:r>
        <w:br w:type="page"/>
      </w:r>
    </w:p>
    <w:p>
      <w:pPr>
        <w:pStyle w:val="Heading2"/>
        <w:spacing w:before="0" w:after="80"/>
        <w:rPr/>
      </w:pPr>
      <w:r>
        <w:rPr/>
        <w:t>FICHE 53 — Expliquer</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peut présenter l’école, les programmes, l’agrément, la qualité, les admissions et les procédures publiques.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utilise un verbe simple qui décrit une capacité centrale.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Une explication claire améliore l’accessibilité de l’information institutionnelle.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Documentation et multilinguisme.</w:t>
            </w:r>
          </w:p>
        </w:tc>
      </w:tr>
    </w:tbl>
    <w:p>
      <w:pPr>
        <w:pStyle w:val="Heading3"/>
        <w:rPr/>
      </w:pPr>
      <w:r>
        <w:rPr/>
        <w:t>Points développés</w:t>
      </w:r>
    </w:p>
    <w:p>
      <w:pPr>
        <w:pStyle w:val="ListBullet"/>
        <w:numPr>
          <w:ilvl w:val="0"/>
          <w:numId w:val="1"/>
        </w:numPr>
        <w:spacing w:before="0" w:after="20"/>
        <w:ind w:hanging="360" w:start="255"/>
        <w:contextualSpacing/>
        <w:rPr/>
      </w:pPr>
      <w:r>
        <w:rPr>
          <w:sz w:val="18"/>
        </w:rPr>
        <w:t>École</w:t>
      </w:r>
    </w:p>
    <w:p>
      <w:pPr>
        <w:pStyle w:val="ListBullet"/>
        <w:numPr>
          <w:ilvl w:val="0"/>
          <w:numId w:val="1"/>
        </w:numPr>
        <w:spacing w:before="0" w:after="20"/>
        <w:ind w:hanging="360" w:start="255"/>
        <w:contextualSpacing/>
        <w:rPr/>
      </w:pPr>
      <w:r>
        <w:rPr>
          <w:sz w:val="18"/>
        </w:rPr>
        <w:t>Programmes</w:t>
      </w:r>
    </w:p>
    <w:p>
      <w:pPr>
        <w:pStyle w:val="ListBullet"/>
        <w:numPr>
          <w:ilvl w:val="0"/>
          <w:numId w:val="1"/>
        </w:numPr>
        <w:spacing w:before="0" w:after="20"/>
        <w:ind w:hanging="360" w:start="255"/>
        <w:contextualSpacing/>
        <w:rPr/>
      </w:pPr>
      <w:r>
        <w:rPr>
          <w:sz w:val="18"/>
        </w:rPr>
        <w:t>Agrément</w:t>
      </w:r>
    </w:p>
    <w:p>
      <w:pPr>
        <w:pStyle w:val="ListBullet"/>
        <w:numPr>
          <w:ilvl w:val="0"/>
          <w:numId w:val="1"/>
        </w:numPr>
        <w:spacing w:before="0" w:after="20"/>
        <w:ind w:hanging="360" w:start="255"/>
        <w:contextualSpacing/>
        <w:rPr/>
      </w:pPr>
      <w:r>
        <w:rPr>
          <w:sz w:val="18"/>
        </w:rPr>
        <w:t>Qualité</w:t>
      </w:r>
    </w:p>
    <w:p>
      <w:pPr>
        <w:pStyle w:val="ListBullet"/>
        <w:numPr>
          <w:ilvl w:val="0"/>
          <w:numId w:val="1"/>
        </w:numPr>
        <w:spacing w:before="0" w:after="20"/>
        <w:ind w:hanging="360" w:start="255"/>
        <w:contextualSpacing/>
        <w:rPr/>
      </w:pPr>
      <w:r>
        <w:rPr>
          <w:sz w:val="18"/>
        </w:rPr>
        <w:t>Admissions</w:t>
      </w:r>
    </w:p>
    <w:p>
      <w:pPr>
        <w:pStyle w:val="ListBullet"/>
        <w:numPr>
          <w:ilvl w:val="0"/>
          <w:numId w:val="1"/>
        </w:numPr>
        <w:spacing w:before="0" w:after="20"/>
        <w:ind w:hanging="360" w:start="255"/>
        <w:contextualSpacing/>
        <w:rPr/>
      </w:pPr>
      <w:r>
        <w:rPr>
          <w:sz w:val="18"/>
        </w:rPr>
        <w:t>Procédures publiques</w:t>
      </w:r>
    </w:p>
    <w:p>
      <w:pPr>
        <w:pStyle w:val="Heading3"/>
        <w:rPr/>
      </w:pPr>
      <w:r>
        <w:rPr/>
        <w:t>Banque de questions-réponses</w:t>
      </w:r>
    </w:p>
    <w:p>
      <w:pPr>
        <w:pStyle w:val="Normal"/>
        <w:keepNext w:val="true"/>
        <w:spacing w:before="40" w:after="0"/>
        <w:ind w:start="85" w:end="85"/>
        <w:rPr/>
      </w:pPr>
      <w:r>
        <w:rPr>
          <w:b/>
          <w:color w:val="0B3D91"/>
          <w:sz w:val="17"/>
        </w:rPr>
        <w:t>Q1. Que présente la section « Expliquer » ?</w:t>
      </w:r>
    </w:p>
    <w:p>
      <w:pPr>
        <w:pStyle w:val="Normal"/>
        <w:spacing w:before="0" w:after="40"/>
        <w:ind w:start="255" w:end="85"/>
        <w:rPr/>
      </w:pPr>
      <w:r>
        <w:rPr>
          <w:b/>
          <w:color w:val="D4A017"/>
          <w:sz w:val="17"/>
        </w:rPr>
        <w:t xml:space="preserve">Réponse : </w:t>
      </w:r>
      <w:r>
        <w:rPr>
          <w:color w:val="1F2937"/>
          <w:sz w:val="17"/>
        </w:rPr>
        <w:t>ÉMINA peut présenter l’école, les programmes, l’agrément, la qualité, les admissions et les procédures publiques.</w:t>
      </w:r>
    </w:p>
    <w:p>
      <w:pPr>
        <w:pStyle w:val="Normal"/>
        <w:keepNext w:val="true"/>
        <w:spacing w:before="40" w:after="0"/>
        <w:ind w:start="85" w:end="85"/>
        <w:rPr/>
      </w:pPr>
      <w:r>
        <w:rPr>
          <w:b/>
          <w:color w:val="0B3D91"/>
          <w:sz w:val="17"/>
        </w:rPr>
        <w:t>Q2. Quel est l’objectif principal exposé dans « Expliquer » ?</w:t>
      </w:r>
    </w:p>
    <w:p>
      <w:pPr>
        <w:pStyle w:val="Normal"/>
        <w:spacing w:before="0" w:after="40"/>
        <w:ind w:start="255" w:end="85"/>
        <w:rPr/>
      </w:pPr>
      <w:r>
        <w:rPr>
          <w:b/>
          <w:color w:val="D4A017"/>
          <w:sz w:val="17"/>
        </w:rPr>
        <w:t xml:space="preserve">Réponse : </w:t>
      </w:r>
      <w:r>
        <w:rPr>
          <w:color w:val="1F2937"/>
          <w:sz w:val="17"/>
        </w:rPr>
        <w:t>Définir la fonction d’explication des informations institutionnelles.</w:t>
      </w:r>
    </w:p>
    <w:p>
      <w:pPr>
        <w:pStyle w:val="Normal"/>
        <w:keepNext w:val="true"/>
        <w:spacing w:before="40" w:after="0"/>
        <w:ind w:start="85" w:end="85"/>
        <w:rPr/>
      </w:pPr>
      <w:r>
        <w:rPr>
          <w:b/>
          <w:color w:val="0B3D91"/>
          <w:sz w:val="17"/>
        </w:rPr>
        <w:t>Q3. Quels éléments ou domaines sont couverts par « Expliquer » ?</w:t>
      </w:r>
    </w:p>
    <w:p>
      <w:pPr>
        <w:pStyle w:val="Normal"/>
        <w:spacing w:before="0" w:after="40"/>
        <w:ind w:start="255" w:end="85"/>
        <w:rPr/>
      </w:pPr>
      <w:r>
        <w:rPr>
          <w:b/>
          <w:color w:val="D4A017"/>
          <w:sz w:val="17"/>
        </w:rPr>
        <w:t xml:space="preserve">Réponse : </w:t>
      </w:r>
      <w:r>
        <w:rPr>
          <w:color w:val="1F2937"/>
          <w:sz w:val="17"/>
        </w:rPr>
        <w:t>Présentation de l’école, programmes, agrément, qualité, admissions et procédures publiques.</w:t>
      </w:r>
    </w:p>
    <w:p>
      <w:pPr>
        <w:pStyle w:val="Normal"/>
        <w:keepNext w:val="true"/>
        <w:spacing w:before="40" w:after="0"/>
        <w:ind w:start="85" w:end="85"/>
        <w:rPr/>
      </w:pPr>
      <w:r>
        <w:rPr>
          <w:b/>
          <w:color w:val="0B3D91"/>
          <w:sz w:val="17"/>
        </w:rPr>
        <w:t>Q4. Qui porte, coordonne ou garantit les éléments présentés dans « Expliquer » ?</w:t>
      </w:r>
    </w:p>
    <w:p>
      <w:pPr>
        <w:pStyle w:val="Normal"/>
        <w:spacing w:before="0" w:after="40"/>
        <w:ind w:start="255" w:end="85"/>
        <w:rPr/>
      </w:pPr>
      <w:r>
        <w:rPr>
          <w:b/>
          <w:color w:val="D4A017"/>
          <w:sz w:val="17"/>
        </w:rPr>
        <w:t xml:space="preserve">Réponse : </w:t>
      </w:r>
      <w:r>
        <w:rPr>
          <w:color w:val="1F2937"/>
          <w:sz w:val="17"/>
        </w:rPr>
        <w:t>ÉMINA, à partir des contenus approuvés par les propriétaires institutionnels.</w:t>
      </w:r>
    </w:p>
    <w:p>
      <w:pPr>
        <w:pStyle w:val="Normal"/>
        <w:keepNext w:val="true"/>
        <w:spacing w:before="40" w:after="0"/>
        <w:ind w:start="85" w:end="85"/>
        <w:rPr/>
      </w:pPr>
      <w:r>
        <w:rPr>
          <w:b/>
          <w:color w:val="0B3D91"/>
          <w:sz w:val="17"/>
        </w:rPr>
        <w:t>Q5. Comment la section « Expliquer » prévoit-elle la mise en œuvre ou le suivi ?</w:t>
      </w:r>
    </w:p>
    <w:p>
      <w:pPr>
        <w:pStyle w:val="Normal"/>
        <w:spacing w:before="0" w:after="40"/>
        <w:ind w:start="255" w:end="85"/>
        <w:rPr/>
      </w:pPr>
      <w:r>
        <w:rPr>
          <w:b/>
          <w:color w:val="D4A017"/>
          <w:sz w:val="17"/>
        </w:rPr>
        <w:t xml:space="preserve">Réponse : </w:t>
      </w:r>
      <w:r>
        <w:rPr>
          <w:color w:val="1F2937"/>
          <w:sz w:val="17"/>
        </w:rPr>
        <w:t>Elle reformule et structure l’information disponible dans la base publique.</w:t>
      </w:r>
    </w:p>
    <w:p>
      <w:pPr>
        <w:pStyle w:val="Normal"/>
        <w:keepNext w:val="true"/>
        <w:spacing w:before="40" w:after="0"/>
        <w:ind w:start="85" w:end="85"/>
        <w:rPr/>
      </w:pPr>
      <w:r>
        <w:rPr>
          <w:b/>
          <w:color w:val="0B3D91"/>
          <w:sz w:val="17"/>
        </w:rPr>
        <w:t>Q6. Quelle preuve, référence, règle ou information de statut accompagne « Expliquer » ?</w:t>
      </w:r>
    </w:p>
    <w:p>
      <w:pPr>
        <w:pStyle w:val="Normal"/>
        <w:spacing w:before="0" w:after="40"/>
        <w:ind w:start="255" w:end="85"/>
        <w:rPr/>
      </w:pPr>
      <w:r>
        <w:rPr>
          <w:b/>
          <w:color w:val="D4A017"/>
          <w:sz w:val="17"/>
        </w:rPr>
        <w:t xml:space="preserve">Réponse : </w:t>
      </w:r>
      <w:r>
        <w:rPr>
          <w:color w:val="1F2937"/>
          <w:sz w:val="17"/>
        </w:rPr>
        <w:t>Les pages et références officielles citées soutiennent l’explication.</w:t>
      </w:r>
    </w:p>
    <w:p>
      <w:pPr>
        <w:pStyle w:val="Normal"/>
        <w:keepNext w:val="true"/>
        <w:spacing w:before="40" w:after="0"/>
        <w:ind w:start="85" w:end="85"/>
        <w:rPr/>
      </w:pPr>
      <w:r>
        <w:rPr>
          <w:b/>
          <w:color w:val="0B3D91"/>
          <w:sz w:val="17"/>
        </w:rPr>
        <w:t>Q7. Quelles limites de diffusion, de décision ou d’accès sont précisées pour « Expliquer » ?</w:t>
      </w:r>
    </w:p>
    <w:p>
      <w:pPr>
        <w:pStyle w:val="Normal"/>
        <w:spacing w:before="0" w:after="40"/>
        <w:ind w:start="255" w:end="85"/>
        <w:rPr/>
      </w:pPr>
      <w:r>
        <w:rPr>
          <w:b/>
          <w:color w:val="D4A017"/>
          <w:sz w:val="17"/>
        </w:rPr>
        <w:t xml:space="preserve">Réponse : </w:t>
      </w:r>
      <w:r>
        <w:rPr>
          <w:color w:val="1F2937"/>
          <w:sz w:val="17"/>
        </w:rPr>
        <w:t>Elle ne doit pas inventer d’information absente ou remplacer une décision.</w:t>
      </w:r>
    </w:p>
    <w:p>
      <w:pPr>
        <w:pStyle w:val="Normal"/>
        <w:keepNext w:val="true"/>
        <w:spacing w:before="40" w:after="0"/>
        <w:ind w:start="85" w:end="85"/>
        <w:rPr/>
      </w:pPr>
      <w:r>
        <w:rPr>
          <w:b/>
          <w:color w:val="0B3D91"/>
          <w:sz w:val="17"/>
        </w:rPr>
        <w:t>Q8. À quels publics ou bénéficiaires la section « Expliquer » est-elle principalement destinée ?</w:t>
      </w:r>
    </w:p>
    <w:p>
      <w:pPr>
        <w:pStyle w:val="Normal"/>
        <w:spacing w:before="0" w:after="40"/>
        <w:ind w:start="255" w:end="85"/>
        <w:rPr/>
      </w:pPr>
      <w:r>
        <w:rPr>
          <w:b/>
          <w:color w:val="D4A017"/>
          <w:sz w:val="17"/>
        </w:rPr>
        <w:t xml:space="preserve">Réponse : </w:t>
      </w:r>
      <w:r>
        <w:rPr>
          <w:color w:val="1F2937"/>
          <w:sz w:val="17"/>
        </w:rPr>
        <w:t>Visiteurs, familles, partenaires et agents recherchant une compréhension claire.</w:t>
      </w:r>
    </w:p>
    <w:p>
      <w:pPr>
        <w:pStyle w:val="Normal"/>
        <w:keepNext w:val="true"/>
        <w:spacing w:before="40" w:after="0"/>
        <w:ind w:start="85" w:end="85"/>
        <w:rPr/>
      </w:pPr>
      <w:r>
        <w:rPr>
          <w:b/>
          <w:color w:val="0B3D91"/>
          <w:sz w:val="17"/>
        </w:rPr>
        <w:t>Q9. À quelles autres rubriques ou fonctions du site « Expliquer » est-il relié ?</w:t>
      </w:r>
    </w:p>
    <w:p>
      <w:pPr>
        <w:pStyle w:val="Normal"/>
        <w:spacing w:before="0" w:after="40"/>
        <w:ind w:start="255" w:end="85"/>
        <w:rPr/>
      </w:pPr>
      <w:r>
        <w:rPr>
          <w:b/>
          <w:color w:val="D4A017"/>
          <w:sz w:val="17"/>
        </w:rPr>
        <w:t xml:space="preserve">Réponse : </w:t>
      </w:r>
      <w:r>
        <w:rPr>
          <w:color w:val="1F2937"/>
          <w:sz w:val="17"/>
        </w:rPr>
        <w:t>Lien avec toutes les pages publiques du site.</w:t>
      </w:r>
    </w:p>
    <w:p>
      <w:pPr>
        <w:pStyle w:val="Normal"/>
        <w:keepNext w:val="true"/>
        <w:spacing w:before="40" w:after="0"/>
        <w:ind w:start="85" w:end="85"/>
        <w:rPr/>
      </w:pPr>
      <w:r>
        <w:rPr>
          <w:b/>
          <w:color w:val="0B3D91"/>
          <w:sz w:val="17"/>
        </w:rPr>
        <w:t>Q10. Quelle action, orientation ou résultat concret le lecteur peut-il retenir de « Expliquer » ?</w:t>
      </w:r>
    </w:p>
    <w:p>
      <w:pPr>
        <w:pStyle w:val="Normal"/>
        <w:spacing w:before="0" w:after="40"/>
        <w:ind w:start="255" w:end="85"/>
        <w:rPr/>
      </w:pPr>
      <w:r>
        <w:rPr>
          <w:b/>
          <w:color w:val="D4A017"/>
          <w:sz w:val="17"/>
        </w:rPr>
        <w:t xml:space="preserve">Réponse : </w:t>
      </w:r>
      <w:r>
        <w:rPr>
          <w:color w:val="1F2937"/>
          <w:sz w:val="17"/>
        </w:rPr>
        <w:t>Poser une question factuelle et consulter la source associée.</w:t>
      </w:r>
    </w:p>
    <w:p>
      <w:pPr>
        <w:pStyle w:val="Normal"/>
        <w:rPr/>
      </w:pPr>
      <w:r>
        <w:rPr/>
      </w:r>
      <w:r>
        <w:br w:type="page"/>
      </w:r>
    </w:p>
    <w:p>
      <w:pPr>
        <w:pStyle w:val="Heading2"/>
        <w:spacing w:before="0" w:after="80"/>
        <w:rPr/>
      </w:pPr>
      <w:r>
        <w:rPr/>
        <w:t>FICHE 54 — Retrouver</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peut ouvrir la page ou la référence officielle la plus pertinente et en indiquer le propriétaire.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décrit la capacité de recherche et de récupération de référence.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fonction réduit les erreurs de source et les doublons.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codes documentaires, propriétaires et versions.</w:t>
            </w:r>
          </w:p>
        </w:tc>
      </w:tr>
    </w:tbl>
    <w:p>
      <w:pPr>
        <w:pStyle w:val="Heading3"/>
        <w:rPr/>
      </w:pPr>
      <w:r>
        <w:rPr/>
        <w:t>Points développés</w:t>
      </w:r>
    </w:p>
    <w:p>
      <w:pPr>
        <w:pStyle w:val="ListBullet"/>
        <w:numPr>
          <w:ilvl w:val="0"/>
          <w:numId w:val="1"/>
        </w:numPr>
        <w:spacing w:before="0" w:after="20"/>
        <w:ind w:hanging="360" w:start="255"/>
        <w:contextualSpacing/>
        <w:rPr/>
      </w:pPr>
      <w:r>
        <w:rPr>
          <w:sz w:val="18"/>
        </w:rPr>
        <w:t>Page pertinente</w:t>
      </w:r>
    </w:p>
    <w:p>
      <w:pPr>
        <w:pStyle w:val="ListBullet"/>
        <w:numPr>
          <w:ilvl w:val="0"/>
          <w:numId w:val="1"/>
        </w:numPr>
        <w:spacing w:before="0" w:after="20"/>
        <w:ind w:hanging="360" w:start="255"/>
        <w:contextualSpacing/>
        <w:rPr/>
      </w:pPr>
      <w:r>
        <w:rPr>
          <w:sz w:val="18"/>
        </w:rPr>
        <w:t>Référence officielle</w:t>
      </w:r>
    </w:p>
    <w:p>
      <w:pPr>
        <w:pStyle w:val="ListBullet"/>
        <w:numPr>
          <w:ilvl w:val="0"/>
          <w:numId w:val="1"/>
        </w:numPr>
        <w:spacing w:before="0" w:after="20"/>
        <w:ind w:hanging="360" w:start="255"/>
        <w:contextualSpacing/>
        <w:rPr/>
      </w:pPr>
      <w:r>
        <w:rPr>
          <w:sz w:val="18"/>
        </w:rPr>
        <w:t>Propriétaire</w:t>
      </w:r>
    </w:p>
    <w:p>
      <w:pPr>
        <w:pStyle w:val="ListBullet"/>
        <w:numPr>
          <w:ilvl w:val="0"/>
          <w:numId w:val="1"/>
        </w:numPr>
        <w:spacing w:before="0" w:after="20"/>
        <w:ind w:hanging="360" w:start="255"/>
        <w:contextualSpacing/>
        <w:rPr/>
      </w:pPr>
      <w:r>
        <w:rPr>
          <w:sz w:val="18"/>
        </w:rPr>
        <w:t>Lien</w:t>
      </w:r>
    </w:p>
    <w:p>
      <w:pPr>
        <w:pStyle w:val="Heading3"/>
        <w:rPr/>
      </w:pPr>
      <w:r>
        <w:rPr/>
        <w:t>Banque de questions-réponses</w:t>
      </w:r>
    </w:p>
    <w:p>
      <w:pPr>
        <w:pStyle w:val="Normal"/>
        <w:keepNext w:val="true"/>
        <w:spacing w:before="40" w:after="0"/>
        <w:ind w:start="85" w:end="85"/>
        <w:rPr/>
      </w:pPr>
      <w:r>
        <w:rPr>
          <w:b/>
          <w:color w:val="0B3D91"/>
          <w:sz w:val="17"/>
        </w:rPr>
        <w:t>Q1. Que présente la section « Retrouver » ?</w:t>
      </w:r>
    </w:p>
    <w:p>
      <w:pPr>
        <w:pStyle w:val="Normal"/>
        <w:spacing w:before="0" w:after="40"/>
        <w:ind w:start="255" w:end="85"/>
        <w:rPr/>
      </w:pPr>
      <w:r>
        <w:rPr>
          <w:b/>
          <w:color w:val="D4A017"/>
          <w:sz w:val="17"/>
        </w:rPr>
        <w:t xml:space="preserve">Réponse : </w:t>
      </w:r>
      <w:r>
        <w:rPr>
          <w:color w:val="1F2937"/>
          <w:sz w:val="17"/>
        </w:rPr>
        <w:t>ÉMINA peut ouvrir la page ou la référence officielle la plus pertinente et en indiquer le propriétaire.</w:t>
      </w:r>
    </w:p>
    <w:p>
      <w:pPr>
        <w:pStyle w:val="Normal"/>
        <w:keepNext w:val="true"/>
        <w:spacing w:before="40" w:after="0"/>
        <w:ind w:start="85" w:end="85"/>
        <w:rPr/>
      </w:pPr>
      <w:r>
        <w:rPr>
          <w:b/>
          <w:color w:val="0B3D91"/>
          <w:sz w:val="17"/>
        </w:rPr>
        <w:t>Q2. Quel est l’objectif principal exposé dans « Retrouver » ?</w:t>
      </w:r>
    </w:p>
    <w:p>
      <w:pPr>
        <w:pStyle w:val="Normal"/>
        <w:spacing w:before="0" w:after="40"/>
        <w:ind w:start="255" w:end="85"/>
        <w:rPr/>
      </w:pPr>
      <w:r>
        <w:rPr>
          <w:b/>
          <w:color w:val="D4A017"/>
          <w:sz w:val="17"/>
        </w:rPr>
        <w:t xml:space="preserve">Réponse : </w:t>
      </w:r>
      <w:r>
        <w:rPr>
          <w:color w:val="1F2937"/>
          <w:sz w:val="17"/>
        </w:rPr>
        <w:t>Aider l’utilisateur à localiser la bonne source officielle.</w:t>
      </w:r>
    </w:p>
    <w:p>
      <w:pPr>
        <w:pStyle w:val="Normal"/>
        <w:keepNext w:val="true"/>
        <w:spacing w:before="40" w:after="0"/>
        <w:ind w:start="85" w:end="85"/>
        <w:rPr/>
      </w:pPr>
      <w:r>
        <w:rPr>
          <w:b/>
          <w:color w:val="0B3D91"/>
          <w:sz w:val="17"/>
        </w:rPr>
        <w:t>Q3. Quels éléments ou domaines sont couverts par « Retrouver » ?</w:t>
      </w:r>
    </w:p>
    <w:p>
      <w:pPr>
        <w:pStyle w:val="Normal"/>
        <w:spacing w:before="0" w:after="40"/>
        <w:ind w:start="255" w:end="85"/>
        <w:rPr/>
      </w:pPr>
      <w:r>
        <w:rPr>
          <w:b/>
          <w:color w:val="D4A017"/>
          <w:sz w:val="17"/>
        </w:rPr>
        <w:t xml:space="preserve">Réponse : </w:t>
      </w:r>
      <w:r>
        <w:rPr>
          <w:color w:val="1F2937"/>
          <w:sz w:val="17"/>
        </w:rPr>
        <w:t>Recherche de page, référence, propriétaire et lien.</w:t>
      </w:r>
    </w:p>
    <w:p>
      <w:pPr>
        <w:pStyle w:val="Normal"/>
        <w:keepNext w:val="true"/>
        <w:spacing w:before="40" w:after="0"/>
        <w:ind w:start="85" w:end="85"/>
        <w:rPr/>
      </w:pPr>
      <w:r>
        <w:rPr>
          <w:b/>
          <w:color w:val="0B3D91"/>
          <w:sz w:val="17"/>
        </w:rPr>
        <w:t>Q4. Qui porte, coordonne ou garantit les éléments présentés dans « Retrouver » ?</w:t>
      </w:r>
    </w:p>
    <w:p>
      <w:pPr>
        <w:pStyle w:val="Normal"/>
        <w:spacing w:before="0" w:after="40"/>
        <w:ind w:start="255" w:end="85"/>
        <w:rPr/>
      </w:pPr>
      <w:r>
        <w:rPr>
          <w:b/>
          <w:color w:val="D4A017"/>
          <w:sz w:val="17"/>
        </w:rPr>
        <w:t xml:space="preserve">Réponse : </w:t>
      </w:r>
      <w:r>
        <w:rPr>
          <w:color w:val="1F2937"/>
          <w:sz w:val="17"/>
        </w:rPr>
        <w:t>ÉMINA utilise l’index de la documentation publique validée.</w:t>
      </w:r>
    </w:p>
    <w:p>
      <w:pPr>
        <w:pStyle w:val="Normal"/>
        <w:keepNext w:val="true"/>
        <w:spacing w:before="40" w:after="0"/>
        <w:ind w:start="85" w:end="85"/>
        <w:rPr/>
      </w:pPr>
      <w:r>
        <w:rPr>
          <w:b/>
          <w:color w:val="0B3D91"/>
          <w:sz w:val="17"/>
        </w:rPr>
        <w:t>Q5. Comment la section « Retrouver » prévoit-elle la mise en œuvre ou le suivi ?</w:t>
      </w:r>
    </w:p>
    <w:p>
      <w:pPr>
        <w:pStyle w:val="Normal"/>
        <w:spacing w:before="0" w:after="40"/>
        <w:ind w:start="255" w:end="85"/>
        <w:rPr/>
      </w:pPr>
      <w:r>
        <w:rPr>
          <w:b/>
          <w:color w:val="D4A017"/>
          <w:sz w:val="17"/>
        </w:rPr>
        <w:t xml:space="preserve">Réponse : </w:t>
      </w:r>
      <w:r>
        <w:rPr>
          <w:color w:val="1F2937"/>
          <w:sz w:val="17"/>
        </w:rPr>
        <w:t>Elle sélectionne la source pertinente et fournit son contexte documentaire.</w:t>
      </w:r>
    </w:p>
    <w:p>
      <w:pPr>
        <w:pStyle w:val="Normal"/>
        <w:keepNext w:val="true"/>
        <w:spacing w:before="40" w:after="0"/>
        <w:ind w:start="85" w:end="85"/>
        <w:rPr/>
      </w:pPr>
      <w:r>
        <w:rPr>
          <w:b/>
          <w:color w:val="0B3D91"/>
          <w:sz w:val="17"/>
        </w:rPr>
        <w:t>Q6. Quelle preuve, référence, règle ou information de statut accompagne « Retrouver » ?</w:t>
      </w:r>
    </w:p>
    <w:p>
      <w:pPr>
        <w:pStyle w:val="Normal"/>
        <w:spacing w:before="0" w:after="40"/>
        <w:ind w:start="255" w:end="85"/>
        <w:rPr/>
      </w:pPr>
      <w:r>
        <w:rPr>
          <w:b/>
          <w:color w:val="D4A017"/>
          <w:sz w:val="17"/>
        </w:rPr>
        <w:t xml:space="preserve">Réponse : </w:t>
      </w:r>
      <w:r>
        <w:rPr>
          <w:color w:val="1F2937"/>
          <w:sz w:val="17"/>
        </w:rPr>
        <w:t>Le code, la version, le propriétaire et le lien permettent la vérification.</w:t>
      </w:r>
    </w:p>
    <w:p>
      <w:pPr>
        <w:pStyle w:val="Normal"/>
        <w:keepNext w:val="true"/>
        <w:spacing w:before="40" w:after="0"/>
        <w:ind w:start="85" w:end="85"/>
        <w:rPr/>
      </w:pPr>
      <w:r>
        <w:rPr>
          <w:b/>
          <w:color w:val="0B3D91"/>
          <w:sz w:val="17"/>
        </w:rPr>
        <w:t>Q7. Quelles limites de diffusion, de décision ou d’accès sont précisées pour « Retrouver » ?</w:t>
      </w:r>
    </w:p>
    <w:p>
      <w:pPr>
        <w:pStyle w:val="Normal"/>
        <w:spacing w:before="0" w:after="40"/>
        <w:ind w:start="255" w:end="85"/>
        <w:rPr/>
      </w:pPr>
      <w:r>
        <w:rPr>
          <w:b/>
          <w:color w:val="D4A017"/>
          <w:sz w:val="17"/>
        </w:rPr>
        <w:t xml:space="preserve">Réponse : </w:t>
      </w:r>
      <w:r>
        <w:rPr>
          <w:color w:val="1F2937"/>
          <w:sz w:val="17"/>
        </w:rPr>
        <w:t>Elle ne doit pas privilégier une copie périmée lorsque la version active existe.</w:t>
      </w:r>
    </w:p>
    <w:p>
      <w:pPr>
        <w:pStyle w:val="Normal"/>
        <w:keepNext w:val="true"/>
        <w:spacing w:before="40" w:after="0"/>
        <w:ind w:start="85" w:end="85"/>
        <w:rPr/>
      </w:pPr>
      <w:r>
        <w:rPr>
          <w:b/>
          <w:color w:val="0B3D91"/>
          <w:sz w:val="17"/>
        </w:rPr>
        <w:t>Q8. À quels publics ou bénéficiaires la section « Retrouver » est-elle principalement destinée ?</w:t>
      </w:r>
    </w:p>
    <w:p>
      <w:pPr>
        <w:pStyle w:val="Normal"/>
        <w:spacing w:before="0" w:after="40"/>
        <w:ind w:start="255" w:end="85"/>
        <w:rPr/>
      </w:pPr>
      <w:r>
        <w:rPr>
          <w:b/>
          <w:color w:val="D4A017"/>
          <w:sz w:val="17"/>
        </w:rPr>
        <w:t xml:space="preserve">Réponse : </w:t>
      </w:r>
      <w:r>
        <w:rPr>
          <w:color w:val="1F2937"/>
          <w:sz w:val="17"/>
        </w:rPr>
        <w:t>Toute personne recherchant un document ou une page précise.</w:t>
      </w:r>
    </w:p>
    <w:p>
      <w:pPr>
        <w:pStyle w:val="Normal"/>
        <w:keepNext w:val="true"/>
        <w:spacing w:before="40" w:after="0"/>
        <w:ind w:start="85" w:end="85"/>
        <w:rPr/>
      </w:pPr>
      <w:r>
        <w:rPr>
          <w:b/>
          <w:color w:val="0B3D91"/>
          <w:sz w:val="17"/>
        </w:rPr>
        <w:t>Q9. À quelles autres rubriques ou fonctions du site « Retrouver » est-il relié ?</w:t>
      </w:r>
    </w:p>
    <w:p>
      <w:pPr>
        <w:pStyle w:val="Normal"/>
        <w:spacing w:before="0" w:after="40"/>
        <w:ind w:start="255" w:end="85"/>
        <w:rPr/>
      </w:pPr>
      <w:r>
        <w:rPr>
          <w:b/>
          <w:color w:val="D4A017"/>
          <w:sz w:val="17"/>
        </w:rPr>
        <w:t xml:space="preserve">Réponse : </w:t>
      </w:r>
      <w:r>
        <w:rPr>
          <w:color w:val="1F2937"/>
          <w:sz w:val="17"/>
        </w:rPr>
        <w:t>Lien avec Documentation publique et gestion des versions.</w:t>
      </w:r>
    </w:p>
    <w:p>
      <w:pPr>
        <w:pStyle w:val="Normal"/>
        <w:keepNext w:val="true"/>
        <w:spacing w:before="40" w:after="0"/>
        <w:ind w:start="85" w:end="85"/>
        <w:rPr/>
      </w:pPr>
      <w:r>
        <w:rPr>
          <w:b/>
          <w:color w:val="0B3D91"/>
          <w:sz w:val="17"/>
        </w:rPr>
        <w:t>Q10. Quelle action, orientation ou résultat concret le lecteur peut-il retenir de « Retrouver » ?</w:t>
      </w:r>
    </w:p>
    <w:p>
      <w:pPr>
        <w:pStyle w:val="Normal"/>
        <w:spacing w:before="0" w:after="40"/>
        <w:ind w:start="255" w:end="85"/>
        <w:rPr/>
      </w:pPr>
      <w:r>
        <w:rPr>
          <w:b/>
          <w:color w:val="D4A017"/>
          <w:sz w:val="17"/>
        </w:rPr>
        <w:t xml:space="preserve">Réponse : </w:t>
      </w:r>
      <w:r>
        <w:rPr>
          <w:color w:val="1F2937"/>
          <w:sz w:val="17"/>
        </w:rPr>
        <w:t>Ouvrir la source recommandée et vérifier ses métadonnées.</w:t>
      </w:r>
    </w:p>
    <w:p>
      <w:pPr>
        <w:pStyle w:val="Normal"/>
        <w:rPr/>
      </w:pPr>
      <w:r>
        <w:rPr/>
      </w:r>
      <w:r>
        <w:br w:type="page"/>
      </w:r>
    </w:p>
    <w:p>
      <w:pPr>
        <w:pStyle w:val="Heading2"/>
        <w:spacing w:before="0" w:after="80"/>
        <w:rPr/>
      </w:pPr>
      <w:r>
        <w:rPr/>
        <w:t>FICHE 55 — Guider</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peut conduire vers un formulaire, une étape ou un service sans créer de décision à la place de l’école.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met l’accent sur l’accompagnement et non sur la décision.</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 guidage réduit les erreurs de parcours et améliore l’accueil.</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formulaires et assistance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Formulaire</w:t>
      </w:r>
    </w:p>
    <w:p>
      <w:pPr>
        <w:pStyle w:val="ListBullet"/>
        <w:numPr>
          <w:ilvl w:val="0"/>
          <w:numId w:val="1"/>
        </w:numPr>
        <w:spacing w:before="0" w:after="20"/>
        <w:ind w:hanging="360" w:start="255"/>
        <w:contextualSpacing/>
        <w:rPr/>
      </w:pPr>
      <w:r>
        <w:rPr>
          <w:sz w:val="18"/>
        </w:rPr>
        <w:t>Étape</w:t>
      </w:r>
    </w:p>
    <w:p>
      <w:pPr>
        <w:pStyle w:val="ListBullet"/>
        <w:numPr>
          <w:ilvl w:val="0"/>
          <w:numId w:val="1"/>
        </w:numPr>
        <w:spacing w:before="0" w:after="20"/>
        <w:ind w:hanging="360" w:start="255"/>
        <w:contextualSpacing/>
        <w:rPr/>
      </w:pPr>
      <w:r>
        <w:rPr>
          <w:sz w:val="18"/>
        </w:rPr>
        <w:t>Service</w:t>
      </w:r>
    </w:p>
    <w:p>
      <w:pPr>
        <w:pStyle w:val="ListBullet"/>
        <w:numPr>
          <w:ilvl w:val="0"/>
          <w:numId w:val="1"/>
        </w:numPr>
        <w:spacing w:before="0" w:after="20"/>
        <w:ind w:hanging="360" w:start="255"/>
        <w:contextualSpacing/>
        <w:rPr/>
      </w:pPr>
      <w:r>
        <w:rPr>
          <w:sz w:val="18"/>
        </w:rPr>
        <w:t>Pas de décision automatique</w:t>
      </w:r>
    </w:p>
    <w:p>
      <w:pPr>
        <w:pStyle w:val="Heading3"/>
        <w:rPr/>
      </w:pPr>
      <w:r>
        <w:rPr/>
        <w:t>Banque de questions-réponses</w:t>
      </w:r>
    </w:p>
    <w:p>
      <w:pPr>
        <w:pStyle w:val="Normal"/>
        <w:keepNext w:val="true"/>
        <w:spacing w:before="40" w:after="0"/>
        <w:ind w:start="85" w:end="85"/>
        <w:rPr/>
      </w:pPr>
      <w:r>
        <w:rPr>
          <w:b/>
          <w:color w:val="0B3D91"/>
          <w:sz w:val="17"/>
        </w:rPr>
        <w:t>Q1. Que présente la section « Guider » ?</w:t>
      </w:r>
    </w:p>
    <w:p>
      <w:pPr>
        <w:pStyle w:val="Normal"/>
        <w:spacing w:before="0" w:after="40"/>
        <w:ind w:start="255" w:end="85"/>
        <w:rPr/>
      </w:pPr>
      <w:r>
        <w:rPr>
          <w:b/>
          <w:color w:val="D4A017"/>
          <w:sz w:val="17"/>
        </w:rPr>
        <w:t xml:space="preserve">Réponse : </w:t>
      </w:r>
      <w:r>
        <w:rPr>
          <w:color w:val="1F2937"/>
          <w:sz w:val="17"/>
        </w:rPr>
        <w:t>ÉMINA peut conduire vers un formulaire, une étape ou un service sans créer de décision à la place de l’école.</w:t>
      </w:r>
    </w:p>
    <w:p>
      <w:pPr>
        <w:pStyle w:val="Normal"/>
        <w:keepNext w:val="true"/>
        <w:spacing w:before="40" w:after="0"/>
        <w:ind w:start="85" w:end="85"/>
        <w:rPr/>
      </w:pPr>
      <w:r>
        <w:rPr>
          <w:b/>
          <w:color w:val="0B3D91"/>
          <w:sz w:val="17"/>
        </w:rPr>
        <w:t>Q2. Quel est l’objectif principal exposé dans « Guider » ?</w:t>
      </w:r>
    </w:p>
    <w:p>
      <w:pPr>
        <w:pStyle w:val="Normal"/>
        <w:spacing w:before="0" w:after="40"/>
        <w:ind w:start="255" w:end="85"/>
        <w:rPr/>
      </w:pPr>
      <w:r>
        <w:rPr>
          <w:b/>
          <w:color w:val="D4A017"/>
          <w:sz w:val="17"/>
        </w:rPr>
        <w:t xml:space="preserve">Réponse : </w:t>
      </w:r>
      <w:r>
        <w:rPr>
          <w:color w:val="1F2937"/>
          <w:sz w:val="17"/>
        </w:rPr>
        <w:t>Accompagner l’utilisateur dans un parcours tout en préservant la compétence humaine.</w:t>
      </w:r>
    </w:p>
    <w:p>
      <w:pPr>
        <w:pStyle w:val="Normal"/>
        <w:keepNext w:val="true"/>
        <w:spacing w:before="40" w:after="0"/>
        <w:ind w:start="85" w:end="85"/>
        <w:rPr/>
      </w:pPr>
      <w:r>
        <w:rPr>
          <w:b/>
          <w:color w:val="0B3D91"/>
          <w:sz w:val="17"/>
        </w:rPr>
        <w:t>Q3. Quels éléments ou domaines sont couverts par « Guider » ?</w:t>
      </w:r>
    </w:p>
    <w:p>
      <w:pPr>
        <w:pStyle w:val="Normal"/>
        <w:spacing w:before="0" w:after="40"/>
        <w:ind w:start="255" w:end="85"/>
        <w:rPr/>
      </w:pPr>
      <w:r>
        <w:rPr>
          <w:b/>
          <w:color w:val="D4A017"/>
          <w:sz w:val="17"/>
        </w:rPr>
        <w:t xml:space="preserve">Réponse : </w:t>
      </w:r>
      <w:r>
        <w:rPr>
          <w:color w:val="1F2937"/>
          <w:sz w:val="17"/>
        </w:rPr>
        <w:t>Formulaires, étapes, services, instructions et orientation.</w:t>
      </w:r>
    </w:p>
    <w:p>
      <w:pPr>
        <w:pStyle w:val="Normal"/>
        <w:keepNext w:val="true"/>
        <w:spacing w:before="40" w:after="0"/>
        <w:ind w:start="85" w:end="85"/>
        <w:rPr/>
      </w:pPr>
      <w:r>
        <w:rPr>
          <w:b/>
          <w:color w:val="0B3D91"/>
          <w:sz w:val="17"/>
        </w:rPr>
        <w:t>Q4. Qui porte, coordonne ou garantit les éléments présentés dans « Guider » ?</w:t>
      </w:r>
    </w:p>
    <w:p>
      <w:pPr>
        <w:pStyle w:val="Normal"/>
        <w:spacing w:before="0" w:after="40"/>
        <w:ind w:start="255" w:end="85"/>
        <w:rPr/>
      </w:pPr>
      <w:r>
        <w:rPr>
          <w:b/>
          <w:color w:val="D4A017"/>
          <w:sz w:val="17"/>
        </w:rPr>
        <w:t xml:space="preserve">Réponse : </w:t>
      </w:r>
      <w:r>
        <w:rPr>
          <w:color w:val="1F2937"/>
          <w:sz w:val="17"/>
        </w:rPr>
        <w:t>ÉMINA guide; le service compétent décide et valide.</w:t>
      </w:r>
    </w:p>
    <w:p>
      <w:pPr>
        <w:pStyle w:val="Normal"/>
        <w:keepNext w:val="true"/>
        <w:spacing w:before="40" w:after="0"/>
        <w:ind w:start="85" w:end="85"/>
        <w:rPr/>
      </w:pPr>
      <w:r>
        <w:rPr>
          <w:b/>
          <w:color w:val="0B3D91"/>
          <w:sz w:val="17"/>
        </w:rPr>
        <w:t>Q5. Comment la section « Guider » prévoit-elle la mise en œuvre ou le suivi ?</w:t>
      </w:r>
    </w:p>
    <w:p>
      <w:pPr>
        <w:pStyle w:val="Normal"/>
        <w:spacing w:before="0" w:after="40"/>
        <w:ind w:start="255" w:end="85"/>
        <w:rPr/>
      </w:pPr>
      <w:r>
        <w:rPr>
          <w:b/>
          <w:color w:val="D4A017"/>
          <w:sz w:val="17"/>
        </w:rPr>
        <w:t xml:space="preserve">Réponse : </w:t>
      </w:r>
      <w:r>
        <w:rPr>
          <w:color w:val="1F2937"/>
          <w:sz w:val="17"/>
        </w:rPr>
        <w:t>Elle explique la prochaine étape et fournit le lien ou le canal approprié.</w:t>
      </w:r>
    </w:p>
    <w:p>
      <w:pPr>
        <w:pStyle w:val="Normal"/>
        <w:keepNext w:val="true"/>
        <w:spacing w:before="40" w:after="0"/>
        <w:ind w:start="85" w:end="85"/>
        <w:rPr/>
      </w:pPr>
      <w:r>
        <w:rPr>
          <w:b/>
          <w:color w:val="0B3D91"/>
          <w:sz w:val="17"/>
        </w:rPr>
        <w:t>Q6. Quelle preuve, référence, règle ou information de statut accompagne « Guider » ?</w:t>
      </w:r>
    </w:p>
    <w:p>
      <w:pPr>
        <w:pStyle w:val="Normal"/>
        <w:spacing w:before="0" w:after="40"/>
        <w:ind w:start="255" w:end="85"/>
        <w:rPr/>
      </w:pPr>
      <w:r>
        <w:rPr>
          <w:b/>
          <w:color w:val="D4A017"/>
          <w:sz w:val="17"/>
        </w:rPr>
        <w:t xml:space="preserve">Réponse : </w:t>
      </w:r>
      <w:r>
        <w:rPr>
          <w:color w:val="1F2937"/>
          <w:sz w:val="17"/>
        </w:rPr>
        <w:t>Le formulaire ou la page officielle constitue le point d’action vérifiable.</w:t>
      </w:r>
    </w:p>
    <w:p>
      <w:pPr>
        <w:pStyle w:val="Normal"/>
        <w:keepNext w:val="true"/>
        <w:spacing w:before="40" w:after="0"/>
        <w:ind w:start="85" w:end="85"/>
        <w:rPr/>
      </w:pPr>
      <w:r>
        <w:rPr>
          <w:b/>
          <w:color w:val="0B3D91"/>
          <w:sz w:val="17"/>
        </w:rPr>
        <w:t>Q7. Quelles limites de diffusion, de décision ou d’accès sont précisées pour « Guider » ?</w:t>
      </w:r>
    </w:p>
    <w:p>
      <w:pPr>
        <w:pStyle w:val="Normal"/>
        <w:spacing w:before="0" w:after="40"/>
        <w:ind w:start="255" w:end="85"/>
        <w:rPr/>
      </w:pPr>
      <w:r>
        <w:rPr>
          <w:b/>
          <w:color w:val="D4A017"/>
          <w:sz w:val="17"/>
        </w:rPr>
        <w:t xml:space="preserve">Réponse : </w:t>
      </w:r>
      <w:r>
        <w:rPr>
          <w:color w:val="1F2937"/>
          <w:sz w:val="17"/>
        </w:rPr>
        <w:t>Le guidage ne vaut ni admission, ni autorisation, ni validation institutionnelle.</w:t>
      </w:r>
    </w:p>
    <w:p>
      <w:pPr>
        <w:pStyle w:val="Normal"/>
        <w:keepNext w:val="true"/>
        <w:spacing w:before="40" w:after="0"/>
        <w:ind w:start="85" w:end="85"/>
        <w:rPr/>
      </w:pPr>
      <w:r>
        <w:rPr>
          <w:b/>
          <w:color w:val="0B3D91"/>
          <w:sz w:val="17"/>
        </w:rPr>
        <w:t>Q8. À quels publics ou bénéficiaires la section « Guider » est-elle principalement destinée ?</w:t>
      </w:r>
    </w:p>
    <w:p>
      <w:pPr>
        <w:pStyle w:val="Normal"/>
        <w:spacing w:before="0" w:after="40"/>
        <w:ind w:start="255" w:end="85"/>
        <w:rPr/>
      </w:pPr>
      <w:r>
        <w:rPr>
          <w:b/>
          <w:color w:val="D4A017"/>
          <w:sz w:val="17"/>
        </w:rPr>
        <w:t xml:space="preserve">Réponse : </w:t>
      </w:r>
      <w:r>
        <w:rPr>
          <w:color w:val="1F2937"/>
          <w:sz w:val="17"/>
        </w:rPr>
        <w:t>Familles, candidats, visiteurs et usagers des services.</w:t>
      </w:r>
    </w:p>
    <w:p>
      <w:pPr>
        <w:pStyle w:val="Normal"/>
        <w:keepNext w:val="true"/>
        <w:spacing w:before="40" w:after="0"/>
        <w:ind w:start="85" w:end="85"/>
        <w:rPr/>
      </w:pPr>
      <w:r>
        <w:rPr>
          <w:b/>
          <w:color w:val="0B3D91"/>
          <w:sz w:val="17"/>
        </w:rPr>
        <w:t>Q9. À quelles autres rubriques ou fonctions du site « Guider » est-il relié ?</w:t>
      </w:r>
    </w:p>
    <w:p>
      <w:pPr>
        <w:pStyle w:val="Normal"/>
        <w:spacing w:before="0" w:after="40"/>
        <w:ind w:start="255" w:end="85"/>
        <w:rPr/>
      </w:pPr>
      <w:r>
        <w:rPr>
          <w:b/>
          <w:color w:val="D4A017"/>
          <w:sz w:val="17"/>
        </w:rPr>
        <w:t xml:space="preserve">Réponse : </w:t>
      </w:r>
      <w:r>
        <w:rPr>
          <w:color w:val="1F2937"/>
          <w:sz w:val="17"/>
        </w:rPr>
        <w:t>Lien avec Admissions, Contact, Espace Parents et Départements.</w:t>
      </w:r>
    </w:p>
    <w:p>
      <w:pPr>
        <w:pStyle w:val="Normal"/>
        <w:keepNext w:val="true"/>
        <w:spacing w:before="40" w:after="0"/>
        <w:ind w:start="85" w:end="85"/>
        <w:rPr/>
      </w:pPr>
      <w:r>
        <w:rPr>
          <w:b/>
          <w:color w:val="0B3D91"/>
          <w:sz w:val="17"/>
        </w:rPr>
        <w:t>Q10. Quelle action, orientation ou résultat concret le lecteur peut-il retenir de « Guider » ?</w:t>
      </w:r>
    </w:p>
    <w:p>
      <w:pPr>
        <w:pStyle w:val="Normal"/>
        <w:spacing w:before="0" w:after="40"/>
        <w:ind w:start="255" w:end="85"/>
        <w:rPr/>
      </w:pPr>
      <w:r>
        <w:rPr>
          <w:b/>
          <w:color w:val="D4A017"/>
          <w:sz w:val="17"/>
        </w:rPr>
        <w:t xml:space="preserve">Réponse : </w:t>
      </w:r>
      <w:r>
        <w:rPr>
          <w:color w:val="1F2937"/>
          <w:sz w:val="17"/>
        </w:rPr>
        <w:t>Suivre le lien ou contacter le service indiqué pour achever la démarche.</w:t>
      </w:r>
    </w:p>
    <w:p>
      <w:pPr>
        <w:pStyle w:val="Normal"/>
        <w:rPr/>
      </w:pPr>
      <w:r>
        <w:rPr/>
      </w:r>
      <w:r>
        <w:br w:type="page"/>
      </w:r>
    </w:p>
    <w:p>
      <w:pPr>
        <w:pStyle w:val="Heading2"/>
        <w:spacing w:before="0" w:after="80"/>
        <w:rPr/>
      </w:pPr>
      <w:r>
        <w:rPr/>
        <w:t>FICHE 56 — Escalader</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ÉMINA oriente vers une personne habilitée lorsque la demande est personnelle, sensible, urgente ou incertaine.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utilise un terme de gouvernance des services pour désigner l’orientation vers un niveau compétent.</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L’escalade protège l’utilisateur, l’enfant et la responsabilité institutionnelle.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urgences, incertitude, habilitations et assistance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Demande personnelle</w:t>
      </w:r>
    </w:p>
    <w:p>
      <w:pPr>
        <w:pStyle w:val="ListBullet"/>
        <w:numPr>
          <w:ilvl w:val="0"/>
          <w:numId w:val="1"/>
        </w:numPr>
        <w:spacing w:before="0" w:after="20"/>
        <w:ind w:hanging="360" w:start="255"/>
        <w:contextualSpacing/>
        <w:rPr/>
      </w:pPr>
      <w:r>
        <w:rPr>
          <w:sz w:val="18"/>
        </w:rPr>
        <w:t>Demande sensible</w:t>
      </w:r>
    </w:p>
    <w:p>
      <w:pPr>
        <w:pStyle w:val="ListBullet"/>
        <w:numPr>
          <w:ilvl w:val="0"/>
          <w:numId w:val="1"/>
        </w:numPr>
        <w:spacing w:before="0" w:after="20"/>
        <w:ind w:hanging="360" w:start="255"/>
        <w:contextualSpacing/>
        <w:rPr/>
      </w:pPr>
      <w:r>
        <w:rPr>
          <w:sz w:val="18"/>
        </w:rPr>
        <w:t>Urgence</w:t>
      </w:r>
    </w:p>
    <w:p>
      <w:pPr>
        <w:pStyle w:val="ListBullet"/>
        <w:numPr>
          <w:ilvl w:val="0"/>
          <w:numId w:val="1"/>
        </w:numPr>
        <w:spacing w:before="0" w:after="20"/>
        <w:ind w:hanging="360" w:start="255"/>
        <w:contextualSpacing/>
        <w:rPr/>
      </w:pPr>
      <w:r>
        <w:rPr>
          <w:sz w:val="18"/>
        </w:rPr>
        <w:t>Incertitude</w:t>
      </w:r>
    </w:p>
    <w:p>
      <w:pPr>
        <w:pStyle w:val="ListBullet"/>
        <w:numPr>
          <w:ilvl w:val="0"/>
          <w:numId w:val="1"/>
        </w:numPr>
        <w:spacing w:before="0" w:after="20"/>
        <w:ind w:hanging="360" w:start="255"/>
        <w:contextualSpacing/>
        <w:rPr/>
      </w:pPr>
      <w:r>
        <w:rPr>
          <w:sz w:val="18"/>
        </w:rPr>
        <w:t>Personne habilitée</w:t>
      </w:r>
    </w:p>
    <w:p>
      <w:pPr>
        <w:pStyle w:val="Heading3"/>
        <w:rPr/>
      </w:pPr>
      <w:r>
        <w:rPr/>
        <w:t>Banque de questions-réponses</w:t>
      </w:r>
    </w:p>
    <w:p>
      <w:pPr>
        <w:pStyle w:val="Normal"/>
        <w:keepNext w:val="true"/>
        <w:spacing w:before="40" w:after="0"/>
        <w:ind w:start="85" w:end="85"/>
        <w:rPr/>
      </w:pPr>
      <w:r>
        <w:rPr>
          <w:b/>
          <w:color w:val="0B3D91"/>
          <w:sz w:val="17"/>
        </w:rPr>
        <w:t>Q1. Que présente la section « Escalader » ?</w:t>
      </w:r>
    </w:p>
    <w:p>
      <w:pPr>
        <w:pStyle w:val="Normal"/>
        <w:spacing w:before="0" w:after="40"/>
        <w:ind w:start="255" w:end="85"/>
        <w:rPr/>
      </w:pPr>
      <w:r>
        <w:rPr>
          <w:b/>
          <w:color w:val="D4A017"/>
          <w:sz w:val="17"/>
        </w:rPr>
        <w:t xml:space="preserve">Réponse : </w:t>
      </w:r>
      <w:r>
        <w:rPr>
          <w:color w:val="1F2937"/>
          <w:sz w:val="17"/>
        </w:rPr>
        <w:t>ÉMINA oriente vers une personne habilitée lorsque la demande est personnelle, sensible, urgente ou incertaine.</w:t>
      </w:r>
    </w:p>
    <w:p>
      <w:pPr>
        <w:pStyle w:val="Normal"/>
        <w:keepNext w:val="true"/>
        <w:spacing w:before="40" w:after="0"/>
        <w:ind w:start="85" w:end="85"/>
        <w:rPr/>
      </w:pPr>
      <w:r>
        <w:rPr>
          <w:b/>
          <w:color w:val="0B3D91"/>
          <w:sz w:val="17"/>
        </w:rPr>
        <w:t>Q2. Quel est l’objectif principal exposé dans « Escalader » ?</w:t>
      </w:r>
    </w:p>
    <w:p>
      <w:pPr>
        <w:pStyle w:val="Normal"/>
        <w:spacing w:before="0" w:after="40"/>
        <w:ind w:start="255" w:end="85"/>
        <w:rPr/>
      </w:pPr>
      <w:r>
        <w:rPr>
          <w:b/>
          <w:color w:val="D4A017"/>
          <w:sz w:val="17"/>
        </w:rPr>
        <w:t xml:space="preserve">Réponse : </w:t>
      </w:r>
      <w:r>
        <w:rPr>
          <w:color w:val="1F2937"/>
          <w:sz w:val="17"/>
        </w:rPr>
        <w:t>Définir le passage obligatoire de l’assistance automatique vers l’intervention humaine.</w:t>
      </w:r>
    </w:p>
    <w:p>
      <w:pPr>
        <w:pStyle w:val="Normal"/>
        <w:keepNext w:val="true"/>
        <w:spacing w:before="40" w:after="0"/>
        <w:ind w:start="85" w:end="85"/>
        <w:rPr/>
      </w:pPr>
      <w:r>
        <w:rPr>
          <w:b/>
          <w:color w:val="0B3D91"/>
          <w:sz w:val="17"/>
        </w:rPr>
        <w:t>Q3. Quels éléments ou domaines sont couverts par « Escalader » ?</w:t>
      </w:r>
    </w:p>
    <w:p>
      <w:pPr>
        <w:pStyle w:val="Normal"/>
        <w:spacing w:before="0" w:after="40"/>
        <w:ind w:start="255" w:end="85"/>
        <w:rPr/>
      </w:pPr>
      <w:r>
        <w:rPr>
          <w:b/>
          <w:color w:val="D4A017"/>
          <w:sz w:val="17"/>
        </w:rPr>
        <w:t xml:space="preserve">Réponse : </w:t>
      </w:r>
      <w:r>
        <w:rPr>
          <w:color w:val="1F2937"/>
          <w:sz w:val="17"/>
        </w:rPr>
        <w:t>Demandes personnelles, sensibles, urgentes, incertaines et personnes habilitées.</w:t>
      </w:r>
    </w:p>
    <w:p>
      <w:pPr>
        <w:pStyle w:val="Normal"/>
        <w:keepNext w:val="true"/>
        <w:spacing w:before="40" w:after="0"/>
        <w:ind w:start="85" w:end="85"/>
        <w:rPr/>
      </w:pPr>
      <w:r>
        <w:rPr>
          <w:b/>
          <w:color w:val="0B3D91"/>
          <w:sz w:val="17"/>
        </w:rPr>
        <w:t>Q4. Qui porte, coordonne ou garantit les éléments présentés dans « Escalader » ?</w:t>
      </w:r>
    </w:p>
    <w:p>
      <w:pPr>
        <w:pStyle w:val="Normal"/>
        <w:spacing w:before="0" w:after="40"/>
        <w:ind w:start="255" w:end="85"/>
        <w:rPr/>
      </w:pPr>
      <w:r>
        <w:rPr>
          <w:b/>
          <w:color w:val="D4A017"/>
          <w:sz w:val="17"/>
        </w:rPr>
        <w:t xml:space="preserve">Réponse : </w:t>
      </w:r>
      <w:r>
        <w:rPr>
          <w:color w:val="1F2937"/>
          <w:sz w:val="17"/>
        </w:rPr>
        <w:t>ÉMINA détecte le besoin; le service humain compétent prend le relais.</w:t>
      </w:r>
    </w:p>
    <w:p>
      <w:pPr>
        <w:pStyle w:val="Normal"/>
        <w:keepNext w:val="true"/>
        <w:spacing w:before="40" w:after="0"/>
        <w:ind w:start="85" w:end="85"/>
        <w:rPr/>
      </w:pPr>
      <w:r>
        <w:rPr>
          <w:b/>
          <w:color w:val="0B3D91"/>
          <w:sz w:val="17"/>
        </w:rPr>
        <w:t>Q5. Comment la section « Escalader » prévoit-elle la mise en œuvre ou le suivi ?</w:t>
      </w:r>
    </w:p>
    <w:p>
      <w:pPr>
        <w:pStyle w:val="Normal"/>
        <w:spacing w:before="0" w:after="40"/>
        <w:ind w:start="255" w:end="85"/>
        <w:rPr/>
      </w:pPr>
      <w:r>
        <w:rPr>
          <w:b/>
          <w:color w:val="D4A017"/>
          <w:sz w:val="17"/>
        </w:rPr>
        <w:t xml:space="preserve">Réponse : </w:t>
      </w:r>
      <w:r>
        <w:rPr>
          <w:color w:val="1F2937"/>
          <w:sz w:val="17"/>
        </w:rPr>
        <w:t>Elle signale la limite et propose un canal ou un interlocuteur approprié.</w:t>
      </w:r>
    </w:p>
    <w:p>
      <w:pPr>
        <w:pStyle w:val="Normal"/>
        <w:keepNext w:val="true"/>
        <w:spacing w:before="40" w:after="0"/>
        <w:ind w:start="85" w:end="85"/>
        <w:rPr/>
      </w:pPr>
      <w:r>
        <w:rPr>
          <w:b/>
          <w:color w:val="0B3D91"/>
          <w:sz w:val="17"/>
        </w:rPr>
        <w:t>Q6. Quelle preuve, référence, règle ou information de statut accompagne « Escalader » ?</w:t>
      </w:r>
    </w:p>
    <w:p>
      <w:pPr>
        <w:pStyle w:val="Normal"/>
        <w:spacing w:before="0" w:after="40"/>
        <w:ind w:start="255" w:end="85"/>
        <w:rPr/>
      </w:pPr>
      <w:r>
        <w:rPr>
          <w:b/>
          <w:color w:val="D4A017"/>
          <w:sz w:val="17"/>
        </w:rPr>
        <w:t xml:space="preserve">Réponse : </w:t>
      </w:r>
      <w:r>
        <w:rPr>
          <w:color w:val="1F2937"/>
          <w:sz w:val="17"/>
        </w:rPr>
        <w:t>La trace d’orientation et le canal officiel soutiennent le transfert.</w:t>
      </w:r>
    </w:p>
    <w:p>
      <w:pPr>
        <w:pStyle w:val="Normal"/>
        <w:keepNext w:val="true"/>
        <w:spacing w:before="40" w:after="0"/>
        <w:ind w:start="85" w:end="85"/>
        <w:rPr/>
      </w:pPr>
      <w:r>
        <w:rPr>
          <w:b/>
          <w:color w:val="0B3D91"/>
          <w:sz w:val="17"/>
        </w:rPr>
        <w:t>Q7. Quelles limites de diffusion, de décision ou d’accès sont précisées pour « Escalader » ?</w:t>
      </w:r>
    </w:p>
    <w:p>
      <w:pPr>
        <w:pStyle w:val="Normal"/>
        <w:spacing w:before="0" w:after="40"/>
        <w:ind w:start="255" w:end="85"/>
        <w:rPr/>
      </w:pPr>
      <w:r>
        <w:rPr>
          <w:b/>
          <w:color w:val="D4A017"/>
          <w:sz w:val="17"/>
        </w:rPr>
        <w:t xml:space="preserve">Réponse : </w:t>
      </w:r>
      <w:r>
        <w:rPr>
          <w:color w:val="1F2937"/>
          <w:sz w:val="17"/>
        </w:rPr>
        <w:t>Elle ne traite pas seule les situations qui exigent jugement, confidentialité ou urgence.</w:t>
      </w:r>
    </w:p>
    <w:p>
      <w:pPr>
        <w:pStyle w:val="Normal"/>
        <w:keepNext w:val="true"/>
        <w:spacing w:before="40" w:after="0"/>
        <w:ind w:start="85" w:end="85"/>
        <w:rPr/>
      </w:pPr>
      <w:r>
        <w:rPr>
          <w:b/>
          <w:color w:val="0B3D91"/>
          <w:sz w:val="17"/>
        </w:rPr>
        <w:t>Q8. À quels publics ou bénéficiaires la section « Escalader » est-elle principalement destinée ?</w:t>
      </w:r>
    </w:p>
    <w:p>
      <w:pPr>
        <w:pStyle w:val="Normal"/>
        <w:spacing w:before="0" w:after="40"/>
        <w:ind w:start="255" w:end="85"/>
        <w:rPr/>
      </w:pPr>
      <w:r>
        <w:rPr>
          <w:b/>
          <w:color w:val="D4A017"/>
          <w:sz w:val="17"/>
        </w:rPr>
        <w:t xml:space="preserve">Réponse : </w:t>
      </w:r>
      <w:r>
        <w:rPr>
          <w:color w:val="1F2937"/>
          <w:sz w:val="17"/>
        </w:rPr>
        <w:t>Toute personne dont la demande dépasse l’information publique ordinaire.</w:t>
      </w:r>
    </w:p>
    <w:p>
      <w:pPr>
        <w:pStyle w:val="Normal"/>
        <w:keepNext w:val="true"/>
        <w:spacing w:before="40" w:after="0"/>
        <w:ind w:start="85" w:end="85"/>
        <w:rPr/>
      </w:pPr>
      <w:r>
        <w:rPr>
          <w:b/>
          <w:color w:val="0B3D91"/>
          <w:sz w:val="17"/>
        </w:rPr>
        <w:t>Q9. À quelles autres rubriques ou fonctions du site « Escalader » est-il relié ?</w:t>
      </w:r>
    </w:p>
    <w:p>
      <w:pPr>
        <w:pStyle w:val="Normal"/>
        <w:spacing w:before="0" w:after="40"/>
        <w:ind w:start="255" w:end="85"/>
        <w:rPr/>
      </w:pPr>
      <w:r>
        <w:rPr>
          <w:b/>
          <w:color w:val="D4A017"/>
          <w:sz w:val="17"/>
        </w:rPr>
        <w:t xml:space="preserve">Réponse : </w:t>
      </w:r>
      <w:r>
        <w:rPr>
          <w:color w:val="1F2937"/>
          <w:sz w:val="17"/>
        </w:rPr>
        <w:t>Lien avec DBSPE, Admissions, Santé, Direction, Contact et DSI.</w:t>
      </w:r>
    </w:p>
    <w:p>
      <w:pPr>
        <w:pStyle w:val="Normal"/>
        <w:keepNext w:val="true"/>
        <w:spacing w:before="40" w:after="0"/>
        <w:ind w:start="85" w:end="85"/>
        <w:rPr/>
      </w:pPr>
      <w:r>
        <w:rPr>
          <w:b/>
          <w:color w:val="0B3D91"/>
          <w:sz w:val="17"/>
        </w:rPr>
        <w:t>Q10. Quelle action, orientation ou résultat concret le lecteur peut-il retenir de « Escalader » ?</w:t>
      </w:r>
    </w:p>
    <w:p>
      <w:pPr>
        <w:pStyle w:val="Normal"/>
        <w:spacing w:before="0" w:after="40"/>
        <w:ind w:start="255" w:end="85"/>
        <w:rPr/>
      </w:pPr>
      <w:r>
        <w:rPr>
          <w:b/>
          <w:color w:val="D4A017"/>
          <w:sz w:val="17"/>
        </w:rPr>
        <w:t xml:space="preserve">Réponse : </w:t>
      </w:r>
      <w:r>
        <w:rPr>
          <w:color w:val="1F2937"/>
          <w:sz w:val="17"/>
        </w:rPr>
        <w:t>Utiliser immédiatement le canal humain indiqué lorsque la situation le requiert.</w:t>
      </w:r>
    </w:p>
    <w:p>
      <w:pPr>
        <w:pStyle w:val="Normal"/>
        <w:rPr/>
      </w:pPr>
      <w:r>
        <w:rPr/>
      </w:r>
      <w:r>
        <w:br w:type="page"/>
      </w:r>
    </w:p>
    <w:p>
      <w:pPr>
        <w:pStyle w:val="Heading2"/>
        <w:spacing w:before="0" w:after="80"/>
        <w:rPr/>
      </w:pPr>
      <w:r>
        <w:rPr/>
        <w:t>FICHE 57 — Sources et transparence</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Dans l’accès public, ÉMINA utilise uniquement la base de connaissances publique validée et affiche pour les réponses importantes une référence, une version, un propriétaire et un lien.</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associe la maîtrise des sources à l’obligation de transparence.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La transparence réduit les hallucinations et facilite la correction des erreurs.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version active, signalement d’erreur et propriétaire documentaire.</w:t>
            </w:r>
          </w:p>
        </w:tc>
      </w:tr>
    </w:tbl>
    <w:p>
      <w:pPr>
        <w:pStyle w:val="Heading3"/>
        <w:rPr/>
      </w:pPr>
      <w:r>
        <w:rPr/>
        <w:t>Points développés</w:t>
      </w:r>
    </w:p>
    <w:p>
      <w:pPr>
        <w:pStyle w:val="ListBullet"/>
        <w:numPr>
          <w:ilvl w:val="0"/>
          <w:numId w:val="1"/>
        </w:numPr>
        <w:spacing w:before="0" w:after="20"/>
        <w:ind w:hanging="360" w:start="255"/>
        <w:contextualSpacing/>
        <w:rPr/>
      </w:pPr>
      <w:r>
        <w:rPr>
          <w:sz w:val="18"/>
        </w:rPr>
        <w:t>Base publique validée</w:t>
      </w:r>
    </w:p>
    <w:p>
      <w:pPr>
        <w:pStyle w:val="ListBullet"/>
        <w:numPr>
          <w:ilvl w:val="0"/>
          <w:numId w:val="1"/>
        </w:numPr>
        <w:spacing w:before="0" w:after="20"/>
        <w:ind w:hanging="360" w:start="255"/>
        <w:contextualSpacing/>
        <w:rPr/>
      </w:pPr>
      <w:r>
        <w:rPr>
          <w:sz w:val="18"/>
        </w:rPr>
        <w:t>Référence</w:t>
      </w:r>
    </w:p>
    <w:p>
      <w:pPr>
        <w:pStyle w:val="ListBullet"/>
        <w:numPr>
          <w:ilvl w:val="0"/>
          <w:numId w:val="1"/>
        </w:numPr>
        <w:spacing w:before="0" w:after="20"/>
        <w:ind w:hanging="360" w:start="255"/>
        <w:contextualSpacing/>
        <w:rPr/>
      </w:pPr>
      <w:r>
        <w:rPr>
          <w:sz w:val="18"/>
        </w:rPr>
        <w:t>Version</w:t>
      </w:r>
    </w:p>
    <w:p>
      <w:pPr>
        <w:pStyle w:val="ListBullet"/>
        <w:numPr>
          <w:ilvl w:val="0"/>
          <w:numId w:val="1"/>
        </w:numPr>
        <w:spacing w:before="0" w:after="20"/>
        <w:ind w:hanging="360" w:start="255"/>
        <w:contextualSpacing/>
        <w:rPr/>
      </w:pPr>
      <w:r>
        <w:rPr>
          <w:sz w:val="18"/>
        </w:rPr>
        <w:t>Propriétaire</w:t>
      </w:r>
    </w:p>
    <w:p>
      <w:pPr>
        <w:pStyle w:val="ListBullet"/>
        <w:numPr>
          <w:ilvl w:val="0"/>
          <w:numId w:val="1"/>
        </w:numPr>
        <w:spacing w:before="0" w:after="20"/>
        <w:ind w:hanging="360" w:start="255"/>
        <w:contextualSpacing/>
        <w:rPr/>
      </w:pPr>
      <w:r>
        <w:rPr>
          <w:sz w:val="18"/>
        </w:rPr>
        <w:t>Lien</w:t>
      </w:r>
    </w:p>
    <w:p>
      <w:pPr>
        <w:pStyle w:val="ListBullet"/>
        <w:numPr>
          <w:ilvl w:val="0"/>
          <w:numId w:val="1"/>
        </w:numPr>
        <w:spacing w:before="0" w:after="20"/>
        <w:ind w:hanging="360" w:start="255"/>
        <w:contextualSpacing/>
        <w:rPr/>
      </w:pPr>
      <w:r>
        <w:rPr>
          <w:sz w:val="18"/>
        </w:rPr>
        <w:t>Décisions exclues</w:t>
      </w:r>
    </w:p>
    <w:p>
      <w:pPr>
        <w:pStyle w:val="Heading3"/>
        <w:rPr/>
      </w:pPr>
      <w:r>
        <w:rPr/>
        <w:t>Banque de questions-réponses</w:t>
      </w:r>
    </w:p>
    <w:p>
      <w:pPr>
        <w:pStyle w:val="Normal"/>
        <w:keepNext w:val="true"/>
        <w:spacing w:before="40" w:after="0"/>
        <w:ind w:start="85" w:end="85"/>
        <w:rPr/>
      </w:pPr>
      <w:r>
        <w:rPr>
          <w:b/>
          <w:color w:val="0B3D91"/>
          <w:sz w:val="17"/>
        </w:rPr>
        <w:t>Q1. Que présente la section « Sources et transparence » ?</w:t>
      </w:r>
    </w:p>
    <w:p>
      <w:pPr>
        <w:pStyle w:val="Normal"/>
        <w:spacing w:before="0" w:after="40"/>
        <w:ind w:start="255" w:end="85"/>
        <w:rPr/>
      </w:pPr>
      <w:r>
        <w:rPr>
          <w:b/>
          <w:color w:val="D4A017"/>
          <w:sz w:val="17"/>
        </w:rPr>
        <w:t xml:space="preserve">Réponse : </w:t>
      </w:r>
      <w:r>
        <w:rPr>
          <w:color w:val="1F2937"/>
          <w:sz w:val="17"/>
        </w:rPr>
        <w:t>Dans l’accès public, ÉMINA utilise uniquement la base de connaissances publique validée et affiche pour les réponses importantes une référence, une version, un propriétaire et un lien.</w:t>
      </w:r>
    </w:p>
    <w:p>
      <w:pPr>
        <w:pStyle w:val="Normal"/>
        <w:keepNext w:val="true"/>
        <w:spacing w:before="40" w:after="0"/>
        <w:ind w:start="85" w:end="85"/>
        <w:rPr/>
      </w:pPr>
      <w:r>
        <w:rPr>
          <w:b/>
          <w:color w:val="0B3D91"/>
          <w:sz w:val="17"/>
        </w:rPr>
        <w:t>Q2. Quel est l’objectif principal exposé dans « Sources et transparence » ?</w:t>
      </w:r>
    </w:p>
    <w:p>
      <w:pPr>
        <w:pStyle w:val="Normal"/>
        <w:spacing w:before="0" w:after="40"/>
        <w:ind w:start="255" w:end="85"/>
        <w:rPr/>
      </w:pPr>
      <w:r>
        <w:rPr>
          <w:b/>
          <w:color w:val="D4A017"/>
          <w:sz w:val="17"/>
        </w:rPr>
        <w:t xml:space="preserve">Réponse : </w:t>
      </w:r>
      <w:r>
        <w:rPr>
          <w:color w:val="1F2937"/>
          <w:sz w:val="17"/>
        </w:rPr>
        <w:t>Rendre les réponses vérifiables et limiter l’usage de sources non approuvées.</w:t>
      </w:r>
    </w:p>
    <w:p>
      <w:pPr>
        <w:pStyle w:val="Normal"/>
        <w:keepNext w:val="true"/>
        <w:spacing w:before="40" w:after="0"/>
        <w:ind w:start="85" w:end="85"/>
        <w:rPr/>
      </w:pPr>
      <w:r>
        <w:rPr>
          <w:b/>
          <w:color w:val="0B3D91"/>
          <w:sz w:val="17"/>
        </w:rPr>
        <w:t>Q3. Quels éléments ou domaines sont couverts par « Sources et transparence » ?</w:t>
      </w:r>
    </w:p>
    <w:p>
      <w:pPr>
        <w:pStyle w:val="Normal"/>
        <w:spacing w:before="0" w:after="40"/>
        <w:ind w:start="255" w:end="85"/>
        <w:rPr/>
      </w:pPr>
      <w:r>
        <w:rPr>
          <w:b/>
          <w:color w:val="D4A017"/>
          <w:sz w:val="17"/>
        </w:rPr>
        <w:t xml:space="preserve">Réponse : </w:t>
      </w:r>
      <w:r>
        <w:rPr>
          <w:color w:val="1F2937"/>
          <w:sz w:val="17"/>
        </w:rPr>
        <w:t>Base publique, référence, version, propriétaire, lien et limites décisionnelles.</w:t>
      </w:r>
    </w:p>
    <w:p>
      <w:pPr>
        <w:pStyle w:val="Normal"/>
        <w:keepNext w:val="true"/>
        <w:spacing w:before="40" w:after="0"/>
        <w:ind w:start="85" w:end="85"/>
        <w:rPr/>
      </w:pPr>
      <w:r>
        <w:rPr>
          <w:b/>
          <w:color w:val="0B3D91"/>
          <w:sz w:val="17"/>
        </w:rPr>
        <w:t>Q4. Qui porte, coordonne ou garantit les éléments présentés dans « Sources et transparence » ?</w:t>
      </w:r>
    </w:p>
    <w:p>
      <w:pPr>
        <w:pStyle w:val="Normal"/>
        <w:spacing w:before="0" w:after="40"/>
        <w:ind w:start="255" w:end="85"/>
        <w:rPr/>
      </w:pPr>
      <w:r>
        <w:rPr>
          <w:b/>
          <w:color w:val="D4A017"/>
          <w:sz w:val="17"/>
        </w:rPr>
        <w:t xml:space="preserve">Réponse : </w:t>
      </w:r>
      <w:r>
        <w:rPr>
          <w:color w:val="1F2937"/>
          <w:sz w:val="17"/>
        </w:rPr>
        <w:t>Les propriétaires de contenu valident les sources; ÉMINA les utilise.</w:t>
      </w:r>
    </w:p>
    <w:p>
      <w:pPr>
        <w:pStyle w:val="Normal"/>
        <w:keepNext w:val="true"/>
        <w:spacing w:before="40" w:after="0"/>
        <w:ind w:start="85" w:end="85"/>
        <w:rPr/>
      </w:pPr>
      <w:r>
        <w:rPr>
          <w:b/>
          <w:color w:val="0B3D91"/>
          <w:sz w:val="17"/>
        </w:rPr>
        <w:t>Q5. Comment la section « Sources et transparence » prévoit-elle la mise en œuvre ou le suivi ?</w:t>
      </w:r>
    </w:p>
    <w:p>
      <w:pPr>
        <w:pStyle w:val="Normal"/>
        <w:spacing w:before="0" w:after="40"/>
        <w:ind w:start="255" w:end="85"/>
        <w:rPr/>
      </w:pPr>
      <w:r>
        <w:rPr>
          <w:b/>
          <w:color w:val="D4A017"/>
          <w:sz w:val="17"/>
        </w:rPr>
        <w:t xml:space="preserve">Réponse : </w:t>
      </w:r>
      <w:r>
        <w:rPr>
          <w:color w:val="1F2937"/>
          <w:sz w:val="17"/>
        </w:rPr>
        <w:t>L’assistante sélectionne la version active et cite les métadonnées pertinentes.</w:t>
      </w:r>
    </w:p>
    <w:p>
      <w:pPr>
        <w:pStyle w:val="Normal"/>
        <w:keepNext w:val="true"/>
        <w:spacing w:before="40" w:after="0"/>
        <w:ind w:start="85" w:end="85"/>
        <w:rPr/>
      </w:pPr>
      <w:r>
        <w:rPr>
          <w:b/>
          <w:color w:val="0B3D91"/>
          <w:sz w:val="17"/>
        </w:rPr>
        <w:t>Q6. Quelle preuve, référence, règle ou information de statut accompagne « Sources et transparence » ?</w:t>
      </w:r>
    </w:p>
    <w:p>
      <w:pPr>
        <w:pStyle w:val="Normal"/>
        <w:spacing w:before="0" w:after="40"/>
        <w:ind w:start="255" w:end="85"/>
        <w:rPr/>
      </w:pPr>
      <w:r>
        <w:rPr>
          <w:b/>
          <w:color w:val="D4A017"/>
          <w:sz w:val="17"/>
        </w:rPr>
        <w:t xml:space="preserve">Réponse : </w:t>
      </w:r>
      <w:r>
        <w:rPr>
          <w:color w:val="1F2937"/>
          <w:sz w:val="17"/>
        </w:rPr>
        <w:t>Référence, version, propriétaire et lien sont les éléments de preuve affichés.</w:t>
      </w:r>
    </w:p>
    <w:p>
      <w:pPr>
        <w:pStyle w:val="Normal"/>
        <w:keepNext w:val="true"/>
        <w:spacing w:before="40" w:after="0"/>
        <w:ind w:start="85" w:end="85"/>
        <w:rPr/>
      </w:pPr>
      <w:r>
        <w:rPr>
          <w:b/>
          <w:color w:val="0B3D91"/>
          <w:sz w:val="17"/>
        </w:rPr>
        <w:t>Q7. Quelles limites de diffusion, de décision ou d’accès sont précisées pour « Sources et transparence » ?</w:t>
      </w:r>
    </w:p>
    <w:p>
      <w:pPr>
        <w:pStyle w:val="Normal"/>
        <w:spacing w:before="0" w:after="40"/>
        <w:ind w:start="255" w:end="85"/>
        <w:rPr/>
      </w:pPr>
      <w:r>
        <w:rPr>
          <w:b/>
          <w:color w:val="D4A017"/>
          <w:sz w:val="17"/>
        </w:rPr>
        <w:t xml:space="preserve">Réponse : </w:t>
      </w:r>
      <w:r>
        <w:rPr>
          <w:color w:val="1F2937"/>
          <w:sz w:val="17"/>
        </w:rPr>
        <w:t>Une réponse ne remplace jamais admission, pédagogie, diagnostic, sanction, dépense, signature ou autorisation d’accès.</w:t>
      </w:r>
    </w:p>
    <w:p>
      <w:pPr>
        <w:pStyle w:val="Normal"/>
        <w:keepNext w:val="true"/>
        <w:spacing w:before="40" w:after="0"/>
        <w:ind w:start="85" w:end="85"/>
        <w:rPr/>
      </w:pPr>
      <w:r>
        <w:rPr>
          <w:b/>
          <w:color w:val="0B3D91"/>
          <w:sz w:val="17"/>
        </w:rPr>
        <w:t>Q8. À quels publics ou bénéficiaires la section « Sources et transparence » est-elle principalement destinée ?</w:t>
      </w:r>
    </w:p>
    <w:p>
      <w:pPr>
        <w:pStyle w:val="Normal"/>
        <w:spacing w:before="0" w:after="40"/>
        <w:ind w:start="255" w:end="85"/>
        <w:rPr/>
      </w:pPr>
      <w:r>
        <w:rPr>
          <w:b/>
          <w:color w:val="D4A017"/>
          <w:sz w:val="17"/>
        </w:rPr>
        <w:t xml:space="preserve">Réponse : </w:t>
      </w:r>
      <w:r>
        <w:rPr>
          <w:color w:val="1F2937"/>
          <w:sz w:val="17"/>
        </w:rPr>
        <w:t>Tous les utilisateurs de l’accès public.</w:t>
      </w:r>
    </w:p>
    <w:p>
      <w:pPr>
        <w:pStyle w:val="Normal"/>
        <w:keepNext w:val="true"/>
        <w:spacing w:before="40" w:after="0"/>
        <w:ind w:start="85" w:end="85"/>
        <w:rPr/>
      </w:pPr>
      <w:r>
        <w:rPr>
          <w:b/>
          <w:color w:val="0B3D91"/>
          <w:sz w:val="17"/>
        </w:rPr>
        <w:t>Q9. À quelles autres rubriques ou fonctions du site « Sources et transparence » est-il relié ?</w:t>
      </w:r>
    </w:p>
    <w:p>
      <w:pPr>
        <w:pStyle w:val="Normal"/>
        <w:spacing w:before="0" w:after="40"/>
        <w:ind w:start="255" w:end="85"/>
        <w:rPr/>
      </w:pPr>
      <w:r>
        <w:rPr>
          <w:b/>
          <w:color w:val="D4A017"/>
          <w:sz w:val="17"/>
        </w:rPr>
        <w:t xml:space="preserve">Réponse : </w:t>
      </w:r>
      <w:r>
        <w:rPr>
          <w:color w:val="1F2937"/>
          <w:sz w:val="17"/>
        </w:rPr>
        <w:t>Lien avec Documentation publique, DSI, DAQAC et Gouvernance.</w:t>
      </w:r>
    </w:p>
    <w:p>
      <w:pPr>
        <w:pStyle w:val="Normal"/>
        <w:keepNext w:val="true"/>
        <w:spacing w:before="40" w:after="0"/>
        <w:ind w:start="85" w:end="85"/>
        <w:rPr/>
      </w:pPr>
      <w:r>
        <w:rPr>
          <w:b/>
          <w:color w:val="0B3D91"/>
          <w:sz w:val="17"/>
        </w:rPr>
        <w:t>Q10. Quelle action, orientation ou résultat concret le lecteur peut-il retenir de « Sources et transparence » ?</w:t>
      </w:r>
    </w:p>
    <w:p>
      <w:pPr>
        <w:pStyle w:val="Normal"/>
        <w:spacing w:before="0" w:after="40"/>
        <w:ind w:start="255" w:end="85"/>
        <w:rPr/>
      </w:pPr>
      <w:r>
        <w:rPr>
          <w:b/>
          <w:color w:val="D4A017"/>
          <w:sz w:val="17"/>
        </w:rPr>
        <w:t xml:space="preserve">Réponse : </w:t>
      </w:r>
      <w:r>
        <w:rPr>
          <w:color w:val="1F2937"/>
          <w:sz w:val="17"/>
        </w:rPr>
        <w:t>Vérifier la source et recourir à l’autorité humaine pour toute décision.</w:t>
      </w:r>
    </w:p>
    <w:p>
      <w:pPr>
        <w:pStyle w:val="Normal"/>
        <w:rPr/>
      </w:pPr>
      <w:r>
        <w:rPr/>
      </w:r>
      <w:r>
        <w:br w:type="page"/>
      </w:r>
    </w:p>
    <w:p>
      <w:pPr>
        <w:pStyle w:val="Heading2"/>
        <w:spacing w:before="0" w:after="80"/>
        <w:rPr/>
      </w:pPr>
      <w:r>
        <w:rPr/>
        <w:t>FICHE 58 — Confidentialité et conversation</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L’interface publique ne révèle aucun dossier nominatif, limite la mémoire à la session, redirige les demandes sensibles et signale les réponses incertaines.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relie la protection des données au fonctionnement concret de la conversation.</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Il réduit les risques de divulgation et de confiance injustifiée.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minimisation, session navigateur et escalade humaine.</w:t>
            </w:r>
          </w:p>
        </w:tc>
      </w:tr>
    </w:tbl>
    <w:p>
      <w:pPr>
        <w:pStyle w:val="Heading3"/>
        <w:rPr/>
      </w:pPr>
      <w:r>
        <w:rPr/>
        <w:t>Points développés</w:t>
      </w:r>
    </w:p>
    <w:p>
      <w:pPr>
        <w:pStyle w:val="ListBullet"/>
        <w:numPr>
          <w:ilvl w:val="0"/>
          <w:numId w:val="1"/>
        </w:numPr>
        <w:spacing w:before="0" w:after="20"/>
        <w:ind w:hanging="360" w:start="255"/>
        <w:contextualSpacing/>
        <w:rPr/>
      </w:pPr>
      <w:r>
        <w:rPr>
          <w:sz w:val="18"/>
        </w:rPr>
        <w:t>Aucun dossier nominatif</w:t>
      </w:r>
    </w:p>
    <w:p>
      <w:pPr>
        <w:pStyle w:val="ListBullet"/>
        <w:numPr>
          <w:ilvl w:val="0"/>
          <w:numId w:val="1"/>
        </w:numPr>
        <w:spacing w:before="0" w:after="20"/>
        <w:ind w:hanging="360" w:start="255"/>
        <w:contextualSpacing/>
        <w:rPr/>
      </w:pPr>
      <w:r>
        <w:rPr>
          <w:sz w:val="18"/>
        </w:rPr>
        <w:t>Mémoire limitée à la session</w:t>
      </w:r>
    </w:p>
    <w:p>
      <w:pPr>
        <w:pStyle w:val="ListBullet"/>
        <w:numPr>
          <w:ilvl w:val="0"/>
          <w:numId w:val="1"/>
        </w:numPr>
        <w:spacing w:before="0" w:after="20"/>
        <w:ind w:hanging="360" w:start="255"/>
        <w:contextualSpacing/>
        <w:rPr/>
      </w:pPr>
      <w:r>
        <w:rPr>
          <w:sz w:val="18"/>
        </w:rPr>
        <w:t>Canal humain sécurisé</w:t>
      </w:r>
    </w:p>
    <w:p>
      <w:pPr>
        <w:pStyle w:val="ListBullet"/>
        <w:numPr>
          <w:ilvl w:val="0"/>
          <w:numId w:val="1"/>
        </w:numPr>
        <w:spacing w:before="0" w:after="20"/>
        <w:ind w:hanging="360" w:start="255"/>
        <w:contextualSpacing/>
        <w:rPr/>
      </w:pPr>
      <w:r>
        <w:rPr>
          <w:sz w:val="18"/>
        </w:rPr>
        <w:t>Incertitude signalée</w:t>
      </w:r>
    </w:p>
    <w:p>
      <w:pPr>
        <w:pStyle w:val="Heading3"/>
        <w:rPr/>
      </w:pPr>
      <w:r>
        <w:rPr/>
        <w:t>Banque de questions-réponses</w:t>
      </w:r>
    </w:p>
    <w:p>
      <w:pPr>
        <w:pStyle w:val="Normal"/>
        <w:keepNext w:val="true"/>
        <w:spacing w:before="40" w:after="0"/>
        <w:ind w:start="85" w:end="85"/>
        <w:rPr/>
      </w:pPr>
      <w:r>
        <w:rPr>
          <w:b/>
          <w:color w:val="0B3D91"/>
          <w:sz w:val="17"/>
        </w:rPr>
        <w:t>Q1. Que présente la section « Confidentialité et conversation » ?</w:t>
      </w:r>
    </w:p>
    <w:p>
      <w:pPr>
        <w:pStyle w:val="Normal"/>
        <w:spacing w:before="0" w:after="40"/>
        <w:ind w:start="255" w:end="85"/>
        <w:rPr/>
      </w:pPr>
      <w:r>
        <w:rPr>
          <w:b/>
          <w:color w:val="D4A017"/>
          <w:sz w:val="17"/>
        </w:rPr>
        <w:t xml:space="preserve">Réponse : </w:t>
      </w:r>
      <w:r>
        <w:rPr>
          <w:color w:val="1F2937"/>
          <w:sz w:val="17"/>
        </w:rPr>
        <w:t>L’interface publique ne révèle aucun dossier nominatif, limite la mémoire à la session, redirige les demandes sensibles et signale les réponses incertaines.</w:t>
      </w:r>
    </w:p>
    <w:p>
      <w:pPr>
        <w:pStyle w:val="Normal"/>
        <w:keepNext w:val="true"/>
        <w:spacing w:before="40" w:after="0"/>
        <w:ind w:start="85" w:end="85"/>
        <w:rPr/>
      </w:pPr>
      <w:r>
        <w:rPr>
          <w:b/>
          <w:color w:val="0B3D91"/>
          <w:sz w:val="17"/>
        </w:rPr>
        <w:t>Q2. Quel est l’objectif principal exposé dans « Confidentialité et conversation » ?</w:t>
      </w:r>
    </w:p>
    <w:p>
      <w:pPr>
        <w:pStyle w:val="Normal"/>
        <w:spacing w:before="0" w:after="40"/>
        <w:ind w:start="255" w:end="85"/>
        <w:rPr/>
      </w:pPr>
      <w:r>
        <w:rPr>
          <w:b/>
          <w:color w:val="D4A017"/>
          <w:sz w:val="17"/>
        </w:rPr>
        <w:t xml:space="preserve">Réponse : </w:t>
      </w:r>
      <w:r>
        <w:rPr>
          <w:color w:val="1F2937"/>
          <w:sz w:val="17"/>
        </w:rPr>
        <w:t>Protéger les données et encadrer la mémoire et l’incertitude de la conversation.</w:t>
      </w:r>
    </w:p>
    <w:p>
      <w:pPr>
        <w:pStyle w:val="Normal"/>
        <w:keepNext w:val="true"/>
        <w:spacing w:before="40" w:after="0"/>
        <w:ind w:start="85" w:end="85"/>
        <w:rPr/>
      </w:pPr>
      <w:r>
        <w:rPr>
          <w:b/>
          <w:color w:val="0B3D91"/>
          <w:sz w:val="17"/>
        </w:rPr>
        <w:t>Q3. Quels éléments ou domaines sont couverts par « Confidentialité et conversation » ?</w:t>
      </w:r>
    </w:p>
    <w:p>
      <w:pPr>
        <w:pStyle w:val="Normal"/>
        <w:spacing w:before="0" w:after="40"/>
        <w:ind w:start="255" w:end="85"/>
        <w:rPr/>
      </w:pPr>
      <w:r>
        <w:rPr>
          <w:b/>
          <w:color w:val="D4A017"/>
          <w:sz w:val="17"/>
        </w:rPr>
        <w:t xml:space="preserve">Réponse : </w:t>
      </w:r>
      <w:r>
        <w:rPr>
          <w:color w:val="1F2937"/>
          <w:sz w:val="17"/>
        </w:rPr>
        <w:t>Dossiers nominatifs, mémoire de session, canaux humains sécurisés et signalement de l’incertitude.</w:t>
      </w:r>
    </w:p>
    <w:p>
      <w:pPr>
        <w:pStyle w:val="Normal"/>
        <w:keepNext w:val="true"/>
        <w:spacing w:before="40" w:after="0"/>
        <w:ind w:start="85" w:end="85"/>
        <w:rPr/>
      </w:pPr>
      <w:r>
        <w:rPr>
          <w:b/>
          <w:color w:val="0B3D91"/>
          <w:sz w:val="17"/>
        </w:rPr>
        <w:t>Q4. Qui porte, coordonne ou garantit les éléments présentés dans « Confidentialité et conversation » ?</w:t>
      </w:r>
    </w:p>
    <w:p>
      <w:pPr>
        <w:pStyle w:val="Normal"/>
        <w:spacing w:before="0" w:after="40"/>
        <w:ind w:start="255" w:end="85"/>
        <w:rPr/>
      </w:pPr>
      <w:r>
        <w:rPr>
          <w:b/>
          <w:color w:val="D4A017"/>
          <w:sz w:val="17"/>
        </w:rPr>
        <w:t xml:space="preserve">Réponse : </w:t>
      </w:r>
      <w:r>
        <w:rPr>
          <w:color w:val="1F2937"/>
          <w:sz w:val="17"/>
        </w:rPr>
        <w:t>Le GSE et le DSI définissent les règles; ÉMINA les applique.</w:t>
      </w:r>
    </w:p>
    <w:p>
      <w:pPr>
        <w:pStyle w:val="Normal"/>
        <w:keepNext w:val="true"/>
        <w:spacing w:before="40" w:after="0"/>
        <w:ind w:start="85" w:end="85"/>
        <w:rPr/>
      </w:pPr>
      <w:r>
        <w:rPr>
          <w:b/>
          <w:color w:val="0B3D91"/>
          <w:sz w:val="17"/>
        </w:rPr>
        <w:t>Q5. Comment la section « Confidentialité et conversation » prévoit-elle la mise en œuvre ou le suivi ?</w:t>
      </w:r>
    </w:p>
    <w:p>
      <w:pPr>
        <w:pStyle w:val="Normal"/>
        <w:spacing w:before="0" w:after="40"/>
        <w:ind w:start="255" w:end="85"/>
        <w:rPr/>
      </w:pPr>
      <w:r>
        <w:rPr>
          <w:b/>
          <w:color w:val="D4A017"/>
          <w:sz w:val="17"/>
        </w:rPr>
        <w:t xml:space="preserve">Réponse : </w:t>
      </w:r>
      <w:r>
        <w:rPr>
          <w:color w:val="1F2937"/>
          <w:sz w:val="17"/>
        </w:rPr>
        <w:t>La conversation publique conserve seulement le contexte de session et oriente les données sensibles hors de l’interface.</w:t>
      </w:r>
    </w:p>
    <w:p>
      <w:pPr>
        <w:pStyle w:val="Normal"/>
        <w:keepNext w:val="true"/>
        <w:spacing w:before="40" w:after="0"/>
        <w:ind w:start="85" w:end="85"/>
        <w:rPr/>
      </w:pPr>
      <w:r>
        <w:rPr>
          <w:b/>
          <w:color w:val="0B3D91"/>
          <w:sz w:val="17"/>
        </w:rPr>
        <w:t>Q6. Quelle preuve, référence, règle ou information de statut accompagne « Confidentialité et conversation » ?</w:t>
      </w:r>
    </w:p>
    <w:p>
      <w:pPr>
        <w:pStyle w:val="Normal"/>
        <w:spacing w:before="0" w:after="40"/>
        <w:ind w:start="255" w:end="85"/>
        <w:rPr/>
      </w:pPr>
      <w:r>
        <w:rPr>
          <w:b/>
          <w:color w:val="D4A017"/>
          <w:sz w:val="17"/>
        </w:rPr>
        <w:t xml:space="preserve">Réponse : </w:t>
      </w:r>
      <w:r>
        <w:rPr>
          <w:color w:val="1F2937"/>
          <w:sz w:val="17"/>
        </w:rPr>
        <w:t>La politique de confidentialité GSE-PUB-PRI-001 constitue la référence associée.</w:t>
      </w:r>
    </w:p>
    <w:p>
      <w:pPr>
        <w:pStyle w:val="Normal"/>
        <w:keepNext w:val="true"/>
        <w:spacing w:before="40" w:after="0"/>
        <w:ind w:start="85" w:end="85"/>
        <w:rPr/>
      </w:pPr>
      <w:r>
        <w:rPr>
          <w:b/>
          <w:color w:val="0B3D91"/>
          <w:sz w:val="17"/>
        </w:rPr>
        <w:t>Q7. Quelles limites de diffusion, de décision ou d’accès sont précisées pour « Confidentialité et conversation » ?</w:t>
      </w:r>
    </w:p>
    <w:p>
      <w:pPr>
        <w:pStyle w:val="Normal"/>
        <w:spacing w:before="0" w:after="40"/>
        <w:ind w:start="255" w:end="85"/>
        <w:rPr/>
      </w:pPr>
      <w:r>
        <w:rPr>
          <w:b/>
          <w:color w:val="D4A017"/>
          <w:sz w:val="17"/>
        </w:rPr>
        <w:t xml:space="preserve">Réponse : </w:t>
      </w:r>
      <w:r>
        <w:rPr>
          <w:color w:val="1F2937"/>
          <w:sz w:val="17"/>
        </w:rPr>
        <w:t>Les données médicales, financières, mots de passe et informations sensibles ne doivent pas être transmis dans l’interface publique.</w:t>
      </w:r>
    </w:p>
    <w:p>
      <w:pPr>
        <w:pStyle w:val="Normal"/>
        <w:keepNext w:val="true"/>
        <w:spacing w:before="40" w:after="0"/>
        <w:ind w:start="85" w:end="85"/>
        <w:rPr/>
      </w:pPr>
      <w:r>
        <w:rPr>
          <w:b/>
          <w:color w:val="0B3D91"/>
          <w:sz w:val="17"/>
        </w:rPr>
        <w:t>Q8. À quels publics ou bénéficiaires la section « Confidentialité et conversation » est-elle principalement destinée ?</w:t>
      </w:r>
    </w:p>
    <w:p>
      <w:pPr>
        <w:pStyle w:val="Normal"/>
        <w:spacing w:before="0" w:after="40"/>
        <w:ind w:start="255" w:end="85"/>
        <w:rPr/>
      </w:pPr>
      <w:r>
        <w:rPr>
          <w:b/>
          <w:color w:val="D4A017"/>
          <w:sz w:val="17"/>
        </w:rPr>
        <w:t xml:space="preserve">Réponse : </w:t>
      </w:r>
      <w:r>
        <w:rPr>
          <w:color w:val="1F2937"/>
          <w:sz w:val="17"/>
        </w:rPr>
        <w:t>Tous les utilisateurs, en particulier familles et personnels.</w:t>
      </w:r>
    </w:p>
    <w:p>
      <w:pPr>
        <w:pStyle w:val="Normal"/>
        <w:keepNext w:val="true"/>
        <w:spacing w:before="40" w:after="0"/>
        <w:ind w:start="85" w:end="85"/>
        <w:rPr/>
      </w:pPr>
      <w:r>
        <w:rPr>
          <w:b/>
          <w:color w:val="0B3D91"/>
          <w:sz w:val="17"/>
        </w:rPr>
        <w:t>Q9. À quelles autres rubriques ou fonctions du site « Confidentialité et conversation » est-il relié ?</w:t>
      </w:r>
    </w:p>
    <w:p>
      <w:pPr>
        <w:pStyle w:val="Normal"/>
        <w:spacing w:before="0" w:after="40"/>
        <w:ind w:start="255" w:end="85"/>
        <w:rPr/>
      </w:pPr>
      <w:r>
        <w:rPr>
          <w:b/>
          <w:color w:val="D4A017"/>
          <w:sz w:val="17"/>
        </w:rPr>
        <w:t xml:space="preserve">Réponse : </w:t>
      </w:r>
      <w:r>
        <w:rPr>
          <w:color w:val="1F2937"/>
          <w:sz w:val="17"/>
        </w:rPr>
        <w:t>Lien avec DSI, Politique de confidentialité, Espace Parents et assistance humaine.</w:t>
      </w:r>
    </w:p>
    <w:p>
      <w:pPr>
        <w:pStyle w:val="Normal"/>
        <w:keepNext w:val="true"/>
        <w:spacing w:before="40" w:after="0"/>
        <w:ind w:start="85" w:end="85"/>
        <w:rPr/>
      </w:pPr>
      <w:r>
        <w:rPr>
          <w:b/>
          <w:color w:val="0B3D91"/>
          <w:sz w:val="17"/>
        </w:rPr>
        <w:t>Q10. Quelle action, orientation ou résultat concret le lecteur peut-il retenir de « Confidentialité et conversation » ?</w:t>
      </w:r>
    </w:p>
    <w:p>
      <w:pPr>
        <w:pStyle w:val="Normal"/>
        <w:spacing w:before="0" w:after="40"/>
        <w:ind w:start="255" w:end="85"/>
        <w:rPr/>
      </w:pPr>
      <w:r>
        <w:rPr>
          <w:b/>
          <w:color w:val="D4A017"/>
          <w:sz w:val="17"/>
        </w:rPr>
        <w:t xml:space="preserve">Réponse : </w:t>
      </w:r>
      <w:r>
        <w:rPr>
          <w:color w:val="1F2937"/>
          <w:sz w:val="17"/>
        </w:rPr>
        <w:t>Ne pas transmettre d’information sensible; utiliser un canal sécurisé et signaler toute réponse incertaine.</w:t>
      </w:r>
    </w:p>
    <w:p>
      <w:pPr>
        <w:pStyle w:val="Normal"/>
        <w:rPr/>
      </w:pPr>
      <w:r>
        <w:rPr/>
      </w:r>
      <w:r>
        <w:br w:type="page"/>
      </w:r>
    </w:p>
    <w:p>
      <w:pPr>
        <w:pStyle w:val="Heading2"/>
        <w:spacing w:before="0" w:after="80"/>
        <w:rPr/>
      </w:pPr>
      <w:r>
        <w:rPr/>
        <w:t>FICHE 59 — Documentation associée — ÉMINA</w:t>
      </w:r>
    </w:p>
    <w:p>
      <w:pPr>
        <w:pStyle w:val="Normal"/>
        <w:spacing w:before="40" w:after="100"/>
        <w:rPr/>
      </w:pPr>
      <w:r>
        <w:rPr>
          <w:b/>
          <w:color w:val="0B3D91"/>
          <w:sz w:val="16"/>
        </w:rPr>
        <w:t xml:space="preserve">Source contrôlée : </w:t>
      </w:r>
      <w:r>
        <w:rPr>
          <w:color w:val="555555"/>
          <w:sz w:val="16"/>
        </w:rPr>
        <w:t>ÉMINA — Assistante institutionnelle — https://test.gsleseminents.com/emina-assistante-institutionnelle/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Texte sous-jacent synthétisé : </w:t>
            </w:r>
            <w:r>
              <w:rPr>
                <w:color w:val="1F2937"/>
                <w:sz w:val="18"/>
              </w:rPr>
              <w:t>La page associe Documentation publique, Veille officielle et Politique de confidentialité.</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Raison du titre ou de la section : </w:t>
            </w:r>
            <w:r>
              <w:rPr>
                <w:color w:val="1F2937"/>
                <w:sz w:val="18"/>
              </w:rPr>
              <w:t>Le titre indique que le fonctionnement d’ÉMINA dépend de documents institutionnels approuvés.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Importance dans le projet : </w:t>
            </w:r>
            <w:r>
              <w:rPr>
                <w:color w:val="1F2937"/>
                <w:sz w:val="18"/>
              </w:rPr>
              <w:t>Cette association rend l’assistance auditable et maintenable.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Liens avec les autres sections : </w:t>
            </w:r>
            <w:r>
              <w:rPr>
                <w:color w:val="1F2937"/>
                <w:sz w:val="18"/>
              </w:rPr>
              <w:t>Liens avec base de connaissances, veille et protection des données.</w:t>
            </w:r>
          </w:p>
        </w:tc>
      </w:tr>
    </w:tbl>
    <w:p>
      <w:pPr>
        <w:pStyle w:val="Heading3"/>
        <w:rPr/>
      </w:pPr>
      <w:r>
        <w:rPr/>
        <w:t>Points développés</w:t>
      </w:r>
    </w:p>
    <w:p>
      <w:pPr>
        <w:pStyle w:val="ListBullet"/>
        <w:numPr>
          <w:ilvl w:val="0"/>
          <w:numId w:val="1"/>
        </w:numPr>
        <w:spacing w:before="0" w:after="20"/>
        <w:ind w:hanging="360" w:start="255"/>
        <w:contextualSpacing/>
        <w:rPr/>
      </w:pPr>
      <w:r>
        <w:rPr>
          <w:sz w:val="18"/>
        </w:rPr>
        <w:t>GSE-PUB-DOC-001</w:t>
      </w:r>
    </w:p>
    <w:p>
      <w:pPr>
        <w:pStyle w:val="ListBullet"/>
        <w:numPr>
          <w:ilvl w:val="0"/>
          <w:numId w:val="1"/>
        </w:numPr>
        <w:spacing w:before="0" w:after="20"/>
        <w:ind w:hanging="360" w:start="255"/>
        <w:contextualSpacing/>
        <w:rPr/>
      </w:pPr>
      <w:r>
        <w:rPr>
          <w:sz w:val="18"/>
        </w:rPr>
        <w:t>GSE-PUB-VEI-001</w:t>
      </w:r>
    </w:p>
    <w:p>
      <w:pPr>
        <w:pStyle w:val="ListBullet"/>
        <w:numPr>
          <w:ilvl w:val="0"/>
          <w:numId w:val="1"/>
        </w:numPr>
        <w:spacing w:before="0" w:after="20"/>
        <w:ind w:hanging="360" w:start="255"/>
        <w:contextualSpacing/>
        <w:rPr/>
      </w:pPr>
      <w:r>
        <w:rPr>
          <w:sz w:val="18"/>
        </w:rPr>
        <w:t>GSE-PUB-PRI-001</w:t>
      </w:r>
    </w:p>
    <w:p>
      <w:pPr>
        <w:pStyle w:val="ListBullet"/>
        <w:numPr>
          <w:ilvl w:val="0"/>
          <w:numId w:val="1"/>
        </w:numPr>
        <w:spacing w:before="0" w:after="20"/>
        <w:ind w:hanging="360" w:start="255"/>
        <w:contextualSpacing/>
        <w:rPr/>
      </w:pPr>
      <w:r>
        <w:rPr>
          <w:sz w:val="18"/>
        </w:rPr>
        <w:t>FR/EN</w:t>
      </w:r>
    </w:p>
    <w:p>
      <w:pPr>
        <w:pStyle w:val="Heading3"/>
        <w:rPr/>
      </w:pPr>
      <w:r>
        <w:rPr/>
        <w:t>Banque de questions-réponses</w:t>
      </w:r>
    </w:p>
    <w:p>
      <w:pPr>
        <w:pStyle w:val="Normal"/>
        <w:keepNext w:val="true"/>
        <w:spacing w:before="40" w:after="0"/>
        <w:ind w:start="85" w:end="85"/>
        <w:rPr/>
      </w:pPr>
      <w:r>
        <w:rPr>
          <w:b/>
          <w:color w:val="0B3D91"/>
          <w:sz w:val="17"/>
        </w:rPr>
        <w:t>Q1. Que présente la section « Documentation associée — ÉMINA » ?</w:t>
      </w:r>
    </w:p>
    <w:p>
      <w:pPr>
        <w:pStyle w:val="Normal"/>
        <w:spacing w:before="0" w:after="40"/>
        <w:ind w:start="255" w:end="85"/>
        <w:rPr/>
      </w:pPr>
      <w:r>
        <w:rPr>
          <w:b/>
          <w:color w:val="D4A017"/>
          <w:sz w:val="17"/>
        </w:rPr>
        <w:t xml:space="preserve">Réponse : </w:t>
      </w:r>
      <w:r>
        <w:rPr>
          <w:color w:val="1F2937"/>
          <w:sz w:val="17"/>
        </w:rPr>
        <w:t>La page associe Documentation publique, Veille officielle et Politique de confidentialité.</w:t>
      </w:r>
    </w:p>
    <w:p>
      <w:pPr>
        <w:pStyle w:val="Normal"/>
        <w:keepNext w:val="true"/>
        <w:spacing w:before="40" w:after="0"/>
        <w:ind w:start="85" w:end="85"/>
        <w:rPr/>
      </w:pPr>
      <w:r>
        <w:rPr>
          <w:b/>
          <w:color w:val="0B3D91"/>
          <w:sz w:val="17"/>
        </w:rPr>
        <w:t>Q2. Quel est l’objectif principal exposé dans « Documentation associée — ÉMINA » ?</w:t>
      </w:r>
    </w:p>
    <w:p>
      <w:pPr>
        <w:pStyle w:val="Normal"/>
        <w:spacing w:before="0" w:after="40"/>
        <w:ind w:start="255" w:end="85"/>
        <w:rPr/>
      </w:pPr>
      <w:r>
        <w:rPr>
          <w:b/>
          <w:color w:val="D4A017"/>
          <w:sz w:val="17"/>
        </w:rPr>
        <w:t xml:space="preserve">Réponse : </w:t>
      </w:r>
      <w:r>
        <w:rPr>
          <w:color w:val="1F2937"/>
          <w:sz w:val="17"/>
        </w:rPr>
        <w:t>Relier l’assistante à ses sources, à leur actualisation et aux règles de protection des données.</w:t>
      </w:r>
    </w:p>
    <w:p>
      <w:pPr>
        <w:pStyle w:val="Normal"/>
        <w:keepNext w:val="true"/>
        <w:spacing w:before="40" w:after="0"/>
        <w:ind w:start="85" w:end="85"/>
        <w:rPr/>
      </w:pPr>
      <w:r>
        <w:rPr>
          <w:b/>
          <w:color w:val="0B3D91"/>
          <w:sz w:val="17"/>
        </w:rPr>
        <w:t>Q3. Quels éléments ou domaines sont couverts par « Documentation associée — ÉMINA » ?</w:t>
      </w:r>
    </w:p>
    <w:p>
      <w:pPr>
        <w:pStyle w:val="Normal"/>
        <w:spacing w:before="0" w:after="40"/>
        <w:ind w:start="255" w:end="85"/>
        <w:rPr/>
      </w:pPr>
      <w:r>
        <w:rPr>
          <w:b/>
          <w:color w:val="D4A017"/>
          <w:sz w:val="17"/>
        </w:rPr>
        <w:t xml:space="preserve">Réponse : </w:t>
      </w:r>
      <w:r>
        <w:rPr>
          <w:color w:val="1F2937"/>
          <w:sz w:val="17"/>
        </w:rPr>
        <w:t>GSE-PUB-DOC-001, GSE-PUB-VEI-001 et GSE-PUB-PRI-001, publiés en FR/EN.</w:t>
      </w:r>
    </w:p>
    <w:p>
      <w:pPr>
        <w:pStyle w:val="Normal"/>
        <w:keepNext w:val="true"/>
        <w:spacing w:before="40" w:after="0"/>
        <w:ind w:start="85" w:end="85"/>
        <w:rPr/>
      </w:pPr>
      <w:r>
        <w:rPr>
          <w:b/>
          <w:color w:val="0B3D91"/>
          <w:sz w:val="17"/>
        </w:rPr>
        <w:t>Q4. Qui porte, coordonne ou garantit les éléments présentés dans « Documentation associée — ÉMINA » ?</w:t>
      </w:r>
    </w:p>
    <w:p>
      <w:pPr>
        <w:pStyle w:val="Normal"/>
        <w:spacing w:before="0" w:after="40"/>
        <w:ind w:start="255" w:end="85"/>
        <w:rPr/>
      </w:pPr>
      <w:r>
        <w:rPr>
          <w:b/>
          <w:color w:val="D4A017"/>
          <w:sz w:val="17"/>
        </w:rPr>
        <w:t xml:space="preserve">Réponse : </w:t>
      </w:r>
      <w:r>
        <w:rPr>
          <w:color w:val="1F2937"/>
          <w:sz w:val="17"/>
        </w:rPr>
        <w:t>Les propriétaires respectifs maintiennent les références; le GSE encadre ÉMINA.</w:t>
      </w:r>
    </w:p>
    <w:p>
      <w:pPr>
        <w:pStyle w:val="Normal"/>
        <w:keepNext w:val="true"/>
        <w:spacing w:before="40" w:after="0"/>
        <w:ind w:start="85" w:end="85"/>
        <w:rPr/>
      </w:pPr>
      <w:r>
        <w:rPr>
          <w:b/>
          <w:color w:val="0B3D91"/>
          <w:sz w:val="17"/>
        </w:rPr>
        <w:t>Q5. Comment la section « Documentation associée — ÉMINA » prévoit-elle la mise en œuvre ou le suivi ?</w:t>
      </w:r>
    </w:p>
    <w:p>
      <w:pPr>
        <w:pStyle w:val="Normal"/>
        <w:spacing w:before="0" w:after="40"/>
        <w:ind w:start="255" w:end="85"/>
        <w:rPr/>
      </w:pPr>
      <w:r>
        <w:rPr>
          <w:b/>
          <w:color w:val="D4A017"/>
          <w:sz w:val="17"/>
        </w:rPr>
        <w:t xml:space="preserve">Réponse : </w:t>
      </w:r>
      <w:r>
        <w:rPr>
          <w:color w:val="1F2937"/>
          <w:sz w:val="17"/>
        </w:rPr>
        <w:t>ÉMINA s’appuie sur la documentation active, la veille et les règles de confidentialité.</w:t>
      </w:r>
    </w:p>
    <w:p>
      <w:pPr>
        <w:pStyle w:val="Normal"/>
        <w:keepNext w:val="true"/>
        <w:spacing w:before="40" w:after="0"/>
        <w:ind w:start="85" w:end="85"/>
        <w:rPr/>
      </w:pPr>
      <w:r>
        <w:rPr>
          <w:b/>
          <w:color w:val="0B3D91"/>
          <w:sz w:val="17"/>
        </w:rPr>
        <w:t>Q6. Quelle preuve, référence, règle ou information de statut accompagne « Documentation associée — ÉMINA » ?</w:t>
      </w:r>
    </w:p>
    <w:p>
      <w:pPr>
        <w:pStyle w:val="Normal"/>
        <w:spacing w:before="0" w:after="40"/>
        <w:ind w:start="255" w:end="85"/>
        <w:rPr/>
      </w:pPr>
      <w:r>
        <w:rPr>
          <w:b/>
          <w:color w:val="D4A017"/>
          <w:sz w:val="17"/>
        </w:rPr>
        <w:t xml:space="preserve">Réponse : </w:t>
      </w:r>
      <w:r>
        <w:rPr>
          <w:color w:val="1F2937"/>
          <w:sz w:val="17"/>
        </w:rPr>
        <w:t>Les codes, versions et statuts rendent les sources vérifiables.</w:t>
      </w:r>
    </w:p>
    <w:p>
      <w:pPr>
        <w:pStyle w:val="Normal"/>
        <w:keepNext w:val="true"/>
        <w:spacing w:before="40" w:after="0"/>
        <w:ind w:start="85" w:end="85"/>
        <w:rPr/>
      </w:pPr>
      <w:r>
        <w:rPr>
          <w:b/>
          <w:color w:val="0B3D91"/>
          <w:sz w:val="17"/>
        </w:rPr>
        <w:t>Q7. Quelles limites de diffusion, de décision ou d’accès sont précisées pour « Documentation associée — ÉMINA » ?</w:t>
      </w:r>
    </w:p>
    <w:p>
      <w:pPr>
        <w:pStyle w:val="Normal"/>
        <w:spacing w:before="0" w:after="40"/>
        <w:ind w:start="255" w:end="85"/>
        <w:rPr/>
      </w:pPr>
      <w:r>
        <w:rPr>
          <w:b/>
          <w:color w:val="D4A017"/>
          <w:sz w:val="17"/>
        </w:rPr>
        <w:t xml:space="preserve">Réponse : </w:t>
      </w:r>
      <w:r>
        <w:rPr>
          <w:color w:val="1F2937"/>
          <w:sz w:val="17"/>
        </w:rPr>
        <w:t>Aucune source ne permet à ÉMINA de dépasser ses habilitations ou de prendre une décision humaine.</w:t>
      </w:r>
    </w:p>
    <w:p>
      <w:pPr>
        <w:pStyle w:val="Normal"/>
        <w:keepNext w:val="true"/>
        <w:spacing w:before="40" w:after="0"/>
        <w:ind w:start="85" w:end="85"/>
        <w:rPr/>
      </w:pPr>
      <w:r>
        <w:rPr>
          <w:b/>
          <w:color w:val="0B3D91"/>
          <w:sz w:val="17"/>
        </w:rPr>
        <w:t>Q8. À quels publics ou bénéficiaires la section « Documentation associée — ÉMINA » est-elle principalement destinée ?</w:t>
      </w:r>
    </w:p>
    <w:p>
      <w:pPr>
        <w:pStyle w:val="Normal"/>
        <w:spacing w:before="0" w:after="40"/>
        <w:ind w:start="255" w:end="85"/>
        <w:rPr/>
      </w:pPr>
      <w:r>
        <w:rPr>
          <w:b/>
          <w:color w:val="D4A017"/>
          <w:sz w:val="17"/>
        </w:rPr>
        <w:t xml:space="preserve">Réponse : </w:t>
      </w:r>
      <w:r>
        <w:rPr>
          <w:color w:val="1F2937"/>
          <w:sz w:val="17"/>
        </w:rPr>
        <w:t>Utilisateurs, propriétaires de contenus et responsables de gouvernance.</w:t>
      </w:r>
    </w:p>
    <w:p>
      <w:pPr>
        <w:pStyle w:val="Normal"/>
        <w:keepNext w:val="true"/>
        <w:spacing w:before="40" w:after="0"/>
        <w:ind w:start="85" w:end="85"/>
        <w:rPr/>
      </w:pPr>
      <w:r>
        <w:rPr>
          <w:b/>
          <w:color w:val="0B3D91"/>
          <w:sz w:val="17"/>
        </w:rPr>
        <w:t>Q9. À quelles autres rubriques ou fonctions du site « Documentation associée — ÉMINA » est-il relié ?</w:t>
      </w:r>
    </w:p>
    <w:p>
      <w:pPr>
        <w:pStyle w:val="Normal"/>
        <w:spacing w:before="0" w:after="40"/>
        <w:ind w:start="255" w:end="85"/>
        <w:rPr/>
      </w:pPr>
      <w:r>
        <w:rPr>
          <w:b/>
          <w:color w:val="D4A017"/>
          <w:sz w:val="17"/>
        </w:rPr>
        <w:t xml:space="preserve">Réponse : </w:t>
      </w:r>
      <w:r>
        <w:rPr>
          <w:color w:val="1F2937"/>
          <w:sz w:val="17"/>
        </w:rPr>
        <w:t>Lien avec Documentation, Veille, DSI, DAQAC et Confidentialité.</w:t>
      </w:r>
    </w:p>
    <w:p>
      <w:pPr>
        <w:pStyle w:val="Normal"/>
        <w:keepNext w:val="true"/>
        <w:spacing w:before="40" w:after="0"/>
        <w:ind w:start="85" w:end="85"/>
        <w:rPr/>
      </w:pPr>
      <w:r>
        <w:rPr>
          <w:b/>
          <w:color w:val="0B3D91"/>
          <w:sz w:val="17"/>
        </w:rPr>
        <w:t>Q10. Quelle action, orientation ou résultat concret le lecteur peut-il retenir de « Documentation associée — ÉMINA » ?</w:t>
      </w:r>
    </w:p>
    <w:p>
      <w:pPr>
        <w:pStyle w:val="Normal"/>
        <w:spacing w:before="0" w:after="40"/>
        <w:ind w:start="255" w:end="85"/>
        <w:rPr/>
      </w:pPr>
      <w:r>
        <w:rPr>
          <w:b/>
          <w:color w:val="D4A017"/>
          <w:sz w:val="17"/>
        </w:rPr>
        <w:t xml:space="preserve">Réponse : </w:t>
      </w:r>
      <w:r>
        <w:rPr>
          <w:color w:val="1F2937"/>
          <w:sz w:val="17"/>
        </w:rPr>
        <w:t>Consulter les trois références pour comprendre la fiabilité, l’actualité et la sécurité des réponses.</w:t>
      </w:r>
    </w:p>
    <w:p>
      <w:pPr>
        <w:pStyle w:val="Normal"/>
        <w:rPr/>
      </w:pPr>
      <w:r>
        <w:rPr/>
      </w:r>
      <w:r>
        <w:br w:type="page"/>
      </w:r>
    </w:p>
    <w:p>
      <w:pPr>
        <w:pStyle w:val="Heading1"/>
        <w:spacing w:before="0" w:after="100"/>
        <w:rPr/>
      </w:pPr>
      <w:r>
        <w:rPr/>
        <w:t>4. Lecture transversale et liens institutionnels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Qualité ↔ Gouvernance : </w:t>
            </w:r>
            <w:r>
              <w:rPr>
                <w:color w:val="1F2937"/>
                <w:sz w:val="18"/>
              </w:rPr>
              <w:t>La qualité attribue les responsabilités, exige des preuves et rend les responsables redevables.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Qualité ↔ Pédagogie : </w:t>
            </w:r>
            <w:r>
              <w:rPr>
                <w:color w:val="1F2937"/>
                <w:sz w:val="18"/>
              </w:rPr>
              <w:t>Le curriculum, les évaluations, le bilinguisme et le suivi des apprentissages constituent des domaines du référentiel.</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Qualité ↔ Protection : </w:t>
            </w:r>
            <w:r>
              <w:rPr>
                <w:color w:val="1F2937"/>
                <w:sz w:val="18"/>
              </w:rPr>
              <w:t>La protection de l’enfant, la santé, l’hygiène et la sécurité sont évaluées comme des exigences essentielles.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Qualité ↔ Admissions : </w:t>
            </w:r>
            <w:r>
              <w:rPr>
                <w:color w:val="1F2937"/>
                <w:sz w:val="18"/>
              </w:rPr>
              <w:t>La relation avec les familles, les étapes, les pièces et les informations de paiement doivent rester cohérentes et traçables.</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Qualité ↔ Ressources humaines : </w:t>
            </w:r>
            <w:r>
              <w:rPr>
                <w:color w:val="1F2937"/>
                <w:sz w:val="18"/>
              </w:rPr>
              <w:t>Le recrutement sûr, les compétences, la formation et la performance du personnel soutiennent la qualité éducative.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Qualité ↔ Infrastructures : </w:t>
            </w:r>
            <w:r>
              <w:rPr>
                <w:color w:val="1F2937"/>
                <w:sz w:val="18"/>
              </w:rPr>
              <w:t>Les actifs, bâtiments, stocks et maintenances préventives contribuent à la sécurité et à la continuité.</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Qualité ↔ Numérique : </w:t>
            </w:r>
            <w:r>
              <w:rPr>
                <w:color w:val="1F2937"/>
                <w:sz w:val="18"/>
              </w:rPr>
              <w:t>Les données, accès, sauvegardes, intégrations et habilitations doivent être sécurisés et vérifiables.</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Documentation ↔ ÉMINA : </w:t>
            </w:r>
            <w:r>
              <w:rPr>
                <w:color w:val="1F2937"/>
                <w:sz w:val="18"/>
              </w:rPr>
              <w:t>ÉMINA s’appuie sur la version active des sources publiques et doit afficher leur propriétaire et leur référence.</w:t>
            </w:r>
          </w:p>
        </w:tc>
      </w:tr>
      <w:tr>
        <w:trPr/>
        <w:tc>
          <w:tcPr>
            <w:tcW w:w="10483" w:type="dxa"/>
            <w:tcBorders>
              <w:top w:val="single" w:sz="8" w:space="0" w:color="0B3D91"/>
              <w:start w:val="single" w:sz="8" w:space="0" w:color="0B3D91"/>
              <w:bottom w:val="single" w:sz="8" w:space="0" w:color="0B3D91"/>
              <w:end w:val="single" w:sz="8" w:space="0" w:color="0B3D91"/>
            </w:tcBorders>
            <w:shd w:fill="EAF2FB"/>
          </w:tcPr>
          <w:p>
            <w:pPr>
              <w:pStyle w:val="Normal"/>
              <w:spacing w:before="0" w:after="0"/>
              <w:rPr/>
            </w:pPr>
            <w:r>
              <w:rPr>
                <w:b/>
                <w:color w:val="0B3D91"/>
                <w:sz w:val="18"/>
              </w:rPr>
              <w:t xml:space="preserve">ÉMINA ↔ Assistance humaine : </w:t>
            </w:r>
            <w:r>
              <w:rPr>
                <w:color w:val="1F2937"/>
                <w:sz w:val="18"/>
              </w:rPr>
              <w:t>Les demandes sensibles, personnelles, urgentes ou incertaines sont orientées vers une personne habilitée.</w:t>
            </w:r>
          </w:p>
        </w:tc>
      </w:tr>
      <w:tr>
        <w:trPr/>
        <w:tc>
          <w:tcPr>
            <w:tcW w:w="10483" w:type="dxa"/>
            <w:tcBorders>
              <w:top w:val="single" w:sz="8" w:space="0" w:color="0B3D91"/>
              <w:start w:val="single" w:sz="8" w:space="0" w:color="0B3D91"/>
              <w:bottom w:val="single" w:sz="8" w:space="0" w:color="0B3D91"/>
              <w:end w:val="single" w:sz="8" w:space="0" w:color="0B3D91"/>
            </w:tcBorders>
            <w:shd w:fill="FFF6D8"/>
          </w:tcPr>
          <w:p>
            <w:pPr>
              <w:pStyle w:val="Normal"/>
              <w:spacing w:before="0" w:after="0"/>
              <w:rPr/>
            </w:pPr>
            <w:r>
              <w:rPr>
                <w:b/>
                <w:color w:val="0B3D91"/>
                <w:sz w:val="18"/>
              </w:rPr>
              <w:t xml:space="preserve">Public ↔ Interne : </w:t>
            </w:r>
            <w:r>
              <w:rPr>
                <w:color w:val="1F2937"/>
                <w:sz w:val="18"/>
              </w:rPr>
              <w:t>Le site rend visibles les missions et engagements, tandis que les procédures détaillées et dossiers individuels restent protégés.</w:t>
            </w:r>
          </w:p>
        </w:tc>
      </w:tr>
    </w:tbl>
    <w:p>
      <w:pPr>
        <w:pStyle w:val="Heading1"/>
        <w:rPr/>
      </w:pPr>
      <w:r>
        <w:rPr/>
        <w:t>5. Recommandations d’utilisation de la banque</w:t>
      </w:r>
    </w:p>
    <w:p>
      <w:pPr>
        <w:pStyle w:val="ListBullet"/>
        <w:numPr>
          <w:ilvl w:val="0"/>
          <w:numId w:val="1"/>
        </w:numPr>
        <w:spacing w:before="0" w:after="20"/>
        <w:ind w:hanging="360" w:start="255"/>
        <w:contextualSpacing/>
        <w:rPr/>
      </w:pPr>
      <w:r>
        <w:rPr>
          <w:sz w:val="18"/>
        </w:rPr>
        <w:t>Intégrer les questions validées dans la base publique de connaissances d’ÉMINA, en conservant le code et la version de la source.</w:t>
      </w:r>
    </w:p>
    <w:p>
      <w:pPr>
        <w:pStyle w:val="ListBullet"/>
        <w:numPr>
          <w:ilvl w:val="0"/>
          <w:numId w:val="1"/>
        </w:numPr>
        <w:spacing w:before="0" w:after="20"/>
        <w:ind w:hanging="360" w:start="255"/>
        <w:contextualSpacing/>
        <w:rPr/>
      </w:pPr>
      <w:r>
        <w:rPr>
          <w:sz w:val="18"/>
        </w:rPr>
        <w:t>Utiliser les fiches pour former le personnel d’accueil, les responsables de département et les agents chargés des admissions.</w:t>
      </w:r>
    </w:p>
    <w:p>
      <w:pPr>
        <w:pStyle w:val="ListBullet"/>
        <w:numPr>
          <w:ilvl w:val="0"/>
          <w:numId w:val="1"/>
        </w:numPr>
        <w:spacing w:before="0" w:after="20"/>
        <w:ind w:hanging="360" w:start="255"/>
        <w:contextualSpacing/>
        <w:rPr/>
      </w:pPr>
      <w:r>
        <w:rPr>
          <w:sz w:val="18"/>
        </w:rPr>
        <w:t>Créer sur le site une FAQ filtrable par domaine : qualité, documentation, départements, confidentialité et ÉMINA.</w:t>
      </w:r>
    </w:p>
    <w:p>
      <w:pPr>
        <w:pStyle w:val="ListBullet"/>
        <w:numPr>
          <w:ilvl w:val="0"/>
          <w:numId w:val="1"/>
        </w:numPr>
        <w:spacing w:before="0" w:after="20"/>
        <w:ind w:hanging="360" w:start="255"/>
        <w:contextualSpacing/>
        <w:rPr/>
      </w:pPr>
      <w:r>
        <w:rPr>
          <w:sz w:val="18"/>
        </w:rPr>
        <w:t>Réviser la banque dès qu’une page, une version documentaire, un propriétaire ou une procédure publique change.</w:t>
      </w:r>
    </w:p>
    <w:p>
      <w:pPr>
        <w:pStyle w:val="ListBullet"/>
        <w:numPr>
          <w:ilvl w:val="0"/>
          <w:numId w:val="1"/>
        </w:numPr>
        <w:spacing w:before="0" w:after="20"/>
        <w:ind w:hanging="360" w:start="255"/>
        <w:contextualSpacing/>
        <w:rPr/>
      </w:pPr>
      <w:r>
        <w:rPr>
          <w:sz w:val="18"/>
        </w:rPr>
        <w:t>Conserver une séparation stricte entre les réponses publiques et les informations individuelles ou procédures internes.</w:t>
      </w:r>
    </w:p>
    <w:p>
      <w:pPr>
        <w:pStyle w:val="ListBullet"/>
        <w:numPr>
          <w:ilvl w:val="0"/>
          <w:numId w:val="1"/>
        </w:numPr>
        <w:spacing w:before="0" w:after="20"/>
        <w:ind w:hanging="360" w:start="255"/>
        <w:contextualSpacing/>
        <w:rPr/>
      </w:pPr>
      <w:r>
        <w:rPr>
          <w:sz w:val="18"/>
        </w:rPr>
        <w:t>Ajouter aux pages départementales un code documentaire public lorsque l’institution valide leur publication comme sources officielles.</w:t>
      </w:r>
    </w:p>
    <w:p>
      <w:pPr>
        <w:pStyle w:val="ListBullet"/>
        <w:numPr>
          <w:ilvl w:val="0"/>
          <w:numId w:val="1"/>
        </w:numPr>
        <w:spacing w:before="0" w:after="20"/>
        <w:ind w:hanging="360" w:start="255"/>
        <w:contextualSpacing/>
        <w:rPr/>
      </w:pPr>
      <w:r>
        <w:rPr>
          <w:sz w:val="18"/>
        </w:rPr>
        <w:t>Veiller à ce qu’ÉMINA signale clairement ses incertitudes et propose un canal humain adapté.</w:t>
      </w:r>
    </w:p>
    <w:p>
      <w:pPr>
        <w:pStyle w:val="ListBullet"/>
        <w:numPr>
          <w:ilvl w:val="0"/>
          <w:numId w:val="1"/>
        </w:numPr>
        <w:spacing w:before="0" w:after="20"/>
        <w:ind w:hanging="360" w:start="255"/>
        <w:contextualSpacing/>
        <w:rPr/>
      </w:pPr>
      <w:r>
        <w:rPr>
          <w:sz w:val="18"/>
        </w:rPr>
        <w:t>Contrôler régulièrement les liens, les statuts Publié, les langues disponibles et l’absence de doublons.</w:t>
      </w:r>
    </w:p>
    <w:p>
      <w:pPr>
        <w:pStyle w:val="ListBullet"/>
        <w:numPr>
          <w:ilvl w:val="0"/>
          <w:numId w:val="1"/>
        </w:numPr>
        <w:spacing w:before="0" w:after="20"/>
        <w:ind w:hanging="360" w:start="255"/>
        <w:contextualSpacing/>
        <w:rPr/>
      </w:pPr>
      <w:r>
        <w:rPr>
          <w:sz w:val="18"/>
        </w:rPr>
        <w:t>Prévoir une version anglaise puis des versions dans les quatre langues nationales selon la stratégie linguistique du GSE.</w:t>
      </w:r>
    </w:p>
    <w:p>
      <w:pPr>
        <w:pStyle w:val="ListBullet"/>
        <w:numPr>
          <w:ilvl w:val="0"/>
          <w:numId w:val="1"/>
        </w:numPr>
        <w:spacing w:before="0" w:after="20"/>
        <w:ind w:hanging="360" w:start="255"/>
        <w:contextualSpacing/>
        <w:rPr/>
      </w:pPr>
      <w:r>
        <w:rPr>
          <w:sz w:val="18"/>
        </w:rPr>
        <w:t>Utiliser les questions comme base de tests de cohérence après chaque mise à jour du site ou de la base de connaissances.</w:t>
      </w:r>
    </w:p>
    <w:p>
      <w:pPr>
        <w:pStyle w:val="Normal"/>
        <w:rPr/>
      </w:pPr>
      <w:r>
        <w:rPr/>
      </w:r>
      <w:r>
        <w:br w:type="page"/>
      </w:r>
    </w:p>
    <w:p>
      <w:pPr>
        <w:pStyle w:val="Heading1"/>
        <w:spacing w:before="0" w:after="100"/>
        <w:rPr/>
      </w:pPr>
      <w:r>
        <w:rPr/>
        <w:t>6. Glossaire des mots clés, sigles, abréviations et termes difficiles</w:t>
      </w:r>
    </w:p>
    <w:p>
      <w:pPr>
        <w:pStyle w:val="Normal"/>
        <w:rPr/>
      </w:pPr>
      <w:r>
        <w:rPr>
          <w:sz w:val="18"/>
        </w:rPr>
        <w:t>Les définitions ci-dessous sont adaptées au contexte des pages contrôlées. Elles facilitent la compréhension des familles, visiteurs, agents et partenaires.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blHeader w:val="true"/>
        </w:trPr>
        <w:tc>
          <w:tcPr>
            <w:tcW w:w="5241" w:type="dxa"/>
            <w:tcBorders/>
            <w:shd w:fill="0B3D91"/>
          </w:tcPr>
          <w:p>
            <w:pPr>
              <w:pStyle w:val="Normal"/>
              <w:spacing w:before="0" w:after="80"/>
              <w:rPr/>
            </w:pPr>
            <w:r>
              <w:rPr>
                <w:b/>
                <w:color w:val="FFFFFF"/>
                <w:sz w:val="18"/>
              </w:rPr>
              <w:t>Terme / sigle</w:t>
            </w:r>
          </w:p>
        </w:tc>
        <w:tc>
          <w:tcPr>
            <w:tcW w:w="5241" w:type="dxa"/>
            <w:tcBorders/>
            <w:shd w:fill="0B3D91"/>
          </w:tcPr>
          <w:p>
            <w:pPr>
              <w:pStyle w:val="Normal"/>
              <w:spacing w:before="0" w:after="80"/>
              <w:rPr/>
            </w:pPr>
            <w:r>
              <w:rPr>
                <w:b/>
                <w:color w:val="FFFFFF"/>
                <w:sz w:val="18"/>
              </w:rPr>
              <w:t>Définition dans le contexte du GSE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Accusé de réception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Confirmation qu’une demande, réclamation ou suggestion a bien été reçue.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Action corrective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Mesure décidée pour supprimer la cause d’un écart et éviter sa répétition.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Agrément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Reconnaissance administrative officielle autorisant le fonctionnement de l’établissement.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Alerte graduée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Signal classé selon un niveau de gravité ou d’urgence afin d’adapter la réponse.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Amélioration continue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Démarche permanente consistant à mesurer, analyser, corriger et vérifier les progrès.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Analyse des écarts</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Comparaison entre ce qui était attendu et ce qui a réellement été observé.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Analyse d’impact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Étude des effets possibles d’un changement, d’une règle ou d’un incident sur l’école.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Architecture numérique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Organisation globale des systèmes, logiciels, données, réseaux et interfaces.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Assurance qualité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organisé de règles et de vérifications visant à garantir et améliorer la qualité.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Audit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Examen méthodique fondé sur des critères et des preuves.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Autoévaluation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Évaluation réalisée par un service sur ses propres pratiques à partir de critères définis.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Base de connaissances publique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des contenus validés que l’assistante peut utiliser dans l’accès public.</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Besoin de savoir</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Principe selon lequel une personne n’accède qu’aux informations nécessaires à sa mission.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Bilinguisme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Usage structuré de deux langues d’apprentissage, ici le français et l’anglais.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Bénéficiaire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Personne ou groupe qui reçoit un service ou profite d’une amélioration.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Canal sécurisé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Moyen de communication protégé et adapté aux informations sensibles.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Code documentaire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Identifiant unique attribué à une source ou à un document officiel.</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Collaboration interservices</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Travail coordonné entre plusieurs départements de l’établissement.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Confidentialité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Obligation de ne pas divulguer une information à une personne non autorisée.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Conformité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Respect des lois, textes applicables, politiques et décisions validées.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Continuité des services</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Capacité à maintenir ou rétablir les activités essentielles après une perturbation.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Contrôle d’accès</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Mécanisme qui détermine qui peut consulter ou modifier une ressource.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Correction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Action qui traite un problème observé; elle devient corrective lorsqu’elle traite aussi sa cause.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Curriculum</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structuré des contenus, compétences, progressions et évaluations d’un programme.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Cybersécurité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Protection des systèmes, réseaux et données contre les accès ou incidents numériques.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DAACIP</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des Affaires Académiques, du Curriculum et de l’Innovation Pédagogique.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DAQAC</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 l’Assurance Qualité et de l’Amélioration Continue.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DBSPE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du Bien-être, de la Sécurité et de la Protection de l’Enfant.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Diffusion publique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Mise à disposition d’un contenu pour tout visiteur, après validation.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DLMT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 la Logistique, de la Maintenance et du Transport.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Donnée nominative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Information permettant d’identifier directement ou indirectement une personne.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Donnée sensible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Information nécessitant une protection renforcée, par exemple médicale ou financière.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DRH-GP</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des Ressources Humaines et de la Gestion du Personnel.</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DSI</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des Systèmes d’Information.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Décision humaine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Décision prise et assumée par une personne compétente et habilitée.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Engagement public</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Promesse ou obligation que l’institution rend visible et accepte de faire vérifier.</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Escalade humaine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Orientation d’une demande vers une personne habilitée lorsque l’automatisation ne suffit pas.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FR/EN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Contenu disponible en français et en anglais.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Gouvernance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Organisation des décisions, responsabilités, contrôles et comptes rendus.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Abréviation de GROUPE SCOLAIRE LES ÉMINENTS.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GSE-PUB-ADM-001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aux admissions.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GSE-PUB-AGR-001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l’agrément.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GSE-PUB-DOC-001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 documentation.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GSE-PUB-EMI-001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ÉMINA.</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GSE-PUB-GOV-001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 gouvernance et à l’organisation.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GSE-PUB-PRI-001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 confidentialité.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GSE-PUB-PRO-001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 protection de l’enfant.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GSE-PUB-QUA-001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l’assurance qualité.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GSE-PUB-REC-001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au contact et à la visite de l’école.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GSE-PUB-VEI-001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de la référence publique relative à la veille officielle.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Habilitation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Autorisation formelle d’accéder à une information ou d’accomplir une action.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Indicateur</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Mesure utilisée pour suivre une activité, un résultat ou un risque.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Indépendance fonctionnelle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Capacité d’exercer une mission de contrôle sans subir d’instruction inappropriée.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Innovation pédagogique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Méthodes ou outils nouveaux adaptés pour améliorer les apprentissages.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Intégration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Processus d’accueil et de préparation d’un nouveau membre du personnel ou d’un nouveau système.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Intégration logicielle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Connexion sécurisée entre plusieurs applications afin d’échanger les données autorisées.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Intérêt supérieur de l’enfant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Principe qui place la protection et le bien-être de l’enfant au premier plan.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Journalisation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Enregistrement des événements et actions dans un système pour assurer la traçabilité.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Langue de publication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Langue dans laquelle une source officielle est disponible.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Maintenance préventive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Entretien planifié visant à éviter les pannes et les risques.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Minimisation des données</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Collecte et conservation uniquement des données réellement nécessaires.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Moindre privilège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Principe consistant à accorder le niveau d’accès minimal nécessaire.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Métadonnée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Information décrivant une ressource, par exemple son code, sa version ou son propriétaire.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Partie prenante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Personne ou organisation concernée par les activités et résultats de l’école.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Plan d’action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Document qui précise les actions, responsables, délais et preuves attendues.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Portail sécurisé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Espace numérique protégé réservé aux utilisateurs autorisés.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Preuve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Élément vérifiable démontrant qu’une action a été réalisée ou qu’une exigence est respectée.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Procédure interne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Instruction détaillée réservée aux acteurs autorisés de l’organisation.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Propriétaire documentaire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Service ou autorité responsable du contenu, de la validation et de la mise à jour d’une source.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Protection de l’enfant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des mesures visant à prévenir et traiter toute forme de violence, négligence ou danger.</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Préinscription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Manifestation d’intérêt initiale qui ne vaut pas encore admission définitive.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Prévention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Mesures prises avant un incident pour réduire sa probabilité ou sa gravité.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Redevabilité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Obligation d’expliquer ses actions, de conserver les preuves et de répondre aux personnes concernées.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Restauration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Opération permettant de récupérer des données ou un service à partir d’une sauvegarde.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Réclamation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Expression formelle d’une insatisfaction qui appelle une réponse et un suivi.</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Référentiel qualité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structuré de domaines, critères et exigences servant à évaluer la qualité.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Rôle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Fonction attribuée à une personne dans l’organisation ou dans un système d’accès.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Sauvegarde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Copie protégée de données destinée à permettre leur récupération.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Session du navigateur</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Période d’utilisation d’un site entre l’ouverture et la fermeture de la session.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Signalement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Transmission factuelle d’une inquiétude, d’un risque ou d’un incident au service compétent.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Source active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Version actuellement valide et autorisée d’une page ou d’un document.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Source publique approuvée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Contenu validé par l’institution pour consultation par le public.</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Standard</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Niveau ou exigence de qualité que l’établissement s’engage à respecter.</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Statut Publié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Indication qu’une source a été validée et rendue accessible au public.</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Suggestion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Proposition d’amélioration adressée à l’institution.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Suivi individualisé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Accompagnement adapté à la situation ou aux besoins d’une personne.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Sécurité numérique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Mesures protégeant les utilisateurs, données et systèmes dans l’environnement numérique.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Sécurité proportionnée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Niveau de sécurité adapté à la gravité et à la probabilité du risque.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Transformation numérique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Évolution organisée des services grâce aux technologies numériques.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Traçabilité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Capacité à retrouver l’historique d’une action, d’une décision ou d’une donnée.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Urgence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Situation exigeant une réaction rapide pour protéger les personnes ou les services.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Validation humaine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Contrôle et décision effectués par une personne compétente avant application.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Veille officielle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Surveillance structurée de sources autorisées afin de détecter les changements pertinents.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Version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Numéro ou repère indiquant l’état d’évolution d’un document ou d’un système.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Vérification d’efficacité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Contrôle confirmant qu’une action corrective produit réellement le résultat attendu.</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Workflow</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Enchaînement organisé des étapes, responsabilités et validations d’un processus.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Écart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Différence entre une exigence ou un objectif et la situation constatée.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ÉMINA</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Assistante institutionnelle officielle du GROUPE SCOLAIRE LES ÉMINENTS.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Évaluation équitable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Appréciation fondée sur des critères cohérents, non discriminatoires et transparents.</w:t>
            </w:r>
          </w:p>
        </w:tc>
      </w:tr>
    </w:tbl>
    <w:p>
      <w:pPr>
        <w:pStyle w:val="Normal"/>
        <w:rPr/>
      </w:pPr>
      <w:r>
        <w:rPr/>
      </w:r>
      <w:r>
        <w:br w:type="page"/>
      </w:r>
    </w:p>
    <w:p>
      <w:pPr>
        <w:pStyle w:val="Heading1"/>
        <w:spacing w:before="0" w:after="100"/>
        <w:rPr/>
      </w:pPr>
      <w:r>
        <w:rPr/>
        <w:t>7. Registre des pages publiques contrôlées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94"/>
        <w:gridCol w:w="3495"/>
        <w:gridCol w:w="3494"/>
      </w:tblGrid>
      <w:tr>
        <w:trPr>
          <w:tblHeader w:val="true"/>
        </w:trPr>
        <w:tc>
          <w:tcPr>
            <w:tcW w:w="3494" w:type="dxa"/>
            <w:tcBorders/>
            <w:shd w:fill="0B3D91"/>
          </w:tcPr>
          <w:p>
            <w:pPr>
              <w:pStyle w:val="Normal"/>
              <w:spacing w:before="0" w:after="80"/>
              <w:rPr/>
            </w:pPr>
            <w:r>
              <w:rPr>
                <w:b/>
                <w:color w:val="FFFFFF"/>
                <w:sz w:val="17"/>
              </w:rPr>
              <w:t>Page</w:t>
            </w:r>
          </w:p>
        </w:tc>
        <w:tc>
          <w:tcPr>
            <w:tcW w:w="3495" w:type="dxa"/>
            <w:tcBorders/>
            <w:shd w:fill="0B3D91"/>
          </w:tcPr>
          <w:p>
            <w:pPr>
              <w:pStyle w:val="Normal"/>
              <w:spacing w:before="0" w:after="80"/>
              <w:rPr/>
            </w:pPr>
            <w:r>
              <w:rPr>
                <w:b/>
                <w:color w:val="FFFFFF"/>
                <w:sz w:val="17"/>
              </w:rPr>
              <w:t>Adresse contrôlée</w:t>
            </w:r>
          </w:p>
        </w:tc>
        <w:tc>
          <w:tcPr>
            <w:tcW w:w="3494" w:type="dxa"/>
            <w:tcBorders/>
            <w:shd w:fill="0B3D91"/>
          </w:tcPr>
          <w:p>
            <w:pPr>
              <w:pStyle w:val="Normal"/>
              <w:spacing w:before="0" w:after="80"/>
              <w:rPr/>
            </w:pPr>
            <w:r>
              <w:rPr>
                <w:b/>
                <w:color w:val="FFFFFF"/>
                <w:sz w:val="17"/>
              </w:rPr>
              <w:t>Date de contrôle</w:t>
            </w:r>
          </w:p>
        </w:tc>
      </w:tr>
      <w:tr>
        <w:trPr/>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Qualité et engagements</w:t>
            </w:r>
          </w:p>
        </w:tc>
        <w:tc>
          <w:tcPr>
            <w:tcW w:w="3495"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https://test.gsleseminents.com/qualite-et-engagements/</w:t>
            </w:r>
          </w:p>
        </w:tc>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Assurance qualité et amélioration continue</w:t>
            </w:r>
          </w:p>
        </w:tc>
        <w:tc>
          <w:tcPr>
            <w:tcW w:w="3495"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https://test.gsleseminents.com/assurance-qualite/</w:t>
            </w:r>
          </w:p>
        </w:tc>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Documentation publique</w:t>
            </w:r>
          </w:p>
        </w:tc>
        <w:tc>
          <w:tcPr>
            <w:tcW w:w="3495"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https://test.gsleseminents.com/documentation/</w:t>
            </w:r>
          </w:p>
        </w:tc>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Départements institutionnels</w:t>
            </w:r>
          </w:p>
        </w:tc>
        <w:tc>
          <w:tcPr>
            <w:tcW w:w="3495"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https://test.gsleseminents.com/departements-institutionnels/</w:t>
            </w:r>
          </w:p>
        </w:tc>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ÉMINA — Assistante institutionnelle</w:t>
            </w:r>
          </w:p>
        </w:tc>
        <w:tc>
          <w:tcPr>
            <w:tcW w:w="3495"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https://test.gsleseminents.com/emina-assistante-institutionnelle/</w:t>
            </w:r>
          </w:p>
        </w:tc>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Ressources humaines et gestion du personnel</w:t>
            </w:r>
          </w:p>
        </w:tc>
        <w:tc>
          <w:tcPr>
            <w:tcW w:w="3495"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https://test.gsleseminents.com/ressources-humaines/</w:t>
            </w:r>
          </w:p>
        </w:tc>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Bien-être, sécurité et protection de l’enfant</w:t>
            </w:r>
          </w:p>
        </w:tc>
        <w:tc>
          <w:tcPr>
            <w:tcW w:w="3495"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https://test.gsleseminents.com/bien-etre-securite-protection/</w:t>
            </w:r>
          </w:p>
        </w:tc>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Affaires académiques, curriculum et innovation pédagogique</w:t>
            </w:r>
          </w:p>
        </w:tc>
        <w:tc>
          <w:tcPr>
            <w:tcW w:w="3495"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https://test.gsleseminents.com/affaires-academiques-innovation/</w:t>
            </w:r>
          </w:p>
        </w:tc>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Logistique, maintenance et transport</w:t>
            </w:r>
          </w:p>
        </w:tc>
        <w:tc>
          <w:tcPr>
            <w:tcW w:w="3495"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https://test.gsleseminents.com/logistique-maintenance-transport/</w:t>
            </w:r>
          </w:p>
        </w:tc>
        <w:tc>
          <w:tcPr>
            <w:tcW w:w="3494"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5"/>
              </w:rPr>
              <w:t>1er juillet 2026</w:t>
            </w:r>
          </w:p>
        </w:tc>
      </w:tr>
      <w:tr>
        <w:trPr/>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Systèmes d’information, données et transformation numérique</w:t>
            </w:r>
          </w:p>
        </w:tc>
        <w:tc>
          <w:tcPr>
            <w:tcW w:w="3495"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https://test.gsleseminents.com/systemes-information-transformation-numerique/</w:t>
            </w:r>
          </w:p>
        </w:tc>
        <w:tc>
          <w:tcPr>
            <w:tcW w:w="3494" w:type="dxa"/>
            <w:tcBorders>
              <w:top w:val="single" w:sz="2" w:space="0" w:color="D7DEE8"/>
              <w:start w:val="single" w:sz="2" w:space="0" w:color="D7DEE8"/>
              <w:bottom w:val="single" w:sz="2" w:space="0" w:color="D7DEE8"/>
              <w:end w:val="single" w:sz="2" w:space="0" w:color="D7DEE8"/>
            </w:tcBorders>
            <w:shd w:fill="F3F4F6"/>
          </w:tcPr>
          <w:p>
            <w:pPr>
              <w:pStyle w:val="Normal"/>
              <w:spacing w:before="0" w:after="0"/>
              <w:rPr/>
            </w:pPr>
            <w:r>
              <w:rPr>
                <w:sz w:val="15"/>
              </w:rPr>
              <w:t>1er juillet 2026</w:t>
            </w:r>
          </w:p>
        </w:tc>
      </w:tr>
    </w:tbl>
    <w:p>
      <w:pPr>
        <w:pStyle w:val="Normal"/>
        <w:spacing w:before="360" w:after="60"/>
        <w:jc w:val="center"/>
        <w:rPr/>
      </w:pPr>
      <w:r>
        <w:rPr>
          <w:b/>
          <w:color w:val="0B3D91"/>
          <w:sz w:val="24"/>
        </w:rPr>
        <w:t>FIN DU DOCUMENT</w:t>
      </w:r>
    </w:p>
    <w:p>
      <w:pPr>
        <w:pStyle w:val="Normal"/>
        <w:jc w:val="center"/>
        <w:rPr/>
      </w:pPr>
      <w:r>
        <w:rPr>
          <w:color w:val="555555"/>
          <w:sz w:val="18"/>
        </w:rPr>
        <w:t>59 fiches • 590 questions-réponses • 99 définitions</w:t>
      </w:r>
    </w:p>
    <w:p>
      <w:pPr>
        <w:pStyle w:val="Normal"/>
        <w:rPr/>
      </w:pPr>
      <w:r>
        <w:rPr/>
      </w:r>
      <w:r>
        <w:br w:type="page"/>
      </w:r>
    </w:p>
    <w:p>
      <w:pPr>
        <w:pStyle w:val="Normal"/>
        <w:rPr/>
      </w:pPr>
      <w:r>
        <w:rPr/>
      </w:r>
    </w:p>
    <w:p>
      <w:pPr>
        <w:pStyle w:val="Normal"/>
        <w:jc w:val="center"/>
        <w:rPr/>
      </w:pPr>
      <w:r>
        <w:rPr/>
        <w:drawing>
          <wp:inline distT="0" distB="0" distL="0" distR="0">
            <wp:extent cx="1224280" cy="1273175"/>
            <wp:effectExtent l="0" t="0" r="0" b="0"/>
            <wp:docPr id="22"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 descr="" title=""/>
                    <pic:cNvPicPr>
                      <a:picLocks noChangeAspect="1" noChangeArrowheads="1"/>
                    </pic:cNvPicPr>
                  </pic:nvPicPr>
                  <pic:blipFill>
                    <a:blip r:embed="rId50"/>
                    <a:stretch>
                      <a:fillRect/>
                    </a:stretch>
                  </pic:blipFill>
                  <pic:spPr bwMode="auto">
                    <a:xfrm>
                      <a:off x="0" y="0"/>
                      <a:ext cx="1224280" cy="1273175"/>
                    </a:xfrm>
                    <a:prstGeom prst="rect">
                      <a:avLst/>
                    </a:prstGeom>
                    <a:noFill/>
                  </pic:spPr>
                </pic:pic>
              </a:graphicData>
            </a:graphic>
          </wp:inline>
        </w:drawing>
      </w:r>
    </w:p>
    <w:p>
      <w:pPr>
        <w:pStyle w:val="Normal"/>
        <w:jc w:val="center"/>
        <w:rPr/>
      </w:pPr>
      <w:r>
        <w:rPr>
          <w:b/>
          <w:color w:val="0B3D91"/>
          <w:sz w:val="42"/>
        </w:rPr>
        <w:t>GROUPE SCOLAIRE</w:t>
        <w:br/>
        <w:t>LES ÉMINENTS</w:t>
      </w:r>
    </w:p>
    <w:p>
      <w:pPr>
        <w:pStyle w:val="Normal"/>
        <w:spacing w:before="160" w:after="60"/>
        <w:jc w:val="center"/>
        <w:rPr/>
      </w:pPr>
      <w:r>
        <w:rPr>
          <w:b/>
          <w:color w:val="0B3D91"/>
          <w:sz w:val="48"/>
        </w:rPr>
        <w:t>BANQUE EXHAUSTIVE DE QUESTIONS</w:t>
      </w:r>
    </w:p>
    <w:p>
      <w:pPr>
        <w:pStyle w:val="Normal"/>
        <w:jc w:val="center"/>
        <w:rPr/>
      </w:pPr>
      <w:r>
        <w:rPr>
          <w:b/>
          <w:color w:val="D4A017"/>
          <w:sz w:val="38"/>
        </w:rPr>
        <w:t>MENU « VEILLE OFFICIELLE »</w:t>
      </w:r>
    </w:p>
    <w:p>
      <w:pPr>
        <w:pStyle w:val="Normal"/>
        <w:jc w:val="center"/>
        <w:rPr/>
      </w:pPr>
      <w:r>
        <w:rPr>
          <w:b/>
          <w:color w:val="1F2937"/>
          <w:sz w:val="20"/>
        </w:rPr>
        <w:t>RELEVÉ DES POINTS • ANALYSE INSTITUTIONNELLE • QUESTIONS-RÉPONSES • GLOSSAIRE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94"/>
        <w:gridCol w:w="3495"/>
        <w:gridCol w:w="3494"/>
      </w:tblGrid>
      <w:tr>
        <w:trPr/>
        <w:tc>
          <w:tcPr>
            <w:tcW w:w="3494" w:type="dxa"/>
            <w:tcBorders/>
            <w:shd w:fill="0B3D91"/>
          </w:tcPr>
          <w:p>
            <w:pPr>
              <w:pStyle w:val="Normal"/>
              <w:spacing w:before="0" w:after="80"/>
              <w:rPr/>
            </w:pPr>
            <w:r>
              <w:rPr/>
            </w:r>
          </w:p>
        </w:tc>
        <w:tc>
          <w:tcPr>
            <w:tcW w:w="3495" w:type="dxa"/>
            <w:tcBorders/>
            <w:shd w:fill="D4A017"/>
          </w:tcPr>
          <w:p>
            <w:pPr>
              <w:pStyle w:val="Normal"/>
              <w:spacing w:before="0" w:after="80"/>
              <w:rPr/>
            </w:pPr>
            <w:r>
              <w:rPr/>
            </w:r>
          </w:p>
        </w:tc>
        <w:tc>
          <w:tcPr>
            <w:tcW w:w="3494" w:type="dxa"/>
            <w:tcBorders/>
            <w:shd w:fill="0B3D91"/>
          </w:tcPr>
          <w:p>
            <w:pPr>
              <w:pStyle w:val="Normal"/>
              <w:spacing w:before="0" w:after="80"/>
              <w:rPr/>
            </w:pPr>
            <w:r>
              <w:rPr/>
            </w:r>
          </w:p>
        </w:tc>
      </w:tr>
    </w:tbl>
    <w:p>
      <w:pPr>
        <w:pStyle w:val="Normal"/>
        <w:spacing w:before="200" w:after="60"/>
        <w:jc w:val="center"/>
        <w:rPr/>
      </w:pPr>
      <w:r>
        <w:rPr>
          <w:i/>
          <w:color w:val="1F2937"/>
          <w:sz w:val="22"/>
        </w:rPr>
        <w:t>Suivre les sources officielles, analyser leurs impacts et préserver la validation humaine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Site contrôlé</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test.gsleseminents.com</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before="0" w:after="0"/>
              <w:rPr/>
            </w:pPr>
            <w:r>
              <w:rPr>
                <w:b/>
                <w:color w:val="0B3D91"/>
                <w:sz w:val="18"/>
              </w:rPr>
              <w:t>Page principale</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Veille officielle</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Sous-menus visibles</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Aucun sous-menu enfant dans la navigation contrôlée</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before="0" w:after="0"/>
              <w:rPr/>
            </w:pPr>
            <w:r>
              <w:rPr>
                <w:b/>
                <w:color w:val="0B3D91"/>
                <w:sz w:val="18"/>
              </w:rPr>
              <w:t>Date du relevé</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2 juillet 2026</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before="0" w:after="0"/>
              <w:rPr/>
            </w:pPr>
            <w:r>
              <w:rPr>
                <w:b/>
                <w:color w:val="0B3D91"/>
                <w:sz w:val="18"/>
              </w:rPr>
              <w:t>Fiches thématiques</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32</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before="0" w:after="0"/>
              <w:rPr/>
            </w:pPr>
            <w:r>
              <w:rPr>
                <w:b/>
                <w:color w:val="0B3D91"/>
                <w:sz w:val="18"/>
              </w:rPr>
              <w:t>Questions-réponses</w:t>
            </w:r>
          </w:p>
        </w:tc>
        <w:tc>
          <w:tcPr>
            <w:tcW w:w="5241"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8"/>
              </w:rPr>
              <w:t>320</w:t>
            </w:r>
          </w:p>
        </w:tc>
      </w:tr>
    </w:tbl>
    <w:p>
      <w:pPr>
        <w:pStyle w:val="Normal"/>
        <w:spacing w:before="240" w:after="60"/>
        <w:jc w:val="center"/>
        <w:rPr/>
      </w:pPr>
      <w:r>
        <w:rPr>
          <w:color w:val="555555"/>
          <w:sz w:val="18"/>
        </w:rPr>
        <w:t>Document de référence pour la FAQ, la formation, l’accueil, la documentation publique et la base de connaissances d’ÉMINA.</w:t>
      </w:r>
    </w:p>
    <w:p>
      <w:pPr>
        <w:pStyle w:val="Normal"/>
        <w:jc w:val="center"/>
        <w:rPr/>
      </w:pPr>
      <w:r>
        <w:rPr>
          <w:b/>
          <w:color w:val="0B3D91"/>
          <w:sz w:val="20"/>
        </w:rPr>
        <w:t>FOI • EXCELLENCE • INTÉGRITÉ • LEADERSHIP</w:t>
      </w:r>
    </w:p>
    <w:p>
      <w:pPr>
        <w:pStyle w:val="Normal"/>
        <w:rPr/>
      </w:pPr>
      <w:r>
        <w:rPr/>
      </w:r>
      <w:r>
        <w:br w:type="page"/>
      </w:r>
    </w:p>
    <w:p>
      <w:pPr>
        <w:pStyle w:val="Heading1"/>
        <w:spacing w:before="0" w:after="100"/>
        <w:rPr/>
      </w:pPr>
      <w:r>
        <w:rPr/>
        <w:t>1. Objet, méthode et périmètre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Objet : </w:t>
            </w:r>
            <w:r>
              <w:rPr>
                <w:color w:val="1F2937"/>
                <w:sz w:val="17"/>
              </w:rPr>
              <w:t>Relever tous les points développés dans le menu « Veille officielle », expliquer la raison et l’importance de chaque titre ou section, produire au moins dix questions-réponses par fiche et définir les termes nécessaires à la compréhension.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Méthode : </w:t>
            </w:r>
            <w:r>
              <w:rPr>
                <w:color w:val="1F2937"/>
                <w:sz w:val="17"/>
              </w:rPr>
              <w:t>Inspection directe de la navigation, de la page Veille officielle et des métadonnées documentaires publiques reliées, puis classement des éléments par fonction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Principe de fidélité : </w:t>
            </w:r>
            <w:r>
              <w:rPr>
                <w:color w:val="1F2937"/>
                <w:sz w:val="17"/>
              </w:rPr>
              <w:t>Les réponses de la banque restent fondées sur le texte public sous-jacent. Les commentaires sur la raison, l’importance et les liens sont clairement présentés comme analyse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Constat de structure : </w:t>
            </w:r>
            <w:r>
              <w:rPr>
                <w:color w:val="1F2937"/>
                <w:sz w:val="17"/>
              </w:rPr>
              <w:t>Au moment du contrôle, « Veille officielle » est un menu autonome sans sous-menu visible. Les liens « Documentation associée » ne sont pas des sous-menus, mais des ressources connexes.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Limite temporelle : </w:t>
            </w:r>
            <w:r>
              <w:rPr>
                <w:color w:val="1F2937"/>
                <w:sz w:val="17"/>
              </w:rPr>
              <w:t>Le document décrit l’état public observé le 2 juillet 2026. Toute modification du site, d’un code, d’un propriétaire ou d’une version nécessitera une mise à jour.</w:t>
            </w:r>
          </w:p>
        </w:tc>
      </w:tr>
    </w:tbl>
    <w:p>
      <w:pPr>
        <w:pStyle w:val="Normal"/>
        <w:rPr/>
      </w:pPr>
      <w:r>
        <w:rPr>
          <w:b/>
          <w:color w:val="0B3D91"/>
        </w:rPr>
        <w:t>Périmètre traité</w:t>
      </w:r>
    </w:p>
    <w:p>
      <w:pPr>
        <w:pStyle w:val="ListBullet"/>
        <w:numPr>
          <w:ilvl w:val="0"/>
          <w:numId w:val="1"/>
        </w:numPr>
        <w:spacing w:before="0" w:after="20"/>
        <w:ind w:hanging="360" w:start="255"/>
        <w:contextualSpacing/>
        <w:rPr/>
      </w:pPr>
      <w:r>
        <w:rPr>
          <w:sz w:val="17"/>
        </w:rPr>
        <w:t>Position du menu dans la navigation principale.</w:t>
      </w:r>
    </w:p>
    <w:p>
      <w:pPr>
        <w:pStyle w:val="ListBullet"/>
        <w:numPr>
          <w:ilvl w:val="0"/>
          <w:numId w:val="1"/>
        </w:numPr>
        <w:spacing w:before="0" w:after="20"/>
        <w:ind w:hanging="360" w:start="255"/>
        <w:contextualSpacing/>
        <w:rPr/>
      </w:pPr>
      <w:r>
        <w:rPr>
          <w:sz w:val="17"/>
        </w:rPr>
        <w:t>Titre, introduction, visuel et section principale de la page Veille officielle.</w:t>
      </w:r>
    </w:p>
    <w:p>
      <w:pPr>
        <w:pStyle w:val="ListBullet"/>
        <w:numPr>
          <w:ilvl w:val="0"/>
          <w:numId w:val="1"/>
        </w:numPr>
        <w:spacing w:before="0" w:after="20"/>
        <w:ind w:hanging="360" w:start="255"/>
        <w:contextualSpacing/>
        <w:rPr/>
      </w:pPr>
      <w:r>
        <w:rPr>
          <w:sz w:val="17"/>
        </w:rPr>
        <w:t>Règles de vérification des sources, d’analyse d’impact et de validation humaine.</w:t>
      </w:r>
    </w:p>
    <w:p>
      <w:pPr>
        <w:pStyle w:val="ListBullet"/>
        <w:numPr>
          <w:ilvl w:val="0"/>
          <w:numId w:val="1"/>
        </w:numPr>
        <w:spacing w:before="0" w:after="20"/>
        <w:ind w:hanging="360" w:start="255"/>
        <w:contextualSpacing/>
        <w:rPr/>
      </w:pPr>
      <w:r>
        <w:rPr>
          <w:sz w:val="17"/>
        </w:rPr>
        <w:t>Rôle encadré d’ÉMINA.</w:t>
      </w:r>
    </w:p>
    <w:p>
      <w:pPr>
        <w:pStyle w:val="ListBullet"/>
        <w:numPr>
          <w:ilvl w:val="0"/>
          <w:numId w:val="1"/>
        </w:numPr>
        <w:spacing w:before="0" w:after="20"/>
        <w:ind w:hanging="360" w:start="255"/>
        <w:contextualSpacing/>
        <w:rPr/>
      </w:pPr>
      <w:r>
        <w:rPr>
          <w:sz w:val="17"/>
        </w:rPr>
        <w:t>Documentation associée et fiche publique GSE-PUB-VEI-001.</w:t>
      </w:r>
    </w:p>
    <w:p>
      <w:pPr>
        <w:pStyle w:val="ListBullet"/>
        <w:numPr>
          <w:ilvl w:val="0"/>
          <w:numId w:val="1"/>
        </w:numPr>
        <w:spacing w:before="0" w:after="20"/>
        <w:ind w:hanging="360" w:start="255"/>
        <w:contextualSpacing/>
        <w:rPr/>
      </w:pPr>
      <w:r>
        <w:rPr>
          <w:sz w:val="17"/>
        </w:rPr>
        <w:t>Liens fonctionnels avec Direction, DAQAC, départements et Documentation publique.</w:t>
      </w:r>
    </w:p>
    <w:p>
      <w:pPr>
        <w:pStyle w:val="Heading1"/>
        <w:rPr/>
      </w:pPr>
      <w:r>
        <w:rPr/>
        <w:t>2. Synthèse de l’architecture relevée</w:t>
      </w:r>
    </w:p>
    <w:tbl>
      <w:tblPr>
        <w:tblW w:w="1048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Élément</w:t>
            </w:r>
          </w:p>
        </w:tc>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Statut dans le site</w:t>
            </w:r>
          </w:p>
        </w:tc>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Fonction</w:t>
            </w:r>
          </w:p>
        </w:tc>
        <w:tc>
          <w:tcPr>
            <w:tcW w:w="2619"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Observation</w:t>
            </w:r>
          </w:p>
        </w:tc>
      </w:tr>
      <w:tr>
        <w:trPr/>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Veille officielle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Menu principal autonome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Accès à la méthode publique de veille</w:t>
            </w:r>
          </w:p>
        </w:tc>
        <w:tc>
          <w:tcPr>
            <w:tcW w:w="2619"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Aucun sous-menu enfant visible</w:t>
            </w:r>
          </w:p>
        </w:tc>
      </w:tr>
      <w:tr>
        <w:trPr/>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Surveiller sans adopter automatiquement</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Message visuel</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Principe de prudence</w:t>
            </w:r>
          </w:p>
        </w:tc>
        <w:tc>
          <w:tcPr>
            <w:tcW w:w="2619"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Analyse avant décision</w:t>
            </w:r>
          </w:p>
        </w:tc>
      </w:tr>
      <w:tr>
        <w:trPr/>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Surveiller, vérifier, analyser et faire valider</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Section principale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Décrit le processus</w:t>
            </w:r>
          </w:p>
        </w:tc>
        <w:tc>
          <w:tcPr>
            <w:tcW w:w="2619"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Validation humaine obligatoire pour les questions sensibles</w:t>
            </w:r>
          </w:p>
        </w:tc>
      </w:tr>
      <w:tr>
        <w:trPr/>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Documentation associée</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Liens connexes</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Donne accès aux sources publiques</w:t>
            </w:r>
          </w:p>
        </w:tc>
        <w:tc>
          <w:tcPr>
            <w:tcW w:w="2619"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6"/>
              </w:rPr>
              <w:t>GSE-PUB-DOC-001 et GSE-PUB-QUA-001</w:t>
            </w:r>
          </w:p>
        </w:tc>
      </w:tr>
      <w:tr>
        <w:trPr/>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GSE-PUB-VEI-001</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Fiche documentaire publique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Identifie la ressource Veille officielle</w:t>
            </w:r>
          </w:p>
        </w:tc>
        <w:tc>
          <w:tcPr>
            <w:tcW w:w="2619"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6"/>
              </w:rPr>
              <w:t>Version 1.0, Direction / DAQAC, FR/EN</w:t>
            </w:r>
          </w:p>
        </w:tc>
      </w:tr>
    </w:tbl>
    <w:p>
      <w:pPr>
        <w:pStyle w:val="Heading1"/>
        <w:rPr/>
      </w:pPr>
      <w:r>
        <w:rPr/>
        <w:t>3. Sommaire analytique des fiches</w:t>
      </w:r>
    </w:p>
    <w:p>
      <w:pPr>
        <w:pStyle w:val="Normal"/>
        <w:spacing w:before="100" w:after="60"/>
        <w:rPr/>
      </w:pPr>
      <w:r>
        <w:rPr>
          <w:b/>
          <w:color w:val="0B3D91"/>
          <w:sz w:val="21"/>
        </w:rPr>
        <w:t>PARTIE I — ARCHITECTURE ET POSITIONNEMENT PUBLIC</w:t>
      </w:r>
    </w:p>
    <w:p>
      <w:pPr>
        <w:pStyle w:val="Normal"/>
        <w:spacing w:before="0" w:after="0"/>
        <w:ind w:start="340"/>
        <w:rPr/>
      </w:pPr>
      <w:r>
        <w:rPr>
          <w:sz w:val="17"/>
        </w:rPr>
        <w:t>1. Architecture du menu « Veille officielle »</w:t>
      </w:r>
    </w:p>
    <w:p>
      <w:pPr>
        <w:pStyle w:val="Normal"/>
        <w:spacing w:before="0" w:after="0"/>
        <w:ind w:start="340"/>
        <w:rPr/>
      </w:pPr>
      <w:r>
        <w:rPr>
          <w:sz w:val="17"/>
        </w:rPr>
        <w:t>2. Veille officielle</w:t>
      </w:r>
    </w:p>
    <w:p>
      <w:pPr>
        <w:pStyle w:val="Normal"/>
        <w:spacing w:before="0" w:after="0"/>
        <w:ind w:start="340"/>
        <w:rPr/>
      </w:pPr>
      <w:r>
        <w:rPr>
          <w:sz w:val="17"/>
        </w:rPr>
        <w:t>3. Principes publics de suivi et d’analyse d’impact</w:t>
      </w:r>
    </w:p>
    <w:p>
      <w:pPr>
        <w:pStyle w:val="Normal"/>
        <w:spacing w:before="0" w:after="0"/>
        <w:ind w:start="340"/>
        <w:rPr/>
      </w:pPr>
      <w:r>
        <w:rPr>
          <w:sz w:val="17"/>
        </w:rPr>
        <w:t>4. Surveiller sans adopter automatiquement</w:t>
      </w:r>
    </w:p>
    <w:p>
      <w:pPr>
        <w:pStyle w:val="Normal"/>
        <w:spacing w:before="100" w:after="60"/>
        <w:rPr/>
      </w:pPr>
      <w:r>
        <w:rPr>
          <w:b/>
          <w:color w:val="0B3D91"/>
          <w:sz w:val="21"/>
        </w:rPr>
        <w:t>PARTIE II — PROCESSUS DE VEILLE ET D’ANALYSE</w:t>
      </w:r>
    </w:p>
    <w:p>
      <w:pPr>
        <w:pStyle w:val="Normal"/>
        <w:spacing w:before="0" w:after="0"/>
        <w:ind w:start="340"/>
        <w:rPr/>
      </w:pPr>
      <w:r>
        <w:rPr>
          <w:sz w:val="17"/>
        </w:rPr>
        <w:t>5. Publications qualifiées, analysées et soumises à validation humaine</w:t>
      </w:r>
    </w:p>
    <w:p>
      <w:pPr>
        <w:pStyle w:val="Normal"/>
        <w:spacing w:before="0" w:after="0"/>
        <w:ind w:start="340"/>
        <w:rPr/>
      </w:pPr>
      <w:r>
        <w:rPr>
          <w:sz w:val="17"/>
        </w:rPr>
        <w:t>6. Surveiller, vérifier, analyser et faire valider</w:t>
      </w:r>
    </w:p>
    <w:p>
      <w:pPr>
        <w:pStyle w:val="Normal"/>
        <w:spacing w:before="0" w:after="0"/>
        <w:ind w:start="340"/>
        <w:rPr/>
      </w:pPr>
      <w:r>
        <w:rPr>
          <w:sz w:val="17"/>
        </w:rPr>
        <w:t>7. Suivi des publications utiles</w:t>
      </w:r>
    </w:p>
    <w:p>
      <w:pPr>
        <w:pStyle w:val="Normal"/>
        <w:spacing w:before="0" w:after="0"/>
        <w:ind w:start="340"/>
        <w:rPr/>
      </w:pPr>
      <w:r>
        <w:rPr>
          <w:sz w:val="17"/>
        </w:rPr>
        <w:t>8. Autorités et organismes de référence</w:t>
      </w:r>
    </w:p>
    <w:p>
      <w:pPr>
        <w:pStyle w:val="Normal"/>
        <w:spacing w:before="0" w:after="0"/>
        <w:ind w:start="340"/>
        <w:rPr/>
      </w:pPr>
      <w:r>
        <w:rPr>
          <w:sz w:val="17"/>
        </w:rPr>
        <w:t>9. Priorité aux sources originales</w:t>
      </w:r>
    </w:p>
    <w:p>
      <w:pPr>
        <w:pStyle w:val="Normal"/>
        <w:spacing w:before="0" w:after="0"/>
        <w:ind w:start="340"/>
        <w:rPr/>
      </w:pPr>
      <w:r>
        <w:rPr>
          <w:sz w:val="17"/>
        </w:rPr>
        <w:t>10. Enregistrement de la date</w:t>
      </w:r>
    </w:p>
    <w:p>
      <w:pPr>
        <w:pStyle w:val="Normal"/>
        <w:spacing w:before="0" w:after="0"/>
        <w:ind w:start="340"/>
        <w:rPr/>
      </w:pPr>
      <w:r>
        <w:rPr>
          <w:sz w:val="17"/>
        </w:rPr>
        <w:t>11. Enregistrement de la portée</w:t>
      </w:r>
    </w:p>
    <w:p>
      <w:pPr>
        <w:pStyle w:val="Normal"/>
        <w:spacing w:before="0" w:after="0"/>
        <w:ind w:start="340"/>
        <w:rPr/>
      </w:pPr>
      <w:r>
        <w:rPr>
          <w:sz w:val="17"/>
        </w:rPr>
        <w:t>12. Analyse des impacts possibles</w:t>
      </w:r>
    </w:p>
    <w:p>
      <w:pPr>
        <w:pStyle w:val="Normal"/>
        <w:spacing w:before="0" w:after="0"/>
        <w:ind w:start="340"/>
        <w:rPr/>
      </w:pPr>
      <w:r>
        <w:rPr>
          <w:sz w:val="17"/>
        </w:rPr>
        <w:t>13. Transmission aux départements concernés</w:t>
      </w:r>
    </w:p>
    <w:p>
      <w:pPr>
        <w:pStyle w:val="Normal"/>
        <w:spacing w:before="100" w:after="60"/>
        <w:rPr/>
      </w:pPr>
      <w:r>
        <w:rPr>
          <w:b/>
          <w:color w:val="0B3D91"/>
          <w:sz w:val="21"/>
        </w:rPr>
        <w:t>PARTIE III — GARANTIES, LIMITES ET VALIDATION HUMAINE</w:t>
      </w:r>
    </w:p>
    <w:p>
      <w:pPr>
        <w:pStyle w:val="Normal"/>
        <w:spacing w:before="0" w:after="0"/>
        <w:ind w:start="340"/>
        <w:rPr/>
      </w:pPr>
      <w:r>
        <w:rPr>
          <w:sz w:val="17"/>
        </w:rPr>
        <w:t>14. Aucune source secondaire non vérifiée comme référence officielle</w:t>
      </w:r>
    </w:p>
    <w:p>
      <w:pPr>
        <w:pStyle w:val="Normal"/>
        <w:spacing w:before="0" w:after="0"/>
        <w:ind w:start="340"/>
        <w:rPr/>
      </w:pPr>
      <w:r>
        <w:rPr>
          <w:sz w:val="17"/>
        </w:rPr>
        <w:t>15. Classement proposé par ÉMINA</w:t>
      </w:r>
    </w:p>
    <w:p>
      <w:pPr>
        <w:pStyle w:val="Normal"/>
        <w:spacing w:before="0" w:after="0"/>
        <w:ind w:start="340"/>
        <w:rPr/>
      </w:pPr>
      <w:r>
        <w:rPr>
          <w:sz w:val="17"/>
        </w:rPr>
        <w:t>16. Note d’impact proposée par ÉMINA</w:t>
      </w:r>
    </w:p>
    <w:p>
      <w:pPr>
        <w:pStyle w:val="Normal"/>
        <w:spacing w:before="0" w:after="0"/>
        <w:ind w:start="340"/>
        <w:rPr/>
      </w:pPr>
      <w:r>
        <w:rPr>
          <w:sz w:val="17"/>
        </w:rPr>
        <w:t>17. ÉMINA n’impose aucune décision</w:t>
      </w:r>
    </w:p>
    <w:p>
      <w:pPr>
        <w:pStyle w:val="Normal"/>
        <w:spacing w:before="0" w:after="0"/>
        <w:ind w:start="340"/>
        <w:rPr/>
      </w:pPr>
      <w:r>
        <w:rPr>
          <w:sz w:val="17"/>
        </w:rPr>
        <w:t>18. Validation humaine de toute adoption sensible</w:t>
      </w:r>
    </w:p>
    <w:p>
      <w:pPr>
        <w:pStyle w:val="Normal"/>
        <w:spacing w:before="0" w:after="0"/>
        <w:ind w:start="340"/>
        <w:rPr/>
      </w:pPr>
      <w:r>
        <w:rPr>
          <w:sz w:val="17"/>
        </w:rPr>
        <w:t>19. Validation humaine de l’interprétation juridique</w:t>
      </w:r>
    </w:p>
    <w:p>
      <w:pPr>
        <w:pStyle w:val="Normal"/>
        <w:spacing w:before="0" w:after="0"/>
        <w:ind w:start="340"/>
        <w:rPr/>
      </w:pPr>
      <w:r>
        <w:rPr>
          <w:sz w:val="17"/>
        </w:rPr>
        <w:t>20. Validation humaine des modifications institutionnelles</w:t>
      </w:r>
    </w:p>
    <w:p>
      <w:pPr>
        <w:pStyle w:val="Normal"/>
        <w:spacing w:before="0" w:after="0"/>
        <w:ind w:start="340"/>
        <w:rPr/>
      </w:pPr>
      <w:r>
        <w:rPr>
          <w:sz w:val="17"/>
        </w:rPr>
        <w:t>21. Aucune affiliation, accréditation ou certification non obtenue</w:t>
      </w:r>
    </w:p>
    <w:p>
      <w:pPr>
        <w:pStyle w:val="Normal"/>
        <w:spacing w:before="100" w:after="60"/>
        <w:rPr/>
      </w:pPr>
      <w:r>
        <w:rPr>
          <w:b/>
          <w:color w:val="0B3D91"/>
          <w:sz w:val="21"/>
        </w:rPr>
        <w:t>PARTIE IV — DOCUMENTATION ASSOCIÉE ET RÉFÉRENCES</w:t>
      </w:r>
    </w:p>
    <w:p>
      <w:pPr>
        <w:pStyle w:val="Normal"/>
        <w:spacing w:before="0" w:after="0"/>
        <w:ind w:start="340"/>
        <w:rPr/>
      </w:pPr>
      <w:r>
        <w:rPr>
          <w:sz w:val="17"/>
        </w:rPr>
        <w:t>22. Documentation associée</w:t>
      </w:r>
    </w:p>
    <w:p>
      <w:pPr>
        <w:pStyle w:val="Normal"/>
        <w:spacing w:before="0" w:after="0"/>
        <w:ind w:start="340"/>
        <w:rPr/>
      </w:pPr>
      <w:r>
        <w:rPr>
          <w:sz w:val="17"/>
        </w:rPr>
        <w:t>23. Documentation publique — GSE-PUB-DOC-001</w:t>
      </w:r>
    </w:p>
    <w:p>
      <w:pPr>
        <w:pStyle w:val="Normal"/>
        <w:spacing w:before="0" w:after="0"/>
        <w:ind w:start="340"/>
        <w:rPr/>
      </w:pPr>
      <w:r>
        <w:rPr>
          <w:sz w:val="17"/>
        </w:rPr>
        <w:t>24. Assurance qualité et amélioration continue — GSE-PUB-QUA-001</w:t>
      </w:r>
    </w:p>
    <w:p>
      <w:pPr>
        <w:pStyle w:val="Normal"/>
        <w:spacing w:before="0" w:after="0"/>
        <w:ind w:start="340"/>
        <w:rPr/>
      </w:pPr>
      <w:r>
        <w:rPr>
          <w:sz w:val="17"/>
        </w:rPr>
        <w:t>25. Bibliothèque de documentation publique</w:t>
      </w:r>
    </w:p>
    <w:p>
      <w:pPr>
        <w:pStyle w:val="Normal"/>
        <w:spacing w:before="0" w:after="0"/>
        <w:ind w:start="340"/>
        <w:rPr/>
      </w:pPr>
      <w:r>
        <w:rPr>
          <w:sz w:val="17"/>
        </w:rPr>
        <w:t>26. Veille officielle et système d’alerte gradué — GSE-PUB-VEI-001</w:t>
      </w:r>
    </w:p>
    <w:p>
      <w:pPr>
        <w:pStyle w:val="Normal"/>
        <w:spacing w:before="0" w:after="0"/>
        <w:ind w:start="340"/>
        <w:rPr/>
      </w:pPr>
      <w:r>
        <w:rPr>
          <w:sz w:val="17"/>
        </w:rPr>
        <w:t>27. Statut, version, propriétaire et langues de la ressource</w:t>
      </w:r>
    </w:p>
    <w:p>
      <w:pPr>
        <w:pStyle w:val="Normal"/>
        <w:spacing w:before="100" w:after="60"/>
        <w:rPr/>
      </w:pPr>
      <w:r>
        <w:rPr>
          <w:b/>
          <w:color w:val="0B3D91"/>
          <w:sz w:val="21"/>
        </w:rPr>
        <w:t>PARTIE V — INTÉGRATION INSTITUTIONNELLE ET USAGES</w:t>
      </w:r>
    </w:p>
    <w:p>
      <w:pPr>
        <w:pStyle w:val="Normal"/>
        <w:spacing w:before="0" w:after="0"/>
        <w:ind w:start="340"/>
        <w:rPr/>
      </w:pPr>
      <w:r>
        <w:rPr>
          <w:sz w:val="17"/>
        </w:rPr>
        <w:t>28. Départements concernés</w:t>
      </w:r>
    </w:p>
    <w:p>
      <w:pPr>
        <w:pStyle w:val="Normal"/>
        <w:spacing w:before="0" w:after="0"/>
        <w:ind w:start="340"/>
        <w:rPr/>
      </w:pPr>
      <w:r>
        <w:rPr>
          <w:sz w:val="17"/>
        </w:rPr>
        <w:t>29. Chaîne de décision humaine</w:t>
      </w:r>
    </w:p>
    <w:p>
      <w:pPr>
        <w:pStyle w:val="Normal"/>
        <w:spacing w:before="0" w:after="0"/>
        <w:ind w:start="340"/>
        <w:rPr/>
      </w:pPr>
      <w:r>
        <w:rPr>
          <w:sz w:val="17"/>
        </w:rPr>
        <w:t>30. Traçabilité de la veille</w:t>
      </w:r>
    </w:p>
    <w:p>
      <w:pPr>
        <w:pStyle w:val="Normal"/>
        <w:spacing w:before="0" w:after="0"/>
        <w:ind w:start="340"/>
        <w:rPr/>
      </w:pPr>
      <w:r>
        <w:rPr>
          <w:sz w:val="17"/>
        </w:rPr>
        <w:t>31. Séparation entre information publique et décision interne</w:t>
      </w:r>
    </w:p>
    <w:p>
      <w:pPr>
        <w:pStyle w:val="Normal"/>
        <w:spacing w:before="0" w:after="0"/>
        <w:ind w:start="340"/>
        <w:rPr/>
      </w:pPr>
      <w:r>
        <w:rPr>
          <w:sz w:val="17"/>
        </w:rPr>
        <w:t>32. Lien entre Veille officielle, DAQAC, Direction et ÉMINA</w:t>
      </w:r>
    </w:p>
    <w:p>
      <w:pPr>
        <w:pStyle w:val="Normal"/>
        <w:rPr/>
      </w:pPr>
      <w:r>
        <w:rPr/>
      </w:r>
      <w:r>
        <w:br w:type="page"/>
      </w:r>
    </w:p>
    <w:p>
      <w:pPr>
        <w:pStyle w:val="Normal"/>
        <w:spacing w:before="0" w:after="60"/>
        <w:jc w:val="center"/>
        <w:rPr/>
      </w:pPr>
      <w:r>
        <w:rPr>
          <w:b/>
          <w:color w:val="D4A017"/>
          <w:sz w:val="28"/>
        </w:rPr>
        <w:t>PARTIE I</w:t>
      </w:r>
    </w:p>
    <w:p>
      <w:pPr>
        <w:pStyle w:val="Normal"/>
        <w:jc w:val="center"/>
        <w:rPr/>
      </w:pPr>
      <w:r>
        <w:rPr>
          <w:b/>
          <w:color w:val="0B3D91"/>
          <w:sz w:val="42"/>
        </w:rPr>
        <w:t>ARCHITECTURE ET POSITIONNEMENT PUBLIC</w:t>
      </w:r>
    </w:p>
    <w:p>
      <w:pPr>
        <w:pStyle w:val="Normal"/>
        <w:jc w:val="center"/>
        <w:rPr/>
      </w:pPr>
      <w:r>
        <w:rPr>
          <w:i/>
          <w:sz w:val="20"/>
        </w:rPr>
        <w:t>Relevé • Raison • Importance • Liens • Questions-réponses</w:t>
      </w:r>
    </w:p>
    <w:p>
      <w:pPr>
        <w:pStyle w:val="Normal"/>
        <w:rPr/>
      </w:pPr>
      <w:r>
        <w:rPr/>
      </w:r>
      <w:r>
        <w:br w:type="page"/>
      </w:r>
    </w:p>
    <w:p>
      <w:pPr>
        <w:pStyle w:val="Heading2"/>
        <w:spacing w:before="0" w:after="80"/>
        <w:rPr/>
      </w:pPr>
      <w:r>
        <w:rPr/>
        <w:t>FICHE 01 — Architecture du menu « Veille officielle »</w:t>
      </w:r>
    </w:p>
    <w:p>
      <w:pPr>
        <w:pStyle w:val="Normal"/>
        <w:spacing w:before="20" w:after="80"/>
        <w:rPr/>
      </w:pPr>
      <w:r>
        <w:rPr>
          <w:b/>
          <w:color w:val="0B3D91"/>
          <w:sz w:val="16"/>
        </w:rPr>
        <w:t xml:space="preserve">Source contrôlée : </w:t>
      </w:r>
      <w:r>
        <w:rPr>
          <w:color w:val="555555"/>
          <w:sz w:val="16"/>
        </w:rPr>
        <w:t>Navigation principale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Dans la navigation contrôlée, « Veille officielle » est un menu autonome placé après « Qualité et engagements » et avant « Actualités et galerie ». Aucun sous-menu enfant n’est visible sous cet intitulé.</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identifie un service transversal distinct des pages d’actualité et de la documentation générale.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Cette position évite de confondre information institutionnelle, actualité et adoption de nouvelles exigences.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Qualité et engagements, Documentation publique, ÉMINA, Actualités et les départements concernés.</w:t>
            </w:r>
          </w:p>
        </w:tc>
      </w:tr>
    </w:tbl>
    <w:p>
      <w:pPr>
        <w:pStyle w:val="Heading3"/>
        <w:rPr/>
      </w:pPr>
      <w:r>
        <w:rPr/>
        <w:t>Points développés</w:t>
      </w:r>
    </w:p>
    <w:p>
      <w:pPr>
        <w:pStyle w:val="ListBullet"/>
        <w:numPr>
          <w:ilvl w:val="0"/>
          <w:numId w:val="1"/>
        </w:numPr>
        <w:spacing w:before="0" w:after="20"/>
        <w:ind w:hanging="360" w:start="255"/>
        <w:contextualSpacing/>
        <w:rPr/>
      </w:pPr>
      <w:r>
        <w:rPr>
          <w:sz w:val="17"/>
        </w:rPr>
        <w:t>Menu autonome</w:t>
      </w:r>
    </w:p>
    <w:p>
      <w:pPr>
        <w:pStyle w:val="ListBullet"/>
        <w:numPr>
          <w:ilvl w:val="0"/>
          <w:numId w:val="1"/>
        </w:numPr>
        <w:spacing w:before="0" w:after="20"/>
        <w:ind w:hanging="360" w:start="255"/>
        <w:contextualSpacing/>
        <w:rPr/>
      </w:pPr>
      <w:r>
        <w:rPr>
          <w:sz w:val="17"/>
        </w:rPr>
        <w:t>Aucun sous-menu visible</w:t>
      </w:r>
    </w:p>
    <w:p>
      <w:pPr>
        <w:pStyle w:val="ListBullet"/>
        <w:numPr>
          <w:ilvl w:val="0"/>
          <w:numId w:val="1"/>
        </w:numPr>
        <w:spacing w:before="0" w:after="20"/>
        <w:ind w:hanging="360" w:start="255"/>
        <w:contextualSpacing/>
        <w:rPr/>
      </w:pPr>
      <w:r>
        <w:rPr>
          <w:sz w:val="17"/>
        </w:rPr>
        <w:t>Positionné près de Qualité et engagements</w:t>
      </w:r>
    </w:p>
    <w:p>
      <w:pPr>
        <w:pStyle w:val="ListBullet"/>
        <w:numPr>
          <w:ilvl w:val="0"/>
          <w:numId w:val="1"/>
        </w:numPr>
        <w:spacing w:before="0" w:after="20"/>
        <w:ind w:hanging="360" w:start="255"/>
        <w:contextualSpacing/>
        <w:rPr/>
      </w:pPr>
      <w:r>
        <w:rPr>
          <w:sz w:val="17"/>
        </w:rPr>
        <w:t>Accès direct depuis la navigation principale</w:t>
      </w:r>
    </w:p>
    <w:p>
      <w:pPr>
        <w:pStyle w:val="Heading3"/>
        <w:rPr/>
      </w:pPr>
      <w:r>
        <w:rPr/>
        <w:t>Banque de questions-réponses</w:t>
      </w:r>
    </w:p>
    <w:p>
      <w:pPr>
        <w:pStyle w:val="Normal"/>
        <w:keepNext w:val="true"/>
        <w:spacing w:before="40" w:after="0"/>
        <w:ind w:start="68"/>
        <w:rPr/>
      </w:pPr>
      <w:r>
        <w:rPr>
          <w:b/>
          <w:color w:val="0B3D91"/>
          <w:sz w:val="17"/>
        </w:rPr>
        <w:t>Q1. Que signifie ou présente « Architecture du menu « Veille officielle » » ?</w:t>
      </w:r>
    </w:p>
    <w:p>
      <w:pPr>
        <w:pStyle w:val="Normal"/>
        <w:spacing w:before="0" w:after="40"/>
        <w:ind w:start="255"/>
        <w:rPr/>
      </w:pPr>
      <w:r>
        <w:rPr>
          <w:b/>
          <w:color w:val="D4A017"/>
          <w:sz w:val="16"/>
        </w:rPr>
        <w:t xml:space="preserve">Réponse : </w:t>
      </w:r>
      <w:r>
        <w:rPr>
          <w:color w:val="1F2937"/>
          <w:sz w:val="16"/>
        </w:rPr>
        <w:t>Le menu donne accès à la page publique qui explique comment l’école suit et analyse les publications officielles.</w:t>
      </w:r>
    </w:p>
    <w:p>
      <w:pPr>
        <w:pStyle w:val="Normal"/>
        <w:keepNext w:val="true"/>
        <w:spacing w:before="40" w:after="0"/>
        <w:ind w:start="68"/>
        <w:rPr/>
      </w:pPr>
      <w:r>
        <w:rPr>
          <w:b/>
          <w:color w:val="0B3D91"/>
          <w:sz w:val="17"/>
        </w:rPr>
        <w:t>Q2. Pourquoi « Architecture du menu « Veille officielle » » figure-t-il dans la page de veille officielle ?</w:t>
      </w:r>
    </w:p>
    <w:p>
      <w:pPr>
        <w:pStyle w:val="Normal"/>
        <w:spacing w:before="0" w:after="40"/>
        <w:ind w:start="255"/>
        <w:rPr/>
      </w:pPr>
      <w:r>
        <w:rPr>
          <w:b/>
          <w:color w:val="D4A017"/>
          <w:sz w:val="16"/>
        </w:rPr>
        <w:t xml:space="preserve">Réponse : </w:t>
      </w:r>
      <w:r>
        <w:rPr>
          <w:color w:val="1F2937"/>
          <w:sz w:val="16"/>
        </w:rPr>
        <w:t>Offrir un point d’entrée unique pour comprendre la méthode de veille du GSE.</w:t>
      </w:r>
    </w:p>
    <w:p>
      <w:pPr>
        <w:pStyle w:val="Normal"/>
        <w:keepNext w:val="true"/>
        <w:spacing w:before="40" w:after="0"/>
        <w:ind w:start="68"/>
        <w:rPr/>
      </w:pPr>
      <w:r>
        <w:rPr>
          <w:b/>
          <w:color w:val="0B3D91"/>
          <w:sz w:val="17"/>
        </w:rPr>
        <w:t>Q3. Quels contenus ou objets sont concernés par « Architecture du menu « Veille officielle » » ?</w:t>
      </w:r>
    </w:p>
    <w:p>
      <w:pPr>
        <w:pStyle w:val="Normal"/>
        <w:spacing w:before="0" w:after="40"/>
        <w:ind w:start="255"/>
        <w:rPr/>
      </w:pPr>
      <w:r>
        <w:rPr>
          <w:b/>
          <w:color w:val="D4A017"/>
          <w:sz w:val="16"/>
        </w:rPr>
        <w:t xml:space="preserve">Réponse : </w:t>
      </w:r>
      <w:r>
        <w:rPr>
          <w:color w:val="1F2937"/>
          <w:sz w:val="16"/>
        </w:rPr>
        <w:t>Une page autonome, sans sous-menu actuellement visible.</w:t>
      </w:r>
    </w:p>
    <w:p>
      <w:pPr>
        <w:pStyle w:val="Normal"/>
        <w:keepNext w:val="true"/>
        <w:spacing w:before="40" w:after="0"/>
        <w:ind w:start="68"/>
        <w:rPr/>
      </w:pPr>
      <w:r>
        <w:rPr>
          <w:b/>
          <w:color w:val="0B3D91"/>
          <w:sz w:val="17"/>
        </w:rPr>
        <w:t>Q4. Quel acteur intervient dans « Architecture du menu « Veille officielle » » ?</w:t>
      </w:r>
    </w:p>
    <w:p>
      <w:pPr>
        <w:pStyle w:val="Normal"/>
        <w:spacing w:before="0" w:after="40"/>
        <w:ind w:start="255"/>
        <w:rPr/>
      </w:pPr>
      <w:r>
        <w:rPr>
          <w:b/>
          <w:color w:val="D4A017"/>
          <w:sz w:val="16"/>
        </w:rPr>
        <w:t xml:space="preserve">Réponse : </w:t>
      </w:r>
      <w:r>
        <w:rPr>
          <w:color w:val="1F2937"/>
          <w:sz w:val="16"/>
        </w:rPr>
        <w:t>Le GROUPE SCOLAIRE LES ÉMINENTS porte la page et oriente ensuite vers les fonctions concernées.</w:t>
      </w:r>
    </w:p>
    <w:p>
      <w:pPr>
        <w:pStyle w:val="Normal"/>
        <w:keepNext w:val="true"/>
        <w:spacing w:before="40" w:after="0"/>
        <w:ind w:start="68"/>
        <w:rPr/>
      </w:pPr>
      <w:r>
        <w:rPr>
          <w:b/>
          <w:color w:val="0B3D91"/>
          <w:sz w:val="17"/>
        </w:rPr>
        <w:t>Q5. Comment « Architecture du menu « Veille officielle » » est-il mis en œuvre selon le texte publié ?</w:t>
      </w:r>
    </w:p>
    <w:p>
      <w:pPr>
        <w:pStyle w:val="Normal"/>
        <w:spacing w:before="0" w:after="40"/>
        <w:ind w:start="255"/>
        <w:rPr/>
      </w:pPr>
      <w:r>
        <w:rPr>
          <w:b/>
          <w:color w:val="D4A017"/>
          <w:sz w:val="16"/>
        </w:rPr>
        <w:t xml:space="preserve">Réponse : </w:t>
      </w:r>
      <w:r>
        <w:rPr>
          <w:color w:val="1F2937"/>
          <w:sz w:val="16"/>
        </w:rPr>
        <w:t>Le visiteur ouvre directement la page « Veille officielle » depuis le menu principal.</w:t>
      </w:r>
    </w:p>
    <w:p>
      <w:pPr>
        <w:pStyle w:val="Normal"/>
        <w:keepNext w:val="true"/>
        <w:spacing w:before="40" w:after="0"/>
        <w:ind w:start="68"/>
        <w:rPr/>
      </w:pPr>
      <w:r>
        <w:rPr>
          <w:b/>
          <w:color w:val="0B3D91"/>
          <w:sz w:val="17"/>
        </w:rPr>
        <w:t>Q6. Quelle trace, référence ou information vérifiable accompagne « Architecture du menu « Veille officielle » » ?</w:t>
      </w:r>
    </w:p>
    <w:p>
      <w:pPr>
        <w:pStyle w:val="Normal"/>
        <w:spacing w:before="0" w:after="40"/>
        <w:ind w:start="255"/>
        <w:rPr/>
      </w:pPr>
      <w:r>
        <w:rPr>
          <w:b/>
          <w:color w:val="D4A017"/>
          <w:sz w:val="16"/>
        </w:rPr>
        <w:t xml:space="preserve">Réponse : </w:t>
      </w:r>
      <w:r>
        <w:rPr>
          <w:color w:val="1F2937"/>
          <w:sz w:val="16"/>
        </w:rPr>
        <w:t>La navigation publique constitue la preuve de l’existence et du positionnement du menu.</w:t>
      </w:r>
    </w:p>
    <w:p>
      <w:pPr>
        <w:pStyle w:val="Normal"/>
        <w:keepNext w:val="true"/>
        <w:spacing w:before="40" w:after="0"/>
        <w:ind w:start="68"/>
        <w:rPr/>
      </w:pPr>
      <w:r>
        <w:rPr>
          <w:b/>
          <w:color w:val="0B3D91"/>
          <w:sz w:val="17"/>
        </w:rPr>
        <w:t>Q7. Quelle limite ou précaution est associée à « Architecture du menu « Veille officielle » » ?</w:t>
      </w:r>
    </w:p>
    <w:p>
      <w:pPr>
        <w:pStyle w:val="Normal"/>
        <w:spacing w:before="0" w:after="40"/>
        <w:ind w:start="255"/>
        <w:rPr/>
      </w:pPr>
      <w:r>
        <w:rPr>
          <w:b/>
          <w:color w:val="D4A017"/>
          <w:sz w:val="16"/>
        </w:rPr>
        <w:t xml:space="preserve">Réponse : </w:t>
      </w:r>
      <w:r>
        <w:rPr>
          <w:color w:val="1F2937"/>
          <w:sz w:val="16"/>
        </w:rPr>
        <w:t>L’absence de sous-menu signifie que les détails sont regroupés dans la page principale et ses liens associés.</w:t>
      </w:r>
    </w:p>
    <w:p>
      <w:pPr>
        <w:pStyle w:val="Normal"/>
        <w:keepNext w:val="true"/>
        <w:spacing w:before="40" w:after="0"/>
        <w:ind w:start="68"/>
        <w:rPr/>
      </w:pPr>
      <w:r>
        <w:rPr>
          <w:b/>
          <w:color w:val="0B3D91"/>
          <w:sz w:val="17"/>
        </w:rPr>
        <w:t>Q8. À qui « Architecture du menu « Veille officielle » » est-il utile ou destiné ?</w:t>
      </w:r>
    </w:p>
    <w:p>
      <w:pPr>
        <w:pStyle w:val="Normal"/>
        <w:spacing w:before="0" w:after="40"/>
        <w:ind w:start="255"/>
        <w:rPr/>
      </w:pPr>
      <w:r>
        <w:rPr>
          <w:b/>
          <w:color w:val="D4A017"/>
          <w:sz w:val="16"/>
        </w:rPr>
        <w:t xml:space="preserve">Réponse : </w:t>
      </w:r>
      <w:r>
        <w:rPr>
          <w:color w:val="1F2937"/>
          <w:sz w:val="16"/>
        </w:rPr>
        <w:t>Familles, personnels, partenaires, visiteurs et responsables souhaitant connaître la méthode de veille.</w:t>
      </w:r>
    </w:p>
    <w:p>
      <w:pPr>
        <w:pStyle w:val="Normal"/>
        <w:keepNext w:val="true"/>
        <w:spacing w:before="40" w:after="0"/>
        <w:ind w:start="68"/>
        <w:rPr/>
      </w:pPr>
      <w:r>
        <w:rPr>
          <w:b/>
          <w:color w:val="0B3D91"/>
          <w:sz w:val="17"/>
        </w:rPr>
        <w:t>Q9. À quelles autres rubriques ou fonctions « Architecture du menu « Veille officielle » » est-il relié ?</w:t>
      </w:r>
    </w:p>
    <w:p>
      <w:pPr>
        <w:pStyle w:val="Normal"/>
        <w:spacing w:before="0" w:after="40"/>
        <w:ind w:start="255"/>
        <w:rPr/>
      </w:pPr>
      <w:r>
        <w:rPr>
          <w:b/>
          <w:color w:val="D4A017"/>
          <w:sz w:val="16"/>
        </w:rPr>
        <w:t xml:space="preserve">Réponse : </w:t>
      </w:r>
      <w:r>
        <w:rPr>
          <w:color w:val="1F2937"/>
          <w:sz w:val="16"/>
        </w:rPr>
        <w:t>Le menu est relié à la qualité, à la documentation et à l’assistance institutionnelle.</w:t>
      </w:r>
    </w:p>
    <w:p>
      <w:pPr>
        <w:pStyle w:val="Normal"/>
        <w:keepNext w:val="true"/>
        <w:spacing w:before="40" w:after="0"/>
        <w:ind w:start="68"/>
        <w:rPr/>
      </w:pPr>
      <w:r>
        <w:rPr>
          <w:b/>
          <w:color w:val="0B3D91"/>
          <w:sz w:val="17"/>
        </w:rPr>
        <w:t>Q10. Quelle idée essentielle faut-il retenir de « Architecture du menu « Veille officielle » » ?</w:t>
      </w:r>
    </w:p>
    <w:p>
      <w:pPr>
        <w:pStyle w:val="Normal"/>
        <w:spacing w:before="0" w:after="40"/>
        <w:ind w:start="255"/>
        <w:rPr/>
      </w:pPr>
      <w:r>
        <w:rPr>
          <w:b/>
          <w:color w:val="D4A017"/>
          <w:sz w:val="16"/>
        </w:rPr>
        <w:t xml:space="preserve">Réponse : </w:t>
      </w:r>
      <w:r>
        <w:rPr>
          <w:color w:val="1F2937"/>
          <w:sz w:val="16"/>
        </w:rPr>
        <w:t>La veille officielle est un service transversal autonome, et non une rubrique d’actualité ordinaire.</w:t>
      </w:r>
    </w:p>
    <w:p>
      <w:pPr>
        <w:pStyle w:val="Normal"/>
        <w:rPr/>
      </w:pPr>
      <w:r>
        <w:rPr/>
      </w:r>
      <w:r>
        <w:br w:type="page"/>
      </w:r>
    </w:p>
    <w:p>
      <w:pPr>
        <w:pStyle w:val="Heading2"/>
        <w:spacing w:before="0" w:after="80"/>
        <w:rPr/>
      </w:pPr>
      <w:r>
        <w:rPr/>
        <w:t>FICHE 02 — Veille officielle</w:t>
      </w:r>
    </w:p>
    <w:p>
      <w:pPr>
        <w:pStyle w:val="Normal"/>
        <w:spacing w:before="20" w:after="80"/>
        <w:rPr/>
      </w:pPr>
      <w:r>
        <w:rPr>
          <w:b/>
          <w:color w:val="0B3D91"/>
          <w:sz w:val="16"/>
        </w:rPr>
        <w:t xml:space="preserve">Source contrôlée : </w:t>
      </w:r>
      <w:r>
        <w:rPr>
          <w:color w:val="555555"/>
          <w:sz w:val="16"/>
        </w:rPr>
        <w:t>Page Veille officielle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porte le titre « Veille officielle » et présente les principes publics de suivi des publications officielles et d’analyse d’impact, sans adoption automatique.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distingue une surveillance institutionnelle fondée sur des sources officielles.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permet à l’école de montrer qu’elle observe les évolutions utiles tout en gardant une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les autorités, organismes de référence, Direction, DAQAC, ÉMINA et départements opérationnels.</w:t>
            </w:r>
          </w:p>
        </w:tc>
      </w:tr>
    </w:tbl>
    <w:p>
      <w:pPr>
        <w:pStyle w:val="Heading3"/>
        <w:rPr/>
      </w:pPr>
      <w:r>
        <w:rPr/>
        <w:t>Points développés</w:t>
      </w:r>
    </w:p>
    <w:p>
      <w:pPr>
        <w:pStyle w:val="ListBullet"/>
        <w:numPr>
          <w:ilvl w:val="0"/>
          <w:numId w:val="1"/>
        </w:numPr>
        <w:spacing w:before="0" w:after="20"/>
        <w:ind w:hanging="360" w:start="255"/>
        <w:contextualSpacing/>
        <w:rPr/>
      </w:pPr>
      <w:r>
        <w:rPr>
          <w:sz w:val="17"/>
        </w:rPr>
        <w:t>Suivi des publications officielles</w:t>
      </w:r>
    </w:p>
    <w:p>
      <w:pPr>
        <w:pStyle w:val="ListBullet"/>
        <w:numPr>
          <w:ilvl w:val="0"/>
          <w:numId w:val="1"/>
        </w:numPr>
        <w:spacing w:before="0" w:after="20"/>
        <w:ind w:hanging="360" w:start="255"/>
        <w:contextualSpacing/>
        <w:rPr/>
      </w:pPr>
      <w:r>
        <w:rPr>
          <w:sz w:val="17"/>
        </w:rPr>
        <w:t>Analyse d’impact</w:t>
      </w:r>
    </w:p>
    <w:p>
      <w:pPr>
        <w:pStyle w:val="ListBullet"/>
        <w:numPr>
          <w:ilvl w:val="0"/>
          <w:numId w:val="1"/>
        </w:numPr>
        <w:spacing w:before="0" w:after="20"/>
        <w:ind w:hanging="360" w:start="255"/>
        <w:contextualSpacing/>
        <w:rPr/>
      </w:pPr>
      <w:r>
        <w:rPr>
          <w:sz w:val="17"/>
        </w:rPr>
        <w:t>Absence d’adoption automatique</w:t>
      </w:r>
    </w:p>
    <w:p>
      <w:pPr>
        <w:pStyle w:val="ListBullet"/>
        <w:numPr>
          <w:ilvl w:val="0"/>
          <w:numId w:val="1"/>
        </w:numPr>
        <w:spacing w:before="0" w:after="20"/>
        <w:ind w:hanging="360" w:start="255"/>
        <w:contextualSpacing/>
        <w:rPr/>
      </w:pPr>
      <w:r>
        <w:rPr>
          <w:sz w:val="17"/>
        </w:rPr>
        <w:t>Validation humaine</w:t>
      </w:r>
    </w:p>
    <w:p>
      <w:pPr>
        <w:pStyle w:val="Heading3"/>
        <w:rPr/>
      </w:pPr>
      <w:r>
        <w:rPr/>
        <w:t>Banque de questions-réponses</w:t>
      </w:r>
    </w:p>
    <w:p>
      <w:pPr>
        <w:pStyle w:val="Normal"/>
        <w:keepNext w:val="true"/>
        <w:spacing w:before="40" w:after="0"/>
        <w:ind w:start="68"/>
        <w:rPr/>
      </w:pPr>
      <w:r>
        <w:rPr>
          <w:b/>
          <w:color w:val="0B3D91"/>
          <w:sz w:val="17"/>
        </w:rPr>
        <w:t>Q1. Que signifie ou présente « Veille officielle » ?</w:t>
      </w:r>
    </w:p>
    <w:p>
      <w:pPr>
        <w:pStyle w:val="Normal"/>
        <w:spacing w:before="0" w:after="40"/>
        <w:ind w:start="255"/>
        <w:rPr/>
      </w:pPr>
      <w:r>
        <w:rPr>
          <w:b/>
          <w:color w:val="D4A017"/>
          <w:sz w:val="16"/>
        </w:rPr>
        <w:t xml:space="preserve">Réponse : </w:t>
      </w:r>
      <w:r>
        <w:rPr>
          <w:color w:val="1F2937"/>
          <w:sz w:val="16"/>
        </w:rPr>
        <w:t>La veille officielle est le suivi organisé des publications utiles provenant de sources d’autorité ou de référence.</w:t>
      </w:r>
    </w:p>
    <w:p>
      <w:pPr>
        <w:pStyle w:val="Normal"/>
        <w:keepNext w:val="true"/>
        <w:spacing w:before="40" w:after="0"/>
        <w:ind w:start="68"/>
        <w:rPr/>
      </w:pPr>
      <w:r>
        <w:rPr>
          <w:b/>
          <w:color w:val="0B3D91"/>
          <w:sz w:val="17"/>
        </w:rPr>
        <w:t>Q2. Pourquoi « Veille officielle » figure-t-il dans la page de veille officielle ?</w:t>
      </w:r>
    </w:p>
    <w:p>
      <w:pPr>
        <w:pStyle w:val="Normal"/>
        <w:spacing w:before="0" w:after="40"/>
        <w:ind w:start="255"/>
        <w:rPr/>
      </w:pPr>
      <w:r>
        <w:rPr>
          <w:b/>
          <w:color w:val="D4A017"/>
          <w:sz w:val="16"/>
        </w:rPr>
        <w:t xml:space="preserve">Réponse : </w:t>
      </w:r>
      <w:r>
        <w:rPr>
          <w:color w:val="1F2937"/>
          <w:sz w:val="16"/>
        </w:rPr>
        <w:t>Informer le public sur la manière dont le GSE suit, vérifie et analyse les évolutions officielles.</w:t>
      </w:r>
    </w:p>
    <w:p>
      <w:pPr>
        <w:pStyle w:val="Normal"/>
        <w:keepNext w:val="true"/>
        <w:spacing w:before="40" w:after="0"/>
        <w:ind w:start="68"/>
        <w:rPr/>
      </w:pPr>
      <w:r>
        <w:rPr>
          <w:b/>
          <w:color w:val="0B3D91"/>
          <w:sz w:val="17"/>
        </w:rPr>
        <w:t>Q3. Quels contenus ou objets sont concernés par « Veille officielle » ?</w:t>
      </w:r>
    </w:p>
    <w:p>
      <w:pPr>
        <w:pStyle w:val="Normal"/>
        <w:spacing w:before="0" w:after="40"/>
        <w:ind w:start="255"/>
        <w:rPr/>
      </w:pPr>
      <w:r>
        <w:rPr>
          <w:b/>
          <w:color w:val="D4A017"/>
          <w:sz w:val="16"/>
        </w:rPr>
        <w:t xml:space="preserve">Réponse : </w:t>
      </w:r>
      <w:r>
        <w:rPr>
          <w:color w:val="1F2937"/>
          <w:sz w:val="16"/>
        </w:rPr>
        <w:t>Publications officielles, portée, date, impact potentiel, classement, validation et documentation associée.</w:t>
      </w:r>
    </w:p>
    <w:p>
      <w:pPr>
        <w:pStyle w:val="Normal"/>
        <w:keepNext w:val="true"/>
        <w:spacing w:before="40" w:after="0"/>
        <w:ind w:start="68"/>
        <w:rPr/>
      </w:pPr>
      <w:r>
        <w:rPr>
          <w:b/>
          <w:color w:val="0B3D91"/>
          <w:sz w:val="17"/>
        </w:rPr>
        <w:t>Q4. Quel acteur intervient dans « Veille officielle » ?</w:t>
      </w:r>
    </w:p>
    <w:p>
      <w:pPr>
        <w:pStyle w:val="Normal"/>
        <w:spacing w:before="0" w:after="40"/>
        <w:ind w:start="255"/>
        <w:rPr/>
      </w:pPr>
      <w:r>
        <w:rPr>
          <w:b/>
          <w:color w:val="D4A017"/>
          <w:sz w:val="16"/>
        </w:rPr>
        <w:t xml:space="preserve">Réponse : </w:t>
      </w:r>
      <w:r>
        <w:rPr>
          <w:color w:val="1F2937"/>
          <w:sz w:val="16"/>
        </w:rPr>
        <w:t>La Direction et les fonctions qualité encadrent le dispositif, avec participation des départements concernés.</w:t>
      </w:r>
    </w:p>
    <w:p>
      <w:pPr>
        <w:pStyle w:val="Normal"/>
        <w:keepNext w:val="true"/>
        <w:spacing w:before="40" w:after="0"/>
        <w:ind w:start="68"/>
        <w:rPr/>
      </w:pPr>
      <w:r>
        <w:rPr>
          <w:b/>
          <w:color w:val="0B3D91"/>
          <w:sz w:val="17"/>
        </w:rPr>
        <w:t>Q5. Comment « Veille officielle » est-il mis en œuvre selon le texte publié ?</w:t>
      </w:r>
    </w:p>
    <w:p>
      <w:pPr>
        <w:pStyle w:val="Normal"/>
        <w:spacing w:before="0" w:after="40"/>
        <w:ind w:start="255"/>
        <w:rPr/>
      </w:pPr>
      <w:r>
        <w:rPr>
          <w:b/>
          <w:color w:val="D4A017"/>
          <w:sz w:val="16"/>
        </w:rPr>
        <w:t xml:space="preserve">Réponse : </w:t>
      </w:r>
      <w:r>
        <w:rPr>
          <w:color w:val="1F2937"/>
          <w:sz w:val="16"/>
        </w:rPr>
        <w:t>La page expose une chaîne : surveiller, vérifier, analyser, transmettre et faire valider.</w:t>
      </w:r>
    </w:p>
    <w:p>
      <w:pPr>
        <w:pStyle w:val="Normal"/>
        <w:keepNext w:val="true"/>
        <w:spacing w:before="40" w:after="0"/>
        <w:ind w:start="68"/>
        <w:rPr/>
      </w:pPr>
      <w:r>
        <w:rPr>
          <w:b/>
          <w:color w:val="0B3D91"/>
          <w:sz w:val="17"/>
        </w:rPr>
        <w:t>Q6. Quelle trace, référence ou information vérifiable accompagne « Veille officielle » ?</w:t>
      </w:r>
    </w:p>
    <w:p>
      <w:pPr>
        <w:pStyle w:val="Normal"/>
        <w:spacing w:before="0" w:after="40"/>
        <w:ind w:start="255"/>
        <w:rPr/>
      </w:pPr>
      <w:r>
        <w:rPr>
          <w:b/>
          <w:color w:val="D4A017"/>
          <w:sz w:val="16"/>
        </w:rPr>
        <w:t xml:space="preserve">Réponse : </w:t>
      </w:r>
      <w:r>
        <w:rPr>
          <w:color w:val="1F2937"/>
          <w:sz w:val="16"/>
        </w:rPr>
        <w:t>Le titre et le texte introductif de la page constituent la référence publique.</w:t>
      </w:r>
    </w:p>
    <w:p>
      <w:pPr>
        <w:pStyle w:val="Normal"/>
        <w:keepNext w:val="true"/>
        <w:spacing w:before="40" w:after="0"/>
        <w:ind w:start="68"/>
        <w:rPr/>
      </w:pPr>
      <w:r>
        <w:rPr>
          <w:b/>
          <w:color w:val="0B3D91"/>
          <w:sz w:val="17"/>
        </w:rPr>
        <w:t>Q7. Quelle limite ou précaution est associée à « Veille officielle » ?</w:t>
      </w:r>
    </w:p>
    <w:p>
      <w:pPr>
        <w:pStyle w:val="Normal"/>
        <w:spacing w:before="0" w:after="40"/>
        <w:ind w:start="255"/>
        <w:rPr/>
      </w:pPr>
      <w:r>
        <w:rPr>
          <w:b/>
          <w:color w:val="D4A017"/>
          <w:sz w:val="16"/>
        </w:rPr>
        <w:t xml:space="preserve">Réponse : </w:t>
      </w:r>
      <w:r>
        <w:rPr>
          <w:color w:val="1F2937"/>
          <w:sz w:val="16"/>
        </w:rPr>
        <w:t>La veille ne vaut ni adoption automatique ni décision juridique ou institutionnelle.</w:t>
      </w:r>
    </w:p>
    <w:p>
      <w:pPr>
        <w:pStyle w:val="Normal"/>
        <w:keepNext w:val="true"/>
        <w:spacing w:before="40" w:after="0"/>
        <w:ind w:start="68"/>
        <w:rPr/>
      </w:pPr>
      <w:r>
        <w:rPr>
          <w:b/>
          <w:color w:val="0B3D91"/>
          <w:sz w:val="17"/>
        </w:rPr>
        <w:t>Q8. À qui « Veille officielle » est-il utile ou destiné ?</w:t>
      </w:r>
    </w:p>
    <w:p>
      <w:pPr>
        <w:pStyle w:val="Normal"/>
        <w:spacing w:before="0" w:after="40"/>
        <w:ind w:start="255"/>
        <w:rPr/>
      </w:pPr>
      <w:r>
        <w:rPr>
          <w:b/>
          <w:color w:val="D4A017"/>
          <w:sz w:val="16"/>
        </w:rPr>
        <w:t xml:space="preserve">Réponse : </w:t>
      </w:r>
      <w:r>
        <w:rPr>
          <w:color w:val="1F2937"/>
          <w:sz w:val="16"/>
        </w:rPr>
        <w:t>Toute personne qui veut comprendre comment l’école traite les évolutions officielles.</w:t>
      </w:r>
    </w:p>
    <w:p>
      <w:pPr>
        <w:pStyle w:val="Normal"/>
        <w:keepNext w:val="true"/>
        <w:spacing w:before="40" w:after="0"/>
        <w:ind w:start="68"/>
        <w:rPr/>
      </w:pPr>
      <w:r>
        <w:rPr>
          <w:b/>
          <w:color w:val="0B3D91"/>
          <w:sz w:val="17"/>
        </w:rPr>
        <w:t>Q9. À quelles autres rubriques ou fonctions « Veille officielle » est-il relié ?</w:t>
      </w:r>
    </w:p>
    <w:p>
      <w:pPr>
        <w:pStyle w:val="Normal"/>
        <w:spacing w:before="0" w:after="40"/>
        <w:ind w:start="255"/>
        <w:rPr/>
      </w:pPr>
      <w:r>
        <w:rPr>
          <w:b/>
          <w:color w:val="D4A017"/>
          <w:sz w:val="16"/>
        </w:rPr>
        <w:t xml:space="preserve">Réponse : </w:t>
      </w:r>
      <w:r>
        <w:rPr>
          <w:color w:val="1F2937"/>
          <w:sz w:val="16"/>
        </w:rPr>
        <w:t>La page est connectée à Documentation publique et Assurance qualité.</w:t>
      </w:r>
    </w:p>
    <w:p>
      <w:pPr>
        <w:pStyle w:val="Normal"/>
        <w:keepNext w:val="true"/>
        <w:spacing w:before="40" w:after="0"/>
        <w:ind w:start="68"/>
        <w:rPr/>
      </w:pPr>
      <w:r>
        <w:rPr>
          <w:b/>
          <w:color w:val="0B3D91"/>
          <w:sz w:val="17"/>
        </w:rPr>
        <w:t>Q10. Quelle idée essentielle faut-il retenir de « Veille officielle » ?</w:t>
      </w:r>
    </w:p>
    <w:p>
      <w:pPr>
        <w:pStyle w:val="Normal"/>
        <w:spacing w:before="0" w:after="40"/>
        <w:ind w:start="255"/>
        <w:rPr/>
      </w:pPr>
      <w:r>
        <w:rPr>
          <w:b/>
          <w:color w:val="D4A017"/>
          <w:sz w:val="16"/>
        </w:rPr>
        <w:t xml:space="preserve">Réponse : </w:t>
      </w:r>
      <w:r>
        <w:rPr>
          <w:color w:val="1F2937"/>
          <w:sz w:val="16"/>
        </w:rPr>
        <w:t>Suivre une publication officielle ne signifie pas l’adopter automatiquement.</w:t>
      </w:r>
    </w:p>
    <w:p>
      <w:pPr>
        <w:pStyle w:val="Normal"/>
        <w:rPr/>
      </w:pPr>
      <w:r>
        <w:rPr/>
      </w:r>
      <w:r>
        <w:br w:type="page"/>
      </w:r>
    </w:p>
    <w:p>
      <w:pPr>
        <w:pStyle w:val="Heading2"/>
        <w:spacing w:before="0" w:after="80"/>
        <w:rPr/>
      </w:pPr>
      <w:r>
        <w:rPr/>
        <w:t>FICHE 03 — Principes publics de suivi et d’analyse d’impact</w:t>
      </w:r>
    </w:p>
    <w:p>
      <w:pPr>
        <w:pStyle w:val="Normal"/>
        <w:spacing w:before="20" w:after="80"/>
        <w:rPr/>
      </w:pPr>
      <w:r>
        <w:rPr>
          <w:b/>
          <w:color w:val="0B3D91"/>
          <w:sz w:val="16"/>
        </w:rPr>
        <w:t xml:space="preserve">Source contrôlée : </w:t>
      </w:r>
      <w:r>
        <w:rPr>
          <w:color w:val="555555"/>
          <w:sz w:val="16"/>
        </w:rPr>
        <w:t>Introduction de page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L’introduction annonce des principes publics de suivi des publications officielles et d’analyse d’impact, sans adoption automatique.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explique immédiatement le périmètre : suivi, analyse et prudence décisionnelle.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rend la méthode lisible et protège l’école contre les interprétations trop rapides.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les publications officielles, l’analyse d’impact, la validation humaine et la documentation publique.</w:t>
            </w:r>
          </w:p>
        </w:tc>
      </w:tr>
    </w:tbl>
    <w:p>
      <w:pPr>
        <w:pStyle w:val="Heading3"/>
        <w:rPr/>
      </w:pPr>
      <w:r>
        <w:rPr/>
        <w:t>Points développés</w:t>
      </w:r>
    </w:p>
    <w:p>
      <w:pPr>
        <w:pStyle w:val="ListBullet"/>
        <w:numPr>
          <w:ilvl w:val="0"/>
          <w:numId w:val="1"/>
        </w:numPr>
        <w:spacing w:before="0" w:after="20"/>
        <w:ind w:hanging="360" w:start="255"/>
        <w:contextualSpacing/>
        <w:rPr/>
      </w:pPr>
      <w:r>
        <w:rPr>
          <w:sz w:val="17"/>
        </w:rPr>
        <w:t>Principes publics</w:t>
      </w:r>
    </w:p>
    <w:p>
      <w:pPr>
        <w:pStyle w:val="ListBullet"/>
        <w:numPr>
          <w:ilvl w:val="0"/>
          <w:numId w:val="1"/>
        </w:numPr>
        <w:spacing w:before="0" w:after="20"/>
        <w:ind w:hanging="360" w:start="255"/>
        <w:contextualSpacing/>
        <w:rPr/>
      </w:pPr>
      <w:r>
        <w:rPr>
          <w:sz w:val="17"/>
        </w:rPr>
        <w:t>Suivi</w:t>
      </w:r>
    </w:p>
    <w:p>
      <w:pPr>
        <w:pStyle w:val="ListBullet"/>
        <w:numPr>
          <w:ilvl w:val="0"/>
          <w:numId w:val="1"/>
        </w:numPr>
        <w:spacing w:before="0" w:after="20"/>
        <w:ind w:hanging="360" w:start="255"/>
        <w:contextualSpacing/>
        <w:rPr/>
      </w:pPr>
      <w:r>
        <w:rPr>
          <w:sz w:val="17"/>
        </w:rPr>
        <w:t>Analyse d’impact</w:t>
      </w:r>
    </w:p>
    <w:p>
      <w:pPr>
        <w:pStyle w:val="ListBullet"/>
        <w:numPr>
          <w:ilvl w:val="0"/>
          <w:numId w:val="1"/>
        </w:numPr>
        <w:spacing w:before="0" w:after="20"/>
        <w:ind w:hanging="360" w:start="255"/>
        <w:contextualSpacing/>
        <w:rPr/>
      </w:pPr>
      <w:r>
        <w:rPr>
          <w:sz w:val="17"/>
        </w:rPr>
        <w:t>Sans adoption automatique</w:t>
      </w:r>
    </w:p>
    <w:p>
      <w:pPr>
        <w:pStyle w:val="Heading3"/>
        <w:rPr/>
      </w:pPr>
      <w:r>
        <w:rPr/>
        <w:t>Banque de questions-réponses</w:t>
      </w:r>
    </w:p>
    <w:p>
      <w:pPr>
        <w:pStyle w:val="Normal"/>
        <w:keepNext w:val="true"/>
        <w:spacing w:before="40" w:after="0"/>
        <w:ind w:start="68"/>
        <w:rPr/>
      </w:pPr>
      <w:r>
        <w:rPr>
          <w:b/>
          <w:color w:val="0B3D91"/>
          <w:sz w:val="17"/>
        </w:rPr>
        <w:t>Q1. Que signifie ou présente « Principes publics de suivi et d’analyse d’impact » ?</w:t>
      </w:r>
    </w:p>
    <w:p>
      <w:pPr>
        <w:pStyle w:val="Normal"/>
        <w:spacing w:before="0" w:after="40"/>
        <w:ind w:start="255"/>
        <w:rPr/>
      </w:pPr>
      <w:r>
        <w:rPr>
          <w:b/>
          <w:color w:val="D4A017"/>
          <w:sz w:val="16"/>
        </w:rPr>
        <w:t xml:space="preserve">Réponse : </w:t>
      </w:r>
      <w:r>
        <w:rPr>
          <w:color w:val="1F2937"/>
          <w:sz w:val="16"/>
        </w:rPr>
        <w:t>Il s’agit des règles rendues publiques pour observer une source et apprécier ses effets possibles.</w:t>
      </w:r>
    </w:p>
    <w:p>
      <w:pPr>
        <w:pStyle w:val="Normal"/>
        <w:keepNext w:val="true"/>
        <w:spacing w:before="40" w:after="0"/>
        <w:ind w:start="68"/>
        <w:rPr/>
      </w:pPr>
      <w:r>
        <w:rPr>
          <w:b/>
          <w:color w:val="0B3D91"/>
          <w:sz w:val="17"/>
        </w:rPr>
        <w:t>Q2. Pourquoi « Principes publics de suivi et d’analyse d’impact » figure-t-il dans la page de veille officielle ?</w:t>
      </w:r>
    </w:p>
    <w:p>
      <w:pPr>
        <w:pStyle w:val="Normal"/>
        <w:spacing w:before="0" w:after="40"/>
        <w:ind w:start="255"/>
        <w:rPr/>
      </w:pPr>
      <w:r>
        <w:rPr>
          <w:b/>
          <w:color w:val="D4A017"/>
          <w:sz w:val="16"/>
        </w:rPr>
        <w:t xml:space="preserve">Réponse : </w:t>
      </w:r>
      <w:r>
        <w:rPr>
          <w:color w:val="1F2937"/>
          <w:sz w:val="16"/>
        </w:rPr>
        <w:t>Clarifier ce que fait la veille et ce qu’elle ne fait pas.</w:t>
      </w:r>
    </w:p>
    <w:p>
      <w:pPr>
        <w:pStyle w:val="Normal"/>
        <w:keepNext w:val="true"/>
        <w:spacing w:before="40" w:after="0"/>
        <w:ind w:start="68"/>
        <w:rPr/>
      </w:pPr>
      <w:r>
        <w:rPr>
          <w:b/>
          <w:color w:val="0B3D91"/>
          <w:sz w:val="17"/>
        </w:rPr>
        <w:t>Q3. Quels contenus ou objets sont concernés par « Principes publics de suivi et d’analyse d’impact » ?</w:t>
      </w:r>
    </w:p>
    <w:p>
      <w:pPr>
        <w:pStyle w:val="Normal"/>
        <w:spacing w:before="0" w:after="40"/>
        <w:ind w:start="255"/>
        <w:rPr/>
      </w:pPr>
      <w:r>
        <w:rPr>
          <w:b/>
          <w:color w:val="D4A017"/>
          <w:sz w:val="16"/>
        </w:rPr>
        <w:t xml:space="preserve">Réponse : </w:t>
      </w:r>
      <w:r>
        <w:rPr>
          <w:color w:val="1F2937"/>
          <w:sz w:val="16"/>
        </w:rPr>
        <w:t>Suivi des publications, analyse d’impact et refus de l’adoption automatique.</w:t>
      </w:r>
    </w:p>
    <w:p>
      <w:pPr>
        <w:pStyle w:val="Normal"/>
        <w:keepNext w:val="true"/>
        <w:spacing w:before="40" w:after="0"/>
        <w:ind w:start="68"/>
        <w:rPr/>
      </w:pPr>
      <w:r>
        <w:rPr>
          <w:b/>
          <w:color w:val="0B3D91"/>
          <w:sz w:val="17"/>
        </w:rPr>
        <w:t>Q4. Quel acteur intervient dans « Principes publics de suivi et d’analyse d’impact » ?</w:t>
      </w:r>
    </w:p>
    <w:p>
      <w:pPr>
        <w:pStyle w:val="Normal"/>
        <w:spacing w:before="0" w:after="40"/>
        <w:ind w:start="255"/>
        <w:rPr/>
      </w:pPr>
      <w:r>
        <w:rPr>
          <w:b/>
          <w:color w:val="D4A017"/>
          <w:sz w:val="16"/>
        </w:rPr>
        <w:t xml:space="preserve">Réponse : </w:t>
      </w:r>
      <w:r>
        <w:rPr>
          <w:color w:val="1F2937"/>
          <w:sz w:val="16"/>
        </w:rPr>
        <w:t>Le GSE présente ces principes au public et les applique par ses responsables habilités.</w:t>
      </w:r>
    </w:p>
    <w:p>
      <w:pPr>
        <w:pStyle w:val="Normal"/>
        <w:keepNext w:val="true"/>
        <w:spacing w:before="40" w:after="0"/>
        <w:ind w:start="68"/>
        <w:rPr/>
      </w:pPr>
      <w:r>
        <w:rPr>
          <w:b/>
          <w:color w:val="0B3D91"/>
          <w:sz w:val="17"/>
        </w:rPr>
        <w:t>Q5. Comment « Principes publics de suivi et d’analyse d’impact » est-il mis en œuvre selon le texte publié ?</w:t>
      </w:r>
    </w:p>
    <w:p>
      <w:pPr>
        <w:pStyle w:val="Normal"/>
        <w:spacing w:before="0" w:after="40"/>
        <w:ind w:start="255"/>
        <w:rPr/>
      </w:pPr>
      <w:r>
        <w:rPr>
          <w:b/>
          <w:color w:val="D4A017"/>
          <w:sz w:val="16"/>
        </w:rPr>
        <w:t xml:space="preserve">Réponse : </w:t>
      </w:r>
      <w:r>
        <w:rPr>
          <w:color w:val="1F2937"/>
          <w:sz w:val="16"/>
        </w:rPr>
        <w:t>Les publications sont repérées puis analysées avant toute décision.</w:t>
      </w:r>
    </w:p>
    <w:p>
      <w:pPr>
        <w:pStyle w:val="Normal"/>
        <w:keepNext w:val="true"/>
        <w:spacing w:before="40" w:after="0"/>
        <w:ind w:start="68"/>
        <w:rPr/>
      </w:pPr>
      <w:r>
        <w:rPr>
          <w:b/>
          <w:color w:val="0B3D91"/>
          <w:sz w:val="17"/>
        </w:rPr>
        <w:t>Q6. Quelle trace, référence ou information vérifiable accompagne « Principes publics de suivi et d’analyse d’impact » ?</w:t>
      </w:r>
    </w:p>
    <w:p>
      <w:pPr>
        <w:pStyle w:val="Normal"/>
        <w:spacing w:before="0" w:after="40"/>
        <w:ind w:start="255"/>
        <w:rPr/>
      </w:pPr>
      <w:r>
        <w:rPr>
          <w:b/>
          <w:color w:val="D4A017"/>
          <w:sz w:val="16"/>
        </w:rPr>
        <w:t xml:space="preserve">Réponse : </w:t>
      </w:r>
      <w:r>
        <w:rPr>
          <w:color w:val="1F2937"/>
          <w:sz w:val="16"/>
        </w:rPr>
        <w:t>Le texte introductif placé sous le titre de page sert de formulation de référence.</w:t>
      </w:r>
    </w:p>
    <w:p>
      <w:pPr>
        <w:pStyle w:val="Normal"/>
        <w:keepNext w:val="true"/>
        <w:spacing w:before="40" w:after="0"/>
        <w:ind w:start="68"/>
        <w:rPr/>
      </w:pPr>
      <w:r>
        <w:rPr>
          <w:b/>
          <w:color w:val="0B3D91"/>
          <w:sz w:val="17"/>
        </w:rPr>
        <w:t>Q7. Quelle limite ou précaution est associée à « Principes publics de suivi et d’analyse d’impact » ?</w:t>
      </w:r>
    </w:p>
    <w:p>
      <w:pPr>
        <w:pStyle w:val="Normal"/>
        <w:spacing w:before="0" w:after="40"/>
        <w:ind w:start="255"/>
        <w:rPr/>
      </w:pPr>
      <w:r>
        <w:rPr>
          <w:b/>
          <w:color w:val="D4A017"/>
          <w:sz w:val="16"/>
        </w:rPr>
        <w:t xml:space="preserve">Réponse : </w:t>
      </w:r>
      <w:r>
        <w:rPr>
          <w:color w:val="1F2937"/>
          <w:sz w:val="16"/>
        </w:rPr>
        <w:t>L’analyse d’impact n’est pas une décision d’adoption.</w:t>
      </w:r>
    </w:p>
    <w:p>
      <w:pPr>
        <w:pStyle w:val="Normal"/>
        <w:keepNext w:val="true"/>
        <w:spacing w:before="40" w:after="0"/>
        <w:ind w:start="68"/>
        <w:rPr/>
      </w:pPr>
      <w:r>
        <w:rPr>
          <w:b/>
          <w:color w:val="0B3D91"/>
          <w:sz w:val="17"/>
        </w:rPr>
        <w:t>Q8. À qui « Principes publics de suivi et d’analyse d’impact » est-il utile ou destiné ?</w:t>
      </w:r>
    </w:p>
    <w:p>
      <w:pPr>
        <w:pStyle w:val="Normal"/>
        <w:spacing w:before="0" w:after="40"/>
        <w:ind w:start="255"/>
        <w:rPr/>
      </w:pPr>
      <w:r>
        <w:rPr>
          <w:b/>
          <w:color w:val="D4A017"/>
          <w:sz w:val="16"/>
        </w:rPr>
        <w:t xml:space="preserve">Réponse : </w:t>
      </w:r>
      <w:r>
        <w:rPr>
          <w:color w:val="1F2937"/>
          <w:sz w:val="16"/>
        </w:rPr>
        <w:t>Public externe et personnel interne ayant besoin d’une compréhension commune.</w:t>
      </w:r>
    </w:p>
    <w:p>
      <w:pPr>
        <w:pStyle w:val="Normal"/>
        <w:keepNext w:val="true"/>
        <w:spacing w:before="40" w:after="0"/>
        <w:ind w:start="68"/>
        <w:rPr/>
      </w:pPr>
      <w:r>
        <w:rPr>
          <w:b/>
          <w:color w:val="0B3D91"/>
          <w:sz w:val="17"/>
        </w:rPr>
        <w:t>Q9. À quelles autres rubriques ou fonctions « Principes publics de suivi et d’analyse d’impact » est-il relié ?</w:t>
      </w:r>
    </w:p>
    <w:p>
      <w:pPr>
        <w:pStyle w:val="Normal"/>
        <w:spacing w:before="0" w:after="40"/>
        <w:ind w:start="255"/>
        <w:rPr/>
      </w:pPr>
      <w:r>
        <w:rPr>
          <w:b/>
          <w:color w:val="D4A017"/>
          <w:sz w:val="16"/>
        </w:rPr>
        <w:t xml:space="preserve">Réponse : </w:t>
      </w:r>
      <w:r>
        <w:rPr>
          <w:color w:val="1F2937"/>
          <w:sz w:val="16"/>
        </w:rPr>
        <w:t>Ces principes structurent toutes les sections suivantes de la page.</w:t>
      </w:r>
    </w:p>
    <w:p>
      <w:pPr>
        <w:pStyle w:val="Normal"/>
        <w:keepNext w:val="true"/>
        <w:spacing w:before="40" w:after="0"/>
        <w:ind w:start="68"/>
        <w:rPr/>
      </w:pPr>
      <w:r>
        <w:rPr>
          <w:b/>
          <w:color w:val="0B3D91"/>
          <w:sz w:val="17"/>
        </w:rPr>
        <w:t>Q10. Quelle idée essentielle faut-il retenir de « Principes publics de suivi et d’analyse d’impact » ?</w:t>
      </w:r>
    </w:p>
    <w:p>
      <w:pPr>
        <w:pStyle w:val="Normal"/>
        <w:spacing w:before="0" w:after="40"/>
        <w:ind w:start="255"/>
        <w:rPr/>
      </w:pPr>
      <w:r>
        <w:rPr>
          <w:b/>
          <w:color w:val="D4A017"/>
          <w:sz w:val="16"/>
        </w:rPr>
        <w:t xml:space="preserve">Réponse : </w:t>
      </w:r>
      <w:r>
        <w:rPr>
          <w:color w:val="1F2937"/>
          <w:sz w:val="16"/>
        </w:rPr>
        <w:t>La veille est informative et préparatoire ; la décision reste humaine et encadrée.</w:t>
      </w:r>
    </w:p>
    <w:p>
      <w:pPr>
        <w:pStyle w:val="Normal"/>
        <w:rPr/>
      </w:pPr>
      <w:r>
        <w:rPr/>
      </w:r>
      <w:r>
        <w:br w:type="page"/>
      </w:r>
    </w:p>
    <w:p>
      <w:pPr>
        <w:pStyle w:val="Heading2"/>
        <w:spacing w:before="0" w:after="80"/>
        <w:rPr/>
      </w:pPr>
      <w:r>
        <w:rPr/>
        <w:t>FICHE 04 — Surveiller sans adopter automatiquement</w:t>
      </w:r>
    </w:p>
    <w:p>
      <w:pPr>
        <w:pStyle w:val="Normal"/>
        <w:spacing w:before="20" w:after="80"/>
        <w:rPr/>
      </w:pPr>
      <w:r>
        <w:rPr>
          <w:b/>
          <w:color w:val="0B3D91"/>
          <w:sz w:val="16"/>
        </w:rPr>
        <w:t xml:space="preserve">Source contrôlée : </w:t>
      </w:r>
      <w:r>
        <w:rPr>
          <w:color w:val="555555"/>
          <w:sz w:val="16"/>
        </w:rPr>
        <w:t>Visuel institutionnel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Le visuel institutionnel affiche : « Surveiller sans adopter automatiquement ».</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résume la différence entre observer une évolution et la transformer immédiatement en règle interne.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protège la gouvernance, la conformité et la stabilité des procédures du GSE.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la validation humaine, l’analyse d’impact, les responsables habilités et les départements concernés.</w:t>
            </w:r>
          </w:p>
        </w:tc>
      </w:tr>
    </w:tbl>
    <w:p>
      <w:pPr>
        <w:pStyle w:val="Heading3"/>
        <w:rPr/>
      </w:pPr>
      <w:r>
        <w:rPr/>
        <w:t>Points développés</w:t>
      </w:r>
    </w:p>
    <w:p>
      <w:pPr>
        <w:pStyle w:val="ListBullet"/>
        <w:numPr>
          <w:ilvl w:val="0"/>
          <w:numId w:val="1"/>
        </w:numPr>
        <w:spacing w:before="0" w:after="20"/>
        <w:ind w:hanging="360" w:start="255"/>
        <w:contextualSpacing/>
        <w:rPr/>
      </w:pPr>
      <w:r>
        <w:rPr>
          <w:sz w:val="17"/>
        </w:rPr>
        <w:t>Surveillance</w:t>
      </w:r>
    </w:p>
    <w:p>
      <w:pPr>
        <w:pStyle w:val="ListBullet"/>
        <w:numPr>
          <w:ilvl w:val="0"/>
          <w:numId w:val="1"/>
        </w:numPr>
        <w:spacing w:before="0" w:after="20"/>
        <w:ind w:hanging="360" w:start="255"/>
        <w:contextualSpacing/>
        <w:rPr/>
      </w:pPr>
      <w:r>
        <w:rPr>
          <w:sz w:val="17"/>
        </w:rPr>
        <w:t>Absence d’automatisme</w:t>
      </w:r>
    </w:p>
    <w:p>
      <w:pPr>
        <w:pStyle w:val="ListBullet"/>
        <w:numPr>
          <w:ilvl w:val="0"/>
          <w:numId w:val="1"/>
        </w:numPr>
        <w:spacing w:before="0" w:after="20"/>
        <w:ind w:hanging="360" w:start="255"/>
        <w:contextualSpacing/>
        <w:rPr/>
      </w:pPr>
      <w:r>
        <w:rPr>
          <w:sz w:val="17"/>
        </w:rPr>
        <w:t>Analyse préalable</w:t>
      </w:r>
    </w:p>
    <w:p>
      <w:pPr>
        <w:pStyle w:val="ListBullet"/>
        <w:numPr>
          <w:ilvl w:val="0"/>
          <w:numId w:val="1"/>
        </w:numPr>
        <w:spacing w:before="0" w:after="20"/>
        <w:ind w:hanging="360" w:start="255"/>
        <w:contextualSpacing/>
        <w:rPr/>
      </w:pPr>
      <w:r>
        <w:rPr>
          <w:sz w:val="17"/>
        </w:rPr>
        <w:t>Validation humaine</w:t>
      </w:r>
    </w:p>
    <w:p>
      <w:pPr>
        <w:pStyle w:val="Heading3"/>
        <w:rPr/>
      </w:pPr>
      <w:r>
        <w:rPr/>
        <w:t>Banque de questions-réponses</w:t>
      </w:r>
    </w:p>
    <w:p>
      <w:pPr>
        <w:pStyle w:val="Normal"/>
        <w:keepNext w:val="true"/>
        <w:spacing w:before="40" w:after="0"/>
        <w:ind w:start="68"/>
        <w:rPr/>
      </w:pPr>
      <w:r>
        <w:rPr>
          <w:b/>
          <w:color w:val="0B3D91"/>
          <w:sz w:val="17"/>
        </w:rPr>
        <w:t>Q1. Que signifie ou présente « Surveiller sans adopter automatiquement » ?</w:t>
      </w:r>
    </w:p>
    <w:p>
      <w:pPr>
        <w:pStyle w:val="Normal"/>
        <w:spacing w:before="0" w:after="40"/>
        <w:ind w:start="255"/>
        <w:rPr/>
      </w:pPr>
      <w:r>
        <w:rPr>
          <w:b/>
          <w:color w:val="D4A017"/>
          <w:sz w:val="16"/>
        </w:rPr>
        <w:t xml:space="preserve">Réponse : </w:t>
      </w:r>
      <w:r>
        <w:rPr>
          <w:color w:val="1F2937"/>
          <w:sz w:val="16"/>
        </w:rPr>
        <w:t>Surveiller signifie suivre les publications ; ne pas adopter automatiquement signifie attendre l’analyse et la validation.</w:t>
      </w:r>
    </w:p>
    <w:p>
      <w:pPr>
        <w:pStyle w:val="Normal"/>
        <w:keepNext w:val="true"/>
        <w:spacing w:before="40" w:after="0"/>
        <w:ind w:start="68"/>
        <w:rPr/>
      </w:pPr>
      <w:r>
        <w:rPr>
          <w:b/>
          <w:color w:val="0B3D91"/>
          <w:sz w:val="17"/>
        </w:rPr>
        <w:t>Q2. Pourquoi « Surveiller sans adopter automatiquement » figure-t-il dans la page de veille officielle ?</w:t>
      </w:r>
    </w:p>
    <w:p>
      <w:pPr>
        <w:pStyle w:val="Normal"/>
        <w:spacing w:before="0" w:after="40"/>
        <w:ind w:start="255"/>
        <w:rPr/>
      </w:pPr>
      <w:r>
        <w:rPr>
          <w:b/>
          <w:color w:val="D4A017"/>
          <w:sz w:val="16"/>
        </w:rPr>
        <w:t xml:space="preserve">Réponse : </w:t>
      </w:r>
      <w:r>
        <w:rPr>
          <w:color w:val="1F2937"/>
          <w:sz w:val="16"/>
        </w:rPr>
        <w:t>Présenter en une formule courte la règle de prudence de la veille.</w:t>
      </w:r>
    </w:p>
    <w:p>
      <w:pPr>
        <w:pStyle w:val="Normal"/>
        <w:keepNext w:val="true"/>
        <w:spacing w:before="40" w:after="0"/>
        <w:ind w:start="68"/>
        <w:rPr/>
      </w:pPr>
      <w:r>
        <w:rPr>
          <w:b/>
          <w:color w:val="0B3D91"/>
          <w:sz w:val="17"/>
        </w:rPr>
        <w:t>Q3. Quels contenus ou objets sont concernés par « Surveiller sans adopter automatiquement » ?</w:t>
      </w:r>
    </w:p>
    <w:p>
      <w:pPr>
        <w:pStyle w:val="Normal"/>
        <w:spacing w:before="0" w:after="40"/>
        <w:ind w:start="255"/>
        <w:rPr/>
      </w:pPr>
      <w:r>
        <w:rPr>
          <w:b/>
          <w:color w:val="D4A017"/>
          <w:sz w:val="16"/>
        </w:rPr>
        <w:t xml:space="preserve">Réponse : </w:t>
      </w:r>
      <w:r>
        <w:rPr>
          <w:color w:val="1F2937"/>
          <w:sz w:val="16"/>
        </w:rPr>
        <w:t>Observation des publications et interdiction d’une application automatique.</w:t>
      </w:r>
    </w:p>
    <w:p>
      <w:pPr>
        <w:pStyle w:val="Normal"/>
        <w:keepNext w:val="true"/>
        <w:spacing w:before="40" w:after="0"/>
        <w:ind w:start="68"/>
        <w:rPr/>
      </w:pPr>
      <w:r>
        <w:rPr>
          <w:b/>
          <w:color w:val="0B3D91"/>
          <w:sz w:val="17"/>
        </w:rPr>
        <w:t>Q4. Quel acteur intervient dans « Surveiller sans adopter automatiquement » ?</w:t>
      </w:r>
    </w:p>
    <w:p>
      <w:pPr>
        <w:pStyle w:val="Normal"/>
        <w:spacing w:before="0" w:after="40"/>
        <w:ind w:start="255"/>
        <w:rPr/>
      </w:pPr>
      <w:r>
        <w:rPr>
          <w:b/>
          <w:color w:val="D4A017"/>
          <w:sz w:val="16"/>
        </w:rPr>
        <w:t xml:space="preserve">Réponse : </w:t>
      </w:r>
      <w:r>
        <w:rPr>
          <w:color w:val="1F2937"/>
          <w:sz w:val="16"/>
        </w:rPr>
        <w:t>Les personnes habilitées conservent le pouvoir de validation et de décision.</w:t>
      </w:r>
    </w:p>
    <w:p>
      <w:pPr>
        <w:pStyle w:val="Normal"/>
        <w:keepNext w:val="true"/>
        <w:spacing w:before="40" w:after="0"/>
        <w:ind w:start="68"/>
        <w:rPr/>
      </w:pPr>
      <w:r>
        <w:rPr>
          <w:b/>
          <w:color w:val="0B3D91"/>
          <w:sz w:val="17"/>
        </w:rPr>
        <w:t>Q5. Comment « Surveiller sans adopter automatiquement » est-il mis en œuvre selon le texte publié ?</w:t>
      </w:r>
    </w:p>
    <w:p>
      <w:pPr>
        <w:pStyle w:val="Normal"/>
        <w:spacing w:before="0" w:after="40"/>
        <w:ind w:start="255"/>
        <w:rPr/>
      </w:pPr>
      <w:r>
        <w:rPr>
          <w:b/>
          <w:color w:val="D4A017"/>
          <w:sz w:val="16"/>
        </w:rPr>
        <w:t xml:space="preserve">Réponse : </w:t>
      </w:r>
      <w:r>
        <w:rPr>
          <w:color w:val="1F2937"/>
          <w:sz w:val="16"/>
        </w:rPr>
        <w:t>La publication est qualifiée et analysée avant d’être soumise à validation humaine.</w:t>
      </w:r>
    </w:p>
    <w:p>
      <w:pPr>
        <w:pStyle w:val="Normal"/>
        <w:keepNext w:val="true"/>
        <w:spacing w:before="40" w:after="0"/>
        <w:ind w:start="68"/>
        <w:rPr/>
      </w:pPr>
      <w:r>
        <w:rPr>
          <w:b/>
          <w:color w:val="0B3D91"/>
          <w:sz w:val="17"/>
        </w:rPr>
        <w:t>Q6. Quelle trace, référence ou information vérifiable accompagne « Surveiller sans adopter automatiquement » ?</w:t>
      </w:r>
    </w:p>
    <w:p>
      <w:pPr>
        <w:pStyle w:val="Normal"/>
        <w:spacing w:before="0" w:after="40"/>
        <w:ind w:start="255"/>
        <w:rPr/>
      </w:pPr>
      <w:r>
        <w:rPr>
          <w:b/>
          <w:color w:val="D4A017"/>
          <w:sz w:val="16"/>
        </w:rPr>
        <w:t xml:space="preserve">Réponse : </w:t>
      </w:r>
      <w:r>
        <w:rPr>
          <w:color w:val="1F2937"/>
          <w:sz w:val="16"/>
        </w:rPr>
        <w:t>Le visuel de la page porte cette formule et son explication.</w:t>
      </w:r>
    </w:p>
    <w:p>
      <w:pPr>
        <w:pStyle w:val="Normal"/>
        <w:keepNext w:val="true"/>
        <w:spacing w:before="40" w:after="0"/>
        <w:ind w:start="68"/>
        <w:rPr/>
      </w:pPr>
      <w:r>
        <w:rPr>
          <w:b/>
          <w:color w:val="0B3D91"/>
          <w:sz w:val="17"/>
        </w:rPr>
        <w:t>Q7. Quelle limite ou précaution est associée à « Surveiller sans adopter automatiquement » ?</w:t>
      </w:r>
    </w:p>
    <w:p>
      <w:pPr>
        <w:pStyle w:val="Normal"/>
        <w:spacing w:before="0" w:after="40"/>
        <w:ind w:start="255"/>
        <w:rPr/>
      </w:pPr>
      <w:r>
        <w:rPr>
          <w:b/>
          <w:color w:val="D4A017"/>
          <w:sz w:val="16"/>
        </w:rPr>
        <w:t xml:space="preserve">Réponse : </w:t>
      </w:r>
      <w:r>
        <w:rPr>
          <w:color w:val="1F2937"/>
          <w:sz w:val="16"/>
        </w:rPr>
        <w:t>Aucune publication ne devient automatiquement une politique ou une procédure du GSE.</w:t>
      </w:r>
    </w:p>
    <w:p>
      <w:pPr>
        <w:pStyle w:val="Normal"/>
        <w:keepNext w:val="true"/>
        <w:spacing w:before="40" w:after="0"/>
        <w:ind w:start="68"/>
        <w:rPr/>
      </w:pPr>
      <w:r>
        <w:rPr>
          <w:b/>
          <w:color w:val="0B3D91"/>
          <w:sz w:val="17"/>
        </w:rPr>
        <w:t>Q8. À qui « Surveiller sans adopter automatiquement » est-il utile ou destiné ?</w:t>
      </w:r>
    </w:p>
    <w:p>
      <w:pPr>
        <w:pStyle w:val="Normal"/>
        <w:spacing w:before="0" w:after="40"/>
        <w:ind w:start="255"/>
        <w:rPr/>
      </w:pPr>
      <w:r>
        <w:rPr>
          <w:b/>
          <w:color w:val="D4A017"/>
          <w:sz w:val="16"/>
        </w:rPr>
        <w:t xml:space="preserve">Réponse : </w:t>
      </w:r>
      <w:r>
        <w:rPr>
          <w:color w:val="1F2937"/>
          <w:sz w:val="16"/>
        </w:rPr>
        <w:t>Responsables, agents, partenaires et visiteurs qui pourraient confondre veille et adoption.</w:t>
      </w:r>
    </w:p>
    <w:p>
      <w:pPr>
        <w:pStyle w:val="Normal"/>
        <w:keepNext w:val="true"/>
        <w:spacing w:before="40" w:after="0"/>
        <w:ind w:start="68"/>
        <w:rPr/>
      </w:pPr>
      <w:r>
        <w:rPr>
          <w:b/>
          <w:color w:val="0B3D91"/>
          <w:sz w:val="17"/>
        </w:rPr>
        <w:t>Q9. À quelles autres rubriques ou fonctions « Surveiller sans adopter automatiquement » est-il relié ?</w:t>
      </w:r>
    </w:p>
    <w:p>
      <w:pPr>
        <w:pStyle w:val="Normal"/>
        <w:spacing w:before="0" w:after="40"/>
        <w:ind w:start="255"/>
        <w:rPr/>
      </w:pPr>
      <w:r>
        <w:rPr>
          <w:b/>
          <w:color w:val="D4A017"/>
          <w:sz w:val="16"/>
        </w:rPr>
        <w:t xml:space="preserve">Réponse : </w:t>
      </w:r>
      <w:r>
        <w:rPr>
          <w:color w:val="1F2937"/>
          <w:sz w:val="16"/>
        </w:rPr>
        <w:t>Le titre introduit la section « Surveiller, vérifier, analyser et faire valider ».</w:t>
      </w:r>
    </w:p>
    <w:p>
      <w:pPr>
        <w:pStyle w:val="Normal"/>
        <w:keepNext w:val="true"/>
        <w:spacing w:before="40" w:after="0"/>
        <w:ind w:start="68"/>
        <w:rPr/>
      </w:pPr>
      <w:r>
        <w:rPr>
          <w:b/>
          <w:color w:val="0B3D91"/>
          <w:sz w:val="17"/>
        </w:rPr>
        <w:t>Q10. Quelle idée essentielle faut-il retenir de « Surveiller sans adopter automatiquement » ?</w:t>
      </w:r>
    </w:p>
    <w:p>
      <w:pPr>
        <w:pStyle w:val="Normal"/>
        <w:spacing w:before="0" w:after="40"/>
        <w:ind w:start="255"/>
        <w:rPr/>
      </w:pPr>
      <w:r>
        <w:rPr>
          <w:b/>
          <w:color w:val="D4A017"/>
          <w:sz w:val="16"/>
        </w:rPr>
        <w:t xml:space="preserve">Réponse : </w:t>
      </w:r>
      <w:r>
        <w:rPr>
          <w:color w:val="1F2937"/>
          <w:sz w:val="16"/>
        </w:rPr>
        <w:t>La veille alerte et éclaire ; elle ne décide pas seule.</w:t>
      </w:r>
    </w:p>
    <w:p>
      <w:pPr>
        <w:pStyle w:val="Normal"/>
        <w:rPr/>
      </w:pPr>
      <w:r>
        <w:rPr/>
      </w:r>
      <w:r>
        <w:br w:type="page"/>
      </w:r>
    </w:p>
    <w:p>
      <w:pPr>
        <w:pStyle w:val="Normal"/>
        <w:spacing w:before="0" w:after="60"/>
        <w:jc w:val="center"/>
        <w:rPr/>
      </w:pPr>
      <w:r>
        <w:rPr>
          <w:b/>
          <w:color w:val="D4A017"/>
          <w:sz w:val="28"/>
        </w:rPr>
        <w:t>PARTIE II</w:t>
      </w:r>
    </w:p>
    <w:p>
      <w:pPr>
        <w:pStyle w:val="Normal"/>
        <w:jc w:val="center"/>
        <w:rPr/>
      </w:pPr>
      <w:r>
        <w:rPr>
          <w:b/>
          <w:color w:val="0B3D91"/>
          <w:sz w:val="42"/>
        </w:rPr>
        <w:t>PROCESSUS DE VEILLE ET D’ANALYSE</w:t>
      </w:r>
    </w:p>
    <w:p>
      <w:pPr>
        <w:pStyle w:val="Normal"/>
        <w:jc w:val="center"/>
        <w:rPr/>
      </w:pPr>
      <w:r>
        <w:rPr>
          <w:i/>
          <w:sz w:val="20"/>
        </w:rPr>
        <w:t>Relevé • Raison • Importance • Liens • Questions-réponses</w:t>
      </w:r>
    </w:p>
    <w:p>
      <w:pPr>
        <w:pStyle w:val="Normal"/>
        <w:rPr/>
      </w:pPr>
      <w:r>
        <w:rPr/>
      </w:r>
      <w:r>
        <w:br w:type="page"/>
      </w:r>
    </w:p>
    <w:p>
      <w:pPr>
        <w:pStyle w:val="Heading2"/>
        <w:spacing w:before="0" w:after="80"/>
        <w:rPr/>
      </w:pPr>
      <w:r>
        <w:rPr/>
        <w:t>FICHE 05 — Publications qualifiées, analysées et soumises à validation humaine</w:t>
      </w:r>
    </w:p>
    <w:p>
      <w:pPr>
        <w:pStyle w:val="Normal"/>
        <w:spacing w:before="20" w:after="80"/>
        <w:rPr/>
      </w:pPr>
      <w:r>
        <w:rPr>
          <w:b/>
          <w:color w:val="0B3D91"/>
          <w:sz w:val="16"/>
        </w:rPr>
        <w:t xml:space="preserve">Source contrôlée : </w:t>
      </w:r>
      <w:r>
        <w:rPr>
          <w:color w:val="555555"/>
          <w:sz w:val="16"/>
        </w:rPr>
        <w:t>Légende du visuel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légende précise que les publications officielles sont qualifiées, analysées et soumises à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décrit les trois contrôles successifs appliqués aux publications repérées.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réduit le risque d’erreur, de mauvaise interprétation ou d’application prématurée.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vérification des sources, analyse d’impact, Direction, DAQAC et responsables opérationnels.</w:t>
            </w:r>
          </w:p>
        </w:tc>
      </w:tr>
    </w:tbl>
    <w:p>
      <w:pPr>
        <w:pStyle w:val="Heading3"/>
        <w:rPr/>
      </w:pPr>
      <w:r>
        <w:rPr/>
        <w:t>Points développés</w:t>
      </w:r>
    </w:p>
    <w:p>
      <w:pPr>
        <w:pStyle w:val="ListBullet"/>
        <w:numPr>
          <w:ilvl w:val="0"/>
          <w:numId w:val="1"/>
        </w:numPr>
        <w:spacing w:before="0" w:after="20"/>
        <w:ind w:hanging="360" w:start="255"/>
        <w:contextualSpacing/>
        <w:rPr/>
      </w:pPr>
      <w:r>
        <w:rPr>
          <w:sz w:val="17"/>
        </w:rPr>
        <w:t>Qualifier</w:t>
      </w:r>
    </w:p>
    <w:p>
      <w:pPr>
        <w:pStyle w:val="ListBullet"/>
        <w:numPr>
          <w:ilvl w:val="0"/>
          <w:numId w:val="1"/>
        </w:numPr>
        <w:spacing w:before="0" w:after="20"/>
        <w:ind w:hanging="360" w:start="255"/>
        <w:contextualSpacing/>
        <w:rPr/>
      </w:pPr>
      <w:r>
        <w:rPr>
          <w:sz w:val="17"/>
        </w:rPr>
        <w:t>Analyser</w:t>
      </w:r>
    </w:p>
    <w:p>
      <w:pPr>
        <w:pStyle w:val="ListBullet"/>
        <w:numPr>
          <w:ilvl w:val="0"/>
          <w:numId w:val="1"/>
        </w:numPr>
        <w:spacing w:before="0" w:after="20"/>
        <w:ind w:hanging="360" w:start="255"/>
        <w:contextualSpacing/>
        <w:rPr/>
      </w:pPr>
      <w:r>
        <w:rPr>
          <w:sz w:val="17"/>
        </w:rPr>
        <w:t>Soumettre</w:t>
      </w:r>
    </w:p>
    <w:p>
      <w:pPr>
        <w:pStyle w:val="ListBullet"/>
        <w:numPr>
          <w:ilvl w:val="0"/>
          <w:numId w:val="1"/>
        </w:numPr>
        <w:spacing w:before="0" w:after="20"/>
        <w:ind w:hanging="360" w:start="255"/>
        <w:contextualSpacing/>
        <w:rPr/>
      </w:pPr>
      <w:r>
        <w:rPr>
          <w:sz w:val="17"/>
        </w:rPr>
        <w:t>Valider humainement</w:t>
      </w:r>
    </w:p>
    <w:p>
      <w:pPr>
        <w:pStyle w:val="Heading3"/>
        <w:rPr/>
      </w:pPr>
      <w:r>
        <w:rPr/>
        <w:t>Banque de questions-réponses</w:t>
      </w:r>
    </w:p>
    <w:p>
      <w:pPr>
        <w:pStyle w:val="Normal"/>
        <w:keepNext w:val="true"/>
        <w:spacing w:before="40" w:after="0"/>
        <w:ind w:start="68"/>
        <w:rPr/>
      </w:pPr>
      <w:r>
        <w:rPr>
          <w:b/>
          <w:color w:val="0B3D91"/>
          <w:sz w:val="17"/>
        </w:rPr>
        <w:t>Q1. Que signifie ou présente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Une publication est d’abord identifiée et qualifiée, puis étudiée, avant d’être présentée à une personne habilitée.</w:t>
      </w:r>
    </w:p>
    <w:p>
      <w:pPr>
        <w:pStyle w:val="Normal"/>
        <w:keepNext w:val="true"/>
        <w:spacing w:before="40" w:after="0"/>
        <w:ind w:start="68"/>
        <w:rPr/>
      </w:pPr>
      <w:r>
        <w:rPr>
          <w:b/>
          <w:color w:val="0B3D91"/>
          <w:sz w:val="17"/>
        </w:rPr>
        <w:t>Q2. Pourquoi « Publications qualifiées, analysées et soumises à validation humaine » figure-t-il dans la page de veille officielle ?</w:t>
      </w:r>
    </w:p>
    <w:p>
      <w:pPr>
        <w:pStyle w:val="Normal"/>
        <w:spacing w:before="0" w:after="40"/>
        <w:ind w:start="255"/>
        <w:rPr/>
      </w:pPr>
      <w:r>
        <w:rPr>
          <w:b/>
          <w:color w:val="D4A017"/>
          <w:sz w:val="16"/>
        </w:rPr>
        <w:t xml:space="preserve">Réponse : </w:t>
      </w:r>
      <w:r>
        <w:rPr>
          <w:color w:val="1F2937"/>
          <w:sz w:val="16"/>
        </w:rPr>
        <w:t>Décrire la chaîne minimale de traitement d’une publication officielle.</w:t>
      </w:r>
    </w:p>
    <w:p>
      <w:pPr>
        <w:pStyle w:val="Normal"/>
        <w:keepNext w:val="true"/>
        <w:spacing w:before="40" w:after="0"/>
        <w:ind w:start="68"/>
        <w:rPr/>
      </w:pPr>
      <w:r>
        <w:rPr>
          <w:b/>
          <w:color w:val="0B3D91"/>
          <w:sz w:val="17"/>
        </w:rPr>
        <w:t>Q3. Quels contenus ou objets sont concernés par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Qualification, analyse et validation humaine.</w:t>
      </w:r>
    </w:p>
    <w:p>
      <w:pPr>
        <w:pStyle w:val="Normal"/>
        <w:keepNext w:val="true"/>
        <w:spacing w:before="40" w:after="0"/>
        <w:ind w:start="68"/>
        <w:rPr/>
      </w:pPr>
      <w:r>
        <w:rPr>
          <w:b/>
          <w:color w:val="0B3D91"/>
          <w:sz w:val="17"/>
        </w:rPr>
        <w:t>Q4. Quel acteur intervient dans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La veille prépare l’information ; les responsables humains valident les suites.</w:t>
      </w:r>
    </w:p>
    <w:p>
      <w:pPr>
        <w:pStyle w:val="Normal"/>
        <w:keepNext w:val="true"/>
        <w:spacing w:before="40" w:after="0"/>
        <w:ind w:start="68"/>
        <w:rPr/>
      </w:pPr>
      <w:r>
        <w:rPr>
          <w:b/>
          <w:color w:val="0B3D91"/>
          <w:sz w:val="17"/>
        </w:rPr>
        <w:t>Q5. Comment « Publications qualifiées, analysées et soumises à validation humaine » est-il mis en œuvre selon le texte publié ?</w:t>
      </w:r>
    </w:p>
    <w:p>
      <w:pPr>
        <w:pStyle w:val="Normal"/>
        <w:spacing w:before="0" w:after="40"/>
        <w:ind w:start="255"/>
        <w:rPr/>
      </w:pPr>
      <w:r>
        <w:rPr>
          <w:b/>
          <w:color w:val="D4A017"/>
          <w:sz w:val="16"/>
        </w:rPr>
        <w:t xml:space="preserve">Réponse : </w:t>
      </w:r>
      <w:r>
        <w:rPr>
          <w:color w:val="1F2937"/>
          <w:sz w:val="16"/>
        </w:rPr>
        <w:t>Traitement en étapes successives, sans décision automatique.</w:t>
      </w:r>
    </w:p>
    <w:p>
      <w:pPr>
        <w:pStyle w:val="Normal"/>
        <w:keepNext w:val="true"/>
        <w:spacing w:before="40" w:after="0"/>
        <w:ind w:start="68"/>
        <w:rPr/>
      </w:pPr>
      <w:r>
        <w:rPr>
          <w:b/>
          <w:color w:val="0B3D91"/>
          <w:sz w:val="17"/>
        </w:rPr>
        <w:t>Q6. Quelle trace, référence ou information vérifiable accompagne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La légende institutionnelle du visuel rend cette chaîne publique.</w:t>
      </w:r>
    </w:p>
    <w:p>
      <w:pPr>
        <w:pStyle w:val="Normal"/>
        <w:keepNext w:val="true"/>
        <w:spacing w:before="40" w:after="0"/>
        <w:ind w:start="68"/>
        <w:rPr/>
      </w:pPr>
      <w:r>
        <w:rPr>
          <w:b/>
          <w:color w:val="0B3D91"/>
          <w:sz w:val="17"/>
        </w:rPr>
        <w:t>Q7. Quelle limite ou précaution est associée à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La qualification et l’analyse ne remplacent pas la validation.</w:t>
      </w:r>
    </w:p>
    <w:p>
      <w:pPr>
        <w:pStyle w:val="Normal"/>
        <w:keepNext w:val="true"/>
        <w:spacing w:before="40" w:after="0"/>
        <w:ind w:start="68"/>
        <w:rPr/>
      </w:pPr>
      <w:r>
        <w:rPr>
          <w:b/>
          <w:color w:val="0B3D91"/>
          <w:sz w:val="17"/>
        </w:rPr>
        <w:t>Q8. À qui « Publications qualifiées, analysées et soumises à validation humaine » est-il utile ou destiné ?</w:t>
      </w:r>
    </w:p>
    <w:p>
      <w:pPr>
        <w:pStyle w:val="Normal"/>
        <w:spacing w:before="0" w:after="40"/>
        <w:ind w:start="255"/>
        <w:rPr/>
      </w:pPr>
      <w:r>
        <w:rPr>
          <w:b/>
          <w:color w:val="D4A017"/>
          <w:sz w:val="16"/>
        </w:rPr>
        <w:t xml:space="preserve">Réponse : </w:t>
      </w:r>
      <w:r>
        <w:rPr>
          <w:color w:val="1F2937"/>
          <w:sz w:val="16"/>
        </w:rPr>
        <w:t>Agents chargés de la veille et responsables destinataires des impacts possibles.</w:t>
      </w:r>
    </w:p>
    <w:p>
      <w:pPr>
        <w:pStyle w:val="Normal"/>
        <w:keepNext w:val="true"/>
        <w:spacing w:before="40" w:after="0"/>
        <w:ind w:start="68"/>
        <w:rPr/>
      </w:pPr>
      <w:r>
        <w:rPr>
          <w:b/>
          <w:color w:val="0B3D91"/>
          <w:sz w:val="17"/>
        </w:rPr>
        <w:t>Q9. À quelles autres rubriques ou fonctions « Publications qualifiées, analysées et soumises à validation humaine » est-il relié ?</w:t>
      </w:r>
    </w:p>
    <w:p>
      <w:pPr>
        <w:pStyle w:val="Normal"/>
        <w:spacing w:before="0" w:after="40"/>
        <w:ind w:start="255"/>
        <w:rPr/>
      </w:pPr>
      <w:r>
        <w:rPr>
          <w:b/>
          <w:color w:val="D4A017"/>
          <w:sz w:val="16"/>
        </w:rPr>
        <w:t xml:space="preserve">Réponse : </w:t>
      </w:r>
      <w:r>
        <w:rPr>
          <w:color w:val="1F2937"/>
          <w:sz w:val="16"/>
        </w:rPr>
        <w:t>Cette chaîne alimente la documentation, la qualité et les départements concernés.</w:t>
      </w:r>
    </w:p>
    <w:p>
      <w:pPr>
        <w:pStyle w:val="Normal"/>
        <w:keepNext w:val="true"/>
        <w:spacing w:before="40" w:after="0"/>
        <w:ind w:start="68"/>
        <w:rPr/>
      </w:pPr>
      <w:r>
        <w:rPr>
          <w:b/>
          <w:color w:val="0B3D91"/>
          <w:sz w:val="17"/>
        </w:rPr>
        <w:t>Q10. Quelle idée essentielle faut-il retenir de « Publications qualifiées, analysées et soumises à validation humaine » ?</w:t>
      </w:r>
    </w:p>
    <w:p>
      <w:pPr>
        <w:pStyle w:val="Normal"/>
        <w:spacing w:before="0" w:after="40"/>
        <w:ind w:start="255"/>
        <w:rPr/>
      </w:pPr>
      <w:r>
        <w:rPr>
          <w:b/>
          <w:color w:val="D4A017"/>
          <w:sz w:val="16"/>
        </w:rPr>
        <w:t xml:space="preserve">Réponse : </w:t>
      </w:r>
      <w:r>
        <w:rPr>
          <w:color w:val="1F2937"/>
          <w:sz w:val="16"/>
        </w:rPr>
        <w:t>Une publication officielle doit passer par plusieurs contrôles avant toute suite institutionnelle.</w:t>
      </w:r>
    </w:p>
    <w:p>
      <w:pPr>
        <w:pStyle w:val="Normal"/>
        <w:rPr/>
      </w:pPr>
      <w:r>
        <w:rPr/>
      </w:r>
      <w:r>
        <w:br w:type="page"/>
      </w:r>
    </w:p>
    <w:p>
      <w:pPr>
        <w:pStyle w:val="Heading2"/>
        <w:spacing w:before="0" w:after="80"/>
        <w:rPr/>
      </w:pPr>
      <w:r>
        <w:rPr/>
        <w:t>FICHE 06 — Surveiller, vérifier, analyser et faire valider</w:t>
      </w:r>
    </w:p>
    <w:p>
      <w:pPr>
        <w:pStyle w:val="Normal"/>
        <w:spacing w:before="20" w:after="80"/>
        <w:rPr/>
      </w:pPr>
      <w:r>
        <w:rPr>
          <w:b/>
          <w:color w:val="0B3D91"/>
          <w:sz w:val="16"/>
        </w:rPr>
        <w:t xml:space="preserve">Source contrôlée : </w:t>
      </w:r>
      <w:r>
        <w:rPr>
          <w:color w:val="555555"/>
          <w:sz w:val="16"/>
        </w:rPr>
        <w:t>Titre principal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structure la veille autour de quatre verbes : surveiller, vérifier, analyser et faire valider.</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transforme la veille en processus clair et séquentiel.</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fournit une méthode commune aux services et évite les décisions isolées.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sources originales, date, portée, impacts, ÉMINA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7"/>
        </w:rPr>
        <w:t>Surveiller</w:t>
      </w:r>
    </w:p>
    <w:p>
      <w:pPr>
        <w:pStyle w:val="ListBullet"/>
        <w:numPr>
          <w:ilvl w:val="0"/>
          <w:numId w:val="1"/>
        </w:numPr>
        <w:spacing w:before="0" w:after="20"/>
        <w:ind w:hanging="360" w:start="255"/>
        <w:contextualSpacing/>
        <w:rPr/>
      </w:pPr>
      <w:r>
        <w:rPr>
          <w:sz w:val="17"/>
        </w:rPr>
        <w:t>Vérifier</w:t>
      </w:r>
    </w:p>
    <w:p>
      <w:pPr>
        <w:pStyle w:val="ListBullet"/>
        <w:numPr>
          <w:ilvl w:val="0"/>
          <w:numId w:val="1"/>
        </w:numPr>
        <w:spacing w:before="0" w:after="20"/>
        <w:ind w:hanging="360" w:start="255"/>
        <w:contextualSpacing/>
        <w:rPr/>
      </w:pPr>
      <w:r>
        <w:rPr>
          <w:sz w:val="17"/>
        </w:rPr>
        <w:t>Analyser</w:t>
      </w:r>
    </w:p>
    <w:p>
      <w:pPr>
        <w:pStyle w:val="ListBullet"/>
        <w:numPr>
          <w:ilvl w:val="0"/>
          <w:numId w:val="1"/>
        </w:numPr>
        <w:spacing w:before="0" w:after="20"/>
        <w:ind w:hanging="360" w:start="255"/>
        <w:contextualSpacing/>
        <w:rPr/>
      </w:pPr>
      <w:r>
        <w:rPr>
          <w:sz w:val="17"/>
        </w:rPr>
        <w:t>Faire valider</w:t>
      </w:r>
    </w:p>
    <w:p>
      <w:pPr>
        <w:pStyle w:val="Heading3"/>
        <w:rPr/>
      </w:pPr>
      <w:r>
        <w:rPr/>
        <w:t>Banque de questions-réponses</w:t>
      </w:r>
    </w:p>
    <w:p>
      <w:pPr>
        <w:pStyle w:val="Normal"/>
        <w:keepNext w:val="true"/>
        <w:spacing w:before="40" w:after="0"/>
        <w:ind w:start="68"/>
        <w:rPr/>
      </w:pPr>
      <w:r>
        <w:rPr>
          <w:b/>
          <w:color w:val="0B3D91"/>
          <w:sz w:val="17"/>
        </w:rPr>
        <w:t>Q1. Que signifie ou présente « Surveiller, vérifier, analyser et faire valider » ?</w:t>
      </w:r>
    </w:p>
    <w:p>
      <w:pPr>
        <w:pStyle w:val="Normal"/>
        <w:spacing w:before="0" w:after="40"/>
        <w:ind w:start="255"/>
        <w:rPr/>
      </w:pPr>
      <w:r>
        <w:rPr>
          <w:b/>
          <w:color w:val="D4A017"/>
          <w:sz w:val="16"/>
        </w:rPr>
        <w:t xml:space="preserve">Réponse : </w:t>
      </w:r>
      <w:r>
        <w:rPr>
          <w:color w:val="1F2937"/>
          <w:sz w:val="16"/>
        </w:rPr>
        <w:t>Il s’agit de la séquence générale par laquelle une publication passe avant toute décision institutionnelle.</w:t>
      </w:r>
    </w:p>
    <w:p>
      <w:pPr>
        <w:pStyle w:val="Normal"/>
        <w:keepNext w:val="true"/>
        <w:spacing w:before="40" w:after="0"/>
        <w:ind w:start="68"/>
        <w:rPr/>
      </w:pPr>
      <w:r>
        <w:rPr>
          <w:b/>
          <w:color w:val="0B3D91"/>
          <w:sz w:val="17"/>
        </w:rPr>
        <w:t>Q2. Pourquoi « Surveiller, vérifier, analyser et faire valider » figure-t-il dans la page de veille officielle ?</w:t>
      </w:r>
    </w:p>
    <w:p>
      <w:pPr>
        <w:pStyle w:val="Normal"/>
        <w:spacing w:before="0" w:after="40"/>
        <w:ind w:start="255"/>
        <w:rPr/>
      </w:pPr>
      <w:r>
        <w:rPr>
          <w:b/>
          <w:color w:val="D4A017"/>
          <w:sz w:val="16"/>
        </w:rPr>
        <w:t xml:space="preserve">Réponse : </w:t>
      </w:r>
      <w:r>
        <w:rPr>
          <w:color w:val="1F2937"/>
          <w:sz w:val="16"/>
        </w:rPr>
        <w:t>Organiser le traitement de l’information officielle.</w:t>
      </w:r>
    </w:p>
    <w:p>
      <w:pPr>
        <w:pStyle w:val="Normal"/>
        <w:keepNext w:val="true"/>
        <w:spacing w:before="40" w:after="0"/>
        <w:ind w:start="68"/>
        <w:rPr/>
      </w:pPr>
      <w:r>
        <w:rPr>
          <w:b/>
          <w:color w:val="0B3D91"/>
          <w:sz w:val="17"/>
        </w:rPr>
        <w:t>Q3. Quels contenus ou objets sont concernés par « Surveiller, vérifier, analyser et faire valider » ?</w:t>
      </w:r>
    </w:p>
    <w:p>
      <w:pPr>
        <w:pStyle w:val="Normal"/>
        <w:spacing w:before="0" w:after="40"/>
        <w:ind w:start="255"/>
        <w:rPr/>
      </w:pPr>
      <w:r>
        <w:rPr>
          <w:b/>
          <w:color w:val="D4A017"/>
          <w:sz w:val="16"/>
        </w:rPr>
        <w:t xml:space="preserve">Réponse : </w:t>
      </w:r>
      <w:r>
        <w:rPr>
          <w:color w:val="1F2937"/>
          <w:sz w:val="16"/>
        </w:rPr>
        <w:t>Repérage, contrôle, étude d’impact et décision humaine.</w:t>
      </w:r>
    </w:p>
    <w:p>
      <w:pPr>
        <w:pStyle w:val="Normal"/>
        <w:keepNext w:val="true"/>
        <w:spacing w:before="40" w:after="0"/>
        <w:ind w:start="68"/>
        <w:rPr/>
      </w:pPr>
      <w:r>
        <w:rPr>
          <w:b/>
          <w:color w:val="0B3D91"/>
          <w:sz w:val="17"/>
        </w:rPr>
        <w:t>Q4. Quel acteur intervient dans « Surveiller, vérifier, analyser et faire valider » ?</w:t>
      </w:r>
    </w:p>
    <w:p>
      <w:pPr>
        <w:pStyle w:val="Normal"/>
        <w:spacing w:before="0" w:after="40"/>
        <w:ind w:start="255"/>
        <w:rPr/>
      </w:pPr>
      <w:r>
        <w:rPr>
          <w:b/>
          <w:color w:val="D4A017"/>
          <w:sz w:val="16"/>
        </w:rPr>
        <w:t xml:space="preserve">Réponse : </w:t>
      </w:r>
      <w:r>
        <w:rPr>
          <w:color w:val="1F2937"/>
          <w:sz w:val="16"/>
        </w:rPr>
        <w:t>La veille effectue les trois premières opérations et transmet pour validation.</w:t>
      </w:r>
    </w:p>
    <w:p>
      <w:pPr>
        <w:pStyle w:val="Normal"/>
        <w:keepNext w:val="true"/>
        <w:spacing w:before="40" w:after="0"/>
        <w:ind w:start="68"/>
        <w:rPr/>
      </w:pPr>
      <w:r>
        <w:rPr>
          <w:b/>
          <w:color w:val="0B3D91"/>
          <w:sz w:val="17"/>
        </w:rPr>
        <w:t>Q5. Comment « Surveiller, vérifier, analyser et faire valider » est-il mis en œuvre selon le texte publié ?</w:t>
      </w:r>
    </w:p>
    <w:p>
      <w:pPr>
        <w:pStyle w:val="Normal"/>
        <w:spacing w:before="0" w:after="40"/>
        <w:ind w:start="255"/>
        <w:rPr/>
      </w:pPr>
      <w:r>
        <w:rPr>
          <w:b/>
          <w:color w:val="D4A017"/>
          <w:sz w:val="16"/>
        </w:rPr>
        <w:t xml:space="preserve">Réponse : </w:t>
      </w:r>
      <w:r>
        <w:rPr>
          <w:color w:val="1F2937"/>
          <w:sz w:val="16"/>
        </w:rPr>
        <w:t>Les publications utiles sont suivies, vérifiées, analysées et présentées aux responsables.</w:t>
      </w:r>
    </w:p>
    <w:p>
      <w:pPr>
        <w:pStyle w:val="Normal"/>
        <w:keepNext w:val="true"/>
        <w:spacing w:before="40" w:after="0"/>
        <w:ind w:start="68"/>
        <w:rPr/>
      </w:pPr>
      <w:r>
        <w:rPr>
          <w:b/>
          <w:color w:val="0B3D91"/>
          <w:sz w:val="17"/>
        </w:rPr>
        <w:t>Q6. Quelle trace, référence ou information vérifiable accompagne « Surveiller, vérifier, analyser et faire valider » ?</w:t>
      </w:r>
    </w:p>
    <w:p>
      <w:pPr>
        <w:pStyle w:val="Normal"/>
        <w:spacing w:before="0" w:after="40"/>
        <w:ind w:start="255"/>
        <w:rPr/>
      </w:pPr>
      <w:r>
        <w:rPr>
          <w:b/>
          <w:color w:val="D4A017"/>
          <w:sz w:val="16"/>
        </w:rPr>
        <w:t xml:space="preserve">Réponse : </w:t>
      </w:r>
      <w:r>
        <w:rPr>
          <w:color w:val="1F2937"/>
          <w:sz w:val="16"/>
        </w:rPr>
        <w:t>Le titre principal de section expose directement cette séquence.</w:t>
      </w:r>
    </w:p>
    <w:p>
      <w:pPr>
        <w:pStyle w:val="Normal"/>
        <w:keepNext w:val="true"/>
        <w:spacing w:before="40" w:after="0"/>
        <w:ind w:start="68"/>
        <w:rPr/>
      </w:pPr>
      <w:r>
        <w:rPr>
          <w:b/>
          <w:color w:val="0B3D91"/>
          <w:sz w:val="17"/>
        </w:rPr>
        <w:t>Q7. Quelle limite ou précaution est associée à « Surveiller, vérifier, analyser et faire valider » ?</w:t>
      </w:r>
    </w:p>
    <w:p>
      <w:pPr>
        <w:pStyle w:val="Normal"/>
        <w:spacing w:before="0" w:after="40"/>
        <w:ind w:start="255"/>
        <w:rPr/>
      </w:pPr>
      <w:r>
        <w:rPr>
          <w:b/>
          <w:color w:val="D4A017"/>
          <w:sz w:val="16"/>
        </w:rPr>
        <w:t xml:space="preserve">Réponse : </w:t>
      </w:r>
      <w:r>
        <w:rPr>
          <w:color w:val="1F2937"/>
          <w:sz w:val="16"/>
        </w:rPr>
        <w:t>Faire valider signifie que la décision finale ne revient pas au système de veille.</w:t>
      </w:r>
    </w:p>
    <w:p>
      <w:pPr>
        <w:pStyle w:val="Normal"/>
        <w:keepNext w:val="true"/>
        <w:spacing w:before="40" w:after="0"/>
        <w:ind w:start="68"/>
        <w:rPr/>
      </w:pPr>
      <w:r>
        <w:rPr>
          <w:b/>
          <w:color w:val="0B3D91"/>
          <w:sz w:val="17"/>
        </w:rPr>
        <w:t>Q8. À qui « Surveiller, vérifier, analyser et faire valider » est-il utile ou destiné ?</w:t>
      </w:r>
    </w:p>
    <w:p>
      <w:pPr>
        <w:pStyle w:val="Normal"/>
        <w:spacing w:before="0" w:after="40"/>
        <w:ind w:start="255"/>
        <w:rPr/>
      </w:pPr>
      <w:r>
        <w:rPr>
          <w:b/>
          <w:color w:val="D4A017"/>
          <w:sz w:val="16"/>
        </w:rPr>
        <w:t xml:space="preserve">Réponse : </w:t>
      </w:r>
      <w:r>
        <w:rPr>
          <w:color w:val="1F2937"/>
          <w:sz w:val="16"/>
        </w:rPr>
        <w:t>Tous les départements qui peuvent être affectés par une publication.</w:t>
      </w:r>
    </w:p>
    <w:p>
      <w:pPr>
        <w:pStyle w:val="Normal"/>
        <w:keepNext w:val="true"/>
        <w:spacing w:before="40" w:after="0"/>
        <w:ind w:start="68"/>
        <w:rPr/>
      </w:pPr>
      <w:r>
        <w:rPr>
          <w:b/>
          <w:color w:val="0B3D91"/>
          <w:sz w:val="17"/>
        </w:rPr>
        <w:t>Q9. À quelles autres rubriques ou fonctions « Surveiller, vérifier, analyser et faire valider » est-il relié ?</w:t>
      </w:r>
    </w:p>
    <w:p>
      <w:pPr>
        <w:pStyle w:val="Normal"/>
        <w:spacing w:before="0" w:after="40"/>
        <w:ind w:start="255"/>
        <w:rPr/>
      </w:pPr>
      <w:r>
        <w:rPr>
          <w:b/>
          <w:color w:val="D4A017"/>
          <w:sz w:val="16"/>
        </w:rPr>
        <w:t xml:space="preserve">Réponse : </w:t>
      </w:r>
      <w:r>
        <w:rPr>
          <w:color w:val="1F2937"/>
          <w:sz w:val="16"/>
        </w:rPr>
        <w:t>La séquence relie la veille à la gouvernance et à l’assurance qualité.</w:t>
      </w:r>
    </w:p>
    <w:p>
      <w:pPr>
        <w:pStyle w:val="Normal"/>
        <w:keepNext w:val="true"/>
        <w:spacing w:before="40" w:after="0"/>
        <w:ind w:start="68"/>
        <w:rPr/>
      </w:pPr>
      <w:r>
        <w:rPr>
          <w:b/>
          <w:color w:val="0B3D91"/>
          <w:sz w:val="17"/>
        </w:rPr>
        <w:t>Q10. Quelle idée essentielle faut-il retenir de « Surveiller, vérifier, analyser et faire valider » ?</w:t>
      </w:r>
    </w:p>
    <w:p>
      <w:pPr>
        <w:pStyle w:val="Normal"/>
        <w:spacing w:before="0" w:after="40"/>
        <w:ind w:start="255"/>
        <w:rPr/>
      </w:pPr>
      <w:r>
        <w:rPr>
          <w:b/>
          <w:color w:val="D4A017"/>
          <w:sz w:val="16"/>
        </w:rPr>
        <w:t xml:space="preserve">Réponse : </w:t>
      </w:r>
      <w:r>
        <w:rPr>
          <w:color w:val="1F2937"/>
          <w:sz w:val="16"/>
        </w:rPr>
        <w:t>La méthode est progressive : observer, contrôler, comprendre puis décider humainement.</w:t>
      </w:r>
    </w:p>
    <w:p>
      <w:pPr>
        <w:pStyle w:val="Normal"/>
        <w:rPr/>
      </w:pPr>
      <w:r>
        <w:rPr/>
      </w:r>
      <w:r>
        <w:br w:type="page"/>
      </w:r>
    </w:p>
    <w:p>
      <w:pPr>
        <w:pStyle w:val="Heading2"/>
        <w:spacing w:before="0" w:after="80"/>
        <w:rPr/>
      </w:pPr>
      <w:r>
        <w:rPr/>
        <w:t>FICHE 07 — Suivi des publications utiles</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officielle suit les publications utiles des autorités et organismes de référence.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précise que le suivi vise les publications pertinentes pour l’école.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concentre les efforts sur les informations susceptibles d’affecter le projet institutionnel.</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autorités, organismes de référence, domaines éducatifs, administratifs, sanitaires et numériques.</w:t>
            </w:r>
          </w:p>
        </w:tc>
      </w:tr>
    </w:tbl>
    <w:p>
      <w:pPr>
        <w:pStyle w:val="Heading3"/>
        <w:rPr/>
      </w:pPr>
      <w:r>
        <w:rPr/>
        <w:t>Points développés</w:t>
      </w:r>
    </w:p>
    <w:p>
      <w:pPr>
        <w:pStyle w:val="ListBullet"/>
        <w:numPr>
          <w:ilvl w:val="0"/>
          <w:numId w:val="1"/>
        </w:numPr>
        <w:spacing w:before="0" w:after="20"/>
        <w:ind w:hanging="360" w:start="255"/>
        <w:contextualSpacing/>
        <w:rPr/>
      </w:pPr>
      <w:r>
        <w:rPr>
          <w:sz w:val="17"/>
        </w:rPr>
        <w:t>Utilité</w:t>
      </w:r>
    </w:p>
    <w:p>
      <w:pPr>
        <w:pStyle w:val="ListBullet"/>
        <w:numPr>
          <w:ilvl w:val="0"/>
          <w:numId w:val="1"/>
        </w:numPr>
        <w:spacing w:before="0" w:after="20"/>
        <w:ind w:hanging="360" w:start="255"/>
        <w:contextualSpacing/>
        <w:rPr/>
      </w:pPr>
      <w:r>
        <w:rPr>
          <w:sz w:val="17"/>
        </w:rPr>
        <w:t>Pertinence institutionnelle</w:t>
      </w:r>
    </w:p>
    <w:p>
      <w:pPr>
        <w:pStyle w:val="ListBullet"/>
        <w:numPr>
          <w:ilvl w:val="0"/>
          <w:numId w:val="1"/>
        </w:numPr>
        <w:spacing w:before="0" w:after="20"/>
        <w:ind w:hanging="360" w:start="255"/>
        <w:contextualSpacing/>
        <w:rPr/>
      </w:pPr>
      <w:r>
        <w:rPr>
          <w:sz w:val="17"/>
        </w:rPr>
        <w:t>Autorités</w:t>
      </w:r>
    </w:p>
    <w:p>
      <w:pPr>
        <w:pStyle w:val="ListBullet"/>
        <w:numPr>
          <w:ilvl w:val="0"/>
          <w:numId w:val="1"/>
        </w:numPr>
        <w:spacing w:before="0" w:after="20"/>
        <w:ind w:hanging="360" w:start="255"/>
        <w:contextualSpacing/>
        <w:rPr/>
      </w:pPr>
      <w:r>
        <w:rPr>
          <w:sz w:val="17"/>
        </w:rPr>
        <w:t>Organismes de référence</w:t>
      </w:r>
    </w:p>
    <w:p>
      <w:pPr>
        <w:pStyle w:val="Heading3"/>
        <w:rPr/>
      </w:pPr>
      <w:r>
        <w:rPr/>
        <w:t>Banque de questions-réponses</w:t>
      </w:r>
    </w:p>
    <w:p>
      <w:pPr>
        <w:pStyle w:val="Normal"/>
        <w:keepNext w:val="true"/>
        <w:spacing w:before="40" w:after="0"/>
        <w:ind w:start="68"/>
        <w:rPr/>
      </w:pPr>
      <w:r>
        <w:rPr>
          <w:b/>
          <w:color w:val="0B3D91"/>
          <w:sz w:val="17"/>
        </w:rPr>
        <w:t>Q1. Que signifie ou présente « Suivi des publications utiles » ?</w:t>
      </w:r>
    </w:p>
    <w:p>
      <w:pPr>
        <w:pStyle w:val="Normal"/>
        <w:spacing w:before="0" w:after="40"/>
        <w:ind w:start="255"/>
        <w:rPr/>
      </w:pPr>
      <w:r>
        <w:rPr>
          <w:b/>
          <w:color w:val="D4A017"/>
          <w:sz w:val="16"/>
        </w:rPr>
        <w:t xml:space="preserve">Réponse : </w:t>
      </w:r>
      <w:r>
        <w:rPr>
          <w:color w:val="1F2937"/>
          <w:sz w:val="16"/>
        </w:rPr>
        <w:t>Le suivi consiste à repérer les publications qui peuvent présenter une utilité ou un impact pour le GSE.</w:t>
      </w:r>
    </w:p>
    <w:p>
      <w:pPr>
        <w:pStyle w:val="Normal"/>
        <w:keepNext w:val="true"/>
        <w:spacing w:before="40" w:after="0"/>
        <w:ind w:start="68"/>
        <w:rPr/>
      </w:pPr>
      <w:r>
        <w:rPr>
          <w:b/>
          <w:color w:val="0B3D91"/>
          <w:sz w:val="17"/>
        </w:rPr>
        <w:t>Q2. Pourquoi « Suivi des publications utiles » figure-t-il dans la page de veille officielle ?</w:t>
      </w:r>
    </w:p>
    <w:p>
      <w:pPr>
        <w:pStyle w:val="Normal"/>
        <w:spacing w:before="0" w:after="40"/>
        <w:ind w:start="255"/>
        <w:rPr/>
      </w:pPr>
      <w:r>
        <w:rPr>
          <w:b/>
          <w:color w:val="D4A017"/>
          <w:sz w:val="16"/>
        </w:rPr>
        <w:t xml:space="preserve">Réponse : </w:t>
      </w:r>
      <w:r>
        <w:rPr>
          <w:color w:val="1F2937"/>
          <w:sz w:val="16"/>
        </w:rPr>
        <w:t>Éviter à la fois l’ignorance des évolutions importantes et l’accumulation d’informations sans pertinence.</w:t>
      </w:r>
    </w:p>
    <w:p>
      <w:pPr>
        <w:pStyle w:val="Normal"/>
        <w:keepNext w:val="true"/>
        <w:spacing w:before="40" w:after="0"/>
        <w:ind w:start="68"/>
        <w:rPr/>
      </w:pPr>
      <w:r>
        <w:rPr>
          <w:b/>
          <w:color w:val="0B3D91"/>
          <w:sz w:val="17"/>
        </w:rPr>
        <w:t>Q3. Quels contenus ou objets sont concernés par « Suivi des publications utiles » ?</w:t>
      </w:r>
    </w:p>
    <w:p>
      <w:pPr>
        <w:pStyle w:val="Normal"/>
        <w:spacing w:before="0" w:after="40"/>
        <w:ind w:start="255"/>
        <w:rPr/>
      </w:pPr>
      <w:r>
        <w:rPr>
          <w:b/>
          <w:color w:val="D4A017"/>
          <w:sz w:val="16"/>
        </w:rPr>
        <w:t xml:space="preserve">Réponse : </w:t>
      </w:r>
      <w:r>
        <w:rPr>
          <w:color w:val="1F2937"/>
          <w:sz w:val="16"/>
        </w:rPr>
        <w:t>Publications utiles provenant d’autorités et d’organismes de référence.</w:t>
      </w:r>
    </w:p>
    <w:p>
      <w:pPr>
        <w:pStyle w:val="Normal"/>
        <w:keepNext w:val="true"/>
        <w:spacing w:before="40" w:after="0"/>
        <w:ind w:start="68"/>
        <w:rPr/>
      </w:pPr>
      <w:r>
        <w:rPr>
          <w:b/>
          <w:color w:val="0B3D91"/>
          <w:sz w:val="17"/>
        </w:rPr>
        <w:t>Q4. Quel acteur intervient dans « Suivi des publications utiles » ?</w:t>
      </w:r>
    </w:p>
    <w:p>
      <w:pPr>
        <w:pStyle w:val="Normal"/>
        <w:spacing w:before="0" w:after="40"/>
        <w:ind w:start="255"/>
        <w:rPr/>
      </w:pPr>
      <w:r>
        <w:rPr>
          <w:b/>
          <w:color w:val="D4A017"/>
          <w:sz w:val="16"/>
        </w:rPr>
        <w:t xml:space="preserve">Réponse : </w:t>
      </w:r>
      <w:r>
        <w:rPr>
          <w:color w:val="1F2937"/>
          <w:sz w:val="16"/>
        </w:rPr>
        <w:t>Le dispositif de veille repère les publications et les transmet au circuit d’analyse.</w:t>
      </w:r>
    </w:p>
    <w:p>
      <w:pPr>
        <w:pStyle w:val="Normal"/>
        <w:keepNext w:val="true"/>
        <w:spacing w:before="40" w:after="0"/>
        <w:ind w:start="68"/>
        <w:rPr/>
      </w:pPr>
      <w:r>
        <w:rPr>
          <w:b/>
          <w:color w:val="0B3D91"/>
          <w:sz w:val="17"/>
        </w:rPr>
        <w:t>Q5. Comment « Suivi des publications utiles » est-il mis en œuvre selon le texte publié ?</w:t>
      </w:r>
    </w:p>
    <w:p>
      <w:pPr>
        <w:pStyle w:val="Normal"/>
        <w:spacing w:before="0" w:after="40"/>
        <w:ind w:start="255"/>
        <w:rPr/>
      </w:pPr>
      <w:r>
        <w:rPr>
          <w:b/>
          <w:color w:val="D4A017"/>
          <w:sz w:val="16"/>
        </w:rPr>
        <w:t xml:space="preserve">Réponse : </w:t>
      </w:r>
      <w:r>
        <w:rPr>
          <w:color w:val="1F2937"/>
          <w:sz w:val="16"/>
        </w:rPr>
        <w:t>La sélection se fonde sur l’utilité potentielle pour l’institution.</w:t>
      </w:r>
    </w:p>
    <w:p>
      <w:pPr>
        <w:pStyle w:val="Normal"/>
        <w:keepNext w:val="true"/>
        <w:spacing w:before="40" w:after="0"/>
        <w:ind w:start="68"/>
        <w:rPr/>
      </w:pPr>
      <w:r>
        <w:rPr>
          <w:b/>
          <w:color w:val="0B3D91"/>
          <w:sz w:val="17"/>
        </w:rPr>
        <w:t>Q6. Quelle trace, référence ou information vérifiable accompagne « Suivi des publications utiles » ?</w:t>
      </w:r>
    </w:p>
    <w:p>
      <w:pPr>
        <w:pStyle w:val="Normal"/>
        <w:spacing w:before="0" w:after="40"/>
        <w:ind w:start="255"/>
        <w:rPr/>
      </w:pPr>
      <w:r>
        <w:rPr>
          <w:b/>
          <w:color w:val="D4A017"/>
          <w:sz w:val="16"/>
        </w:rPr>
        <w:t xml:space="preserve">Réponse : </w:t>
      </w:r>
      <w:r>
        <w:rPr>
          <w:color w:val="1F2937"/>
          <w:sz w:val="16"/>
        </w:rPr>
        <w:t>La page indique explicitement l’origine et l’utilité des publications suivies.</w:t>
      </w:r>
    </w:p>
    <w:p>
      <w:pPr>
        <w:pStyle w:val="Normal"/>
        <w:keepNext w:val="true"/>
        <w:spacing w:before="40" w:after="0"/>
        <w:ind w:start="68"/>
        <w:rPr/>
      </w:pPr>
      <w:r>
        <w:rPr>
          <w:b/>
          <w:color w:val="0B3D91"/>
          <w:sz w:val="17"/>
        </w:rPr>
        <w:t>Q7. Quelle limite ou précaution est associée à « Suivi des publications utiles » ?</w:t>
      </w:r>
    </w:p>
    <w:p>
      <w:pPr>
        <w:pStyle w:val="Normal"/>
        <w:spacing w:before="0" w:after="40"/>
        <w:ind w:start="255"/>
        <w:rPr/>
      </w:pPr>
      <w:r>
        <w:rPr>
          <w:b/>
          <w:color w:val="D4A017"/>
          <w:sz w:val="16"/>
        </w:rPr>
        <w:t xml:space="preserve">Réponse : </w:t>
      </w:r>
      <w:r>
        <w:rPr>
          <w:color w:val="1F2937"/>
          <w:sz w:val="16"/>
        </w:rPr>
        <w:t>Toutes les publications disponibles ne sont pas nécessairement pertinentes pour le GSE.</w:t>
      </w:r>
    </w:p>
    <w:p>
      <w:pPr>
        <w:pStyle w:val="Normal"/>
        <w:keepNext w:val="true"/>
        <w:spacing w:before="40" w:after="0"/>
        <w:ind w:start="68"/>
        <w:rPr/>
      </w:pPr>
      <w:r>
        <w:rPr>
          <w:b/>
          <w:color w:val="0B3D91"/>
          <w:sz w:val="17"/>
        </w:rPr>
        <w:t>Q8. À qui « Suivi des publications utiles » est-il utile ou destiné ?</w:t>
      </w:r>
    </w:p>
    <w:p>
      <w:pPr>
        <w:pStyle w:val="Normal"/>
        <w:spacing w:before="0" w:after="40"/>
        <w:ind w:start="255"/>
        <w:rPr/>
      </w:pPr>
      <w:r>
        <w:rPr>
          <w:b/>
          <w:color w:val="D4A017"/>
          <w:sz w:val="16"/>
        </w:rPr>
        <w:t xml:space="preserve">Réponse : </w:t>
      </w:r>
      <w:r>
        <w:rPr>
          <w:color w:val="1F2937"/>
          <w:sz w:val="16"/>
        </w:rPr>
        <w:t>Départements et responsables susceptibles d’être concernés par un changement.</w:t>
      </w:r>
    </w:p>
    <w:p>
      <w:pPr>
        <w:pStyle w:val="Normal"/>
        <w:keepNext w:val="true"/>
        <w:spacing w:before="40" w:after="0"/>
        <w:ind w:start="68"/>
        <w:rPr/>
      </w:pPr>
      <w:r>
        <w:rPr>
          <w:b/>
          <w:color w:val="0B3D91"/>
          <w:sz w:val="17"/>
        </w:rPr>
        <w:t>Q9. À quelles autres rubriques ou fonctions « Suivi des publications utiles » est-il relié ?</w:t>
      </w:r>
    </w:p>
    <w:p>
      <w:pPr>
        <w:pStyle w:val="Normal"/>
        <w:spacing w:before="0" w:after="40"/>
        <w:ind w:start="255"/>
        <w:rPr/>
      </w:pPr>
      <w:r>
        <w:rPr>
          <w:b/>
          <w:color w:val="D4A017"/>
          <w:sz w:val="16"/>
        </w:rPr>
        <w:t xml:space="preserve">Réponse : </w:t>
      </w:r>
      <w:r>
        <w:rPr>
          <w:color w:val="1F2937"/>
          <w:sz w:val="16"/>
        </w:rPr>
        <w:t>Le suivi prépare l’analyse d’impact et la transmission aux départements.</w:t>
      </w:r>
    </w:p>
    <w:p>
      <w:pPr>
        <w:pStyle w:val="Normal"/>
        <w:keepNext w:val="true"/>
        <w:spacing w:before="40" w:after="0"/>
        <w:ind w:start="68"/>
        <w:rPr/>
      </w:pPr>
      <w:r>
        <w:rPr>
          <w:b/>
          <w:color w:val="0B3D91"/>
          <w:sz w:val="17"/>
        </w:rPr>
        <w:t>Q10. Quelle idée essentielle faut-il retenir de « Suivi des publications utiles » ?</w:t>
      </w:r>
    </w:p>
    <w:p>
      <w:pPr>
        <w:pStyle w:val="Normal"/>
        <w:spacing w:before="0" w:after="40"/>
        <w:ind w:start="255"/>
        <w:rPr/>
      </w:pPr>
      <w:r>
        <w:rPr>
          <w:b/>
          <w:color w:val="D4A017"/>
          <w:sz w:val="16"/>
        </w:rPr>
        <w:t xml:space="preserve">Réponse : </w:t>
      </w:r>
      <w:r>
        <w:rPr>
          <w:color w:val="1F2937"/>
          <w:sz w:val="16"/>
        </w:rPr>
        <w:t>La veille porte sur les publications utiles, pas sur toute information indistincte.</w:t>
      </w:r>
    </w:p>
    <w:p>
      <w:pPr>
        <w:pStyle w:val="Normal"/>
        <w:rPr/>
      </w:pPr>
      <w:r>
        <w:rPr/>
      </w:r>
      <w:r>
        <w:br w:type="page"/>
      </w:r>
    </w:p>
    <w:p>
      <w:pPr>
        <w:pStyle w:val="Heading2"/>
        <w:spacing w:before="0" w:after="80"/>
        <w:rPr/>
      </w:pPr>
      <w:r>
        <w:rPr/>
        <w:t>FICHE 08 — Autorités et organismes de référence</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Les publications suivies proviennent des autorités et organismes de référence.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identifie les catégories d’émetteurs considérées comme légitimes pour la veille.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favorise la fiabilité et la traçabilité des informations examinées.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sources originales, conformité, documentation officielle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7"/>
        </w:rPr>
        <w:t>Émetteur officiel</w:t>
      </w:r>
    </w:p>
    <w:p>
      <w:pPr>
        <w:pStyle w:val="ListBullet"/>
        <w:numPr>
          <w:ilvl w:val="0"/>
          <w:numId w:val="1"/>
        </w:numPr>
        <w:spacing w:before="0" w:after="20"/>
        <w:ind w:hanging="360" w:start="255"/>
        <w:contextualSpacing/>
        <w:rPr/>
      </w:pPr>
      <w:r>
        <w:rPr>
          <w:sz w:val="17"/>
        </w:rPr>
        <w:t>Organisme reconnu</w:t>
      </w:r>
    </w:p>
    <w:p>
      <w:pPr>
        <w:pStyle w:val="ListBullet"/>
        <w:numPr>
          <w:ilvl w:val="0"/>
          <w:numId w:val="1"/>
        </w:numPr>
        <w:spacing w:before="0" w:after="20"/>
        <w:ind w:hanging="360" w:start="255"/>
        <w:contextualSpacing/>
        <w:rPr/>
      </w:pPr>
      <w:r>
        <w:rPr>
          <w:sz w:val="17"/>
        </w:rPr>
        <w:t>Provenance</w:t>
      </w:r>
    </w:p>
    <w:p>
      <w:pPr>
        <w:pStyle w:val="ListBullet"/>
        <w:numPr>
          <w:ilvl w:val="0"/>
          <w:numId w:val="1"/>
        </w:numPr>
        <w:spacing w:before="0" w:after="20"/>
        <w:ind w:hanging="360" w:start="255"/>
        <w:contextualSpacing/>
        <w:rPr/>
      </w:pPr>
      <w:r>
        <w:rPr>
          <w:sz w:val="17"/>
        </w:rPr>
        <w:t>Légitimité de la source</w:t>
      </w:r>
    </w:p>
    <w:p>
      <w:pPr>
        <w:pStyle w:val="Heading3"/>
        <w:rPr/>
      </w:pPr>
      <w:r>
        <w:rPr/>
        <w:t>Banque de questions-réponses</w:t>
      </w:r>
    </w:p>
    <w:p>
      <w:pPr>
        <w:pStyle w:val="Normal"/>
        <w:keepNext w:val="true"/>
        <w:spacing w:before="40" w:after="0"/>
        <w:ind w:start="68"/>
        <w:rPr/>
      </w:pPr>
      <w:r>
        <w:rPr>
          <w:b/>
          <w:color w:val="0B3D91"/>
          <w:sz w:val="17"/>
        </w:rPr>
        <w:t>Q1. Que signifie ou présente « Autorités et organismes de référence » ?</w:t>
      </w:r>
    </w:p>
    <w:p>
      <w:pPr>
        <w:pStyle w:val="Normal"/>
        <w:spacing w:before="0" w:after="40"/>
        <w:ind w:start="255"/>
        <w:rPr/>
      </w:pPr>
      <w:r>
        <w:rPr>
          <w:b/>
          <w:color w:val="D4A017"/>
          <w:sz w:val="16"/>
        </w:rPr>
        <w:t xml:space="preserve">Réponse : </w:t>
      </w:r>
      <w:r>
        <w:rPr>
          <w:color w:val="1F2937"/>
          <w:sz w:val="16"/>
        </w:rPr>
        <w:t>Les autorités et organismes de référence sont les institutions dont les publications peuvent servir de base fiable à l’analyse.</w:t>
      </w:r>
    </w:p>
    <w:p>
      <w:pPr>
        <w:pStyle w:val="Normal"/>
        <w:keepNext w:val="true"/>
        <w:spacing w:before="40" w:after="0"/>
        <w:ind w:start="68"/>
        <w:rPr/>
      </w:pPr>
      <w:r>
        <w:rPr>
          <w:b/>
          <w:color w:val="0B3D91"/>
          <w:sz w:val="17"/>
        </w:rPr>
        <w:t>Q2. Pourquoi « Autorités et organismes de référence » figure-t-il dans la page de veille officielle ?</w:t>
      </w:r>
    </w:p>
    <w:p>
      <w:pPr>
        <w:pStyle w:val="Normal"/>
        <w:spacing w:before="0" w:after="40"/>
        <w:ind w:start="255"/>
        <w:rPr/>
      </w:pPr>
      <w:r>
        <w:rPr>
          <w:b/>
          <w:color w:val="D4A017"/>
          <w:sz w:val="16"/>
        </w:rPr>
        <w:t xml:space="preserve">Réponse : </w:t>
      </w:r>
      <w:r>
        <w:rPr>
          <w:color w:val="1F2937"/>
          <w:sz w:val="16"/>
        </w:rPr>
        <w:t>Délimiter les sources que la veille doit privilégier.</w:t>
      </w:r>
    </w:p>
    <w:p>
      <w:pPr>
        <w:pStyle w:val="Normal"/>
        <w:keepNext w:val="true"/>
        <w:spacing w:before="40" w:after="0"/>
        <w:ind w:start="68"/>
        <w:rPr/>
      </w:pPr>
      <w:r>
        <w:rPr>
          <w:b/>
          <w:color w:val="0B3D91"/>
          <w:sz w:val="17"/>
        </w:rPr>
        <w:t>Q3. Quels contenus ou objets sont concernés par « Autorités et organismes de référence » ?</w:t>
      </w:r>
    </w:p>
    <w:p>
      <w:pPr>
        <w:pStyle w:val="Normal"/>
        <w:spacing w:before="0" w:after="40"/>
        <w:ind w:start="255"/>
        <w:rPr/>
      </w:pPr>
      <w:r>
        <w:rPr>
          <w:b/>
          <w:color w:val="D4A017"/>
          <w:sz w:val="16"/>
        </w:rPr>
        <w:t xml:space="preserve">Réponse : </w:t>
      </w:r>
      <w:r>
        <w:rPr>
          <w:color w:val="1F2937"/>
          <w:sz w:val="16"/>
        </w:rPr>
        <w:t>Publications émises par des institutions reconnues dans leur domaine.</w:t>
      </w:r>
    </w:p>
    <w:p>
      <w:pPr>
        <w:pStyle w:val="Normal"/>
        <w:keepNext w:val="true"/>
        <w:spacing w:before="40" w:after="0"/>
        <w:ind w:start="68"/>
        <w:rPr/>
      </w:pPr>
      <w:r>
        <w:rPr>
          <w:b/>
          <w:color w:val="0B3D91"/>
          <w:sz w:val="17"/>
        </w:rPr>
        <w:t>Q4. Quel acteur intervient dans « Autorités et organismes de référence » ?</w:t>
      </w:r>
    </w:p>
    <w:p>
      <w:pPr>
        <w:pStyle w:val="Normal"/>
        <w:spacing w:before="0" w:after="40"/>
        <w:ind w:start="255"/>
        <w:rPr/>
      </w:pPr>
      <w:r>
        <w:rPr>
          <w:b/>
          <w:color w:val="D4A017"/>
          <w:sz w:val="16"/>
        </w:rPr>
        <w:t xml:space="preserve">Réponse : </w:t>
      </w:r>
      <w:r>
        <w:rPr>
          <w:color w:val="1F2937"/>
          <w:sz w:val="16"/>
        </w:rPr>
        <w:t>Le dispositif de veille identifie l’émetteur avant l’analyse.</w:t>
      </w:r>
    </w:p>
    <w:p>
      <w:pPr>
        <w:pStyle w:val="Normal"/>
        <w:keepNext w:val="true"/>
        <w:spacing w:before="40" w:after="0"/>
        <w:ind w:start="68"/>
        <w:rPr/>
      </w:pPr>
      <w:r>
        <w:rPr>
          <w:b/>
          <w:color w:val="0B3D91"/>
          <w:sz w:val="17"/>
        </w:rPr>
        <w:t>Q5. Comment « Autorités et organismes de référence » est-il mis en œuvre selon le texte publié ?</w:t>
      </w:r>
    </w:p>
    <w:p>
      <w:pPr>
        <w:pStyle w:val="Normal"/>
        <w:spacing w:before="0" w:after="40"/>
        <w:ind w:start="255"/>
        <w:rPr/>
      </w:pPr>
      <w:r>
        <w:rPr>
          <w:b/>
          <w:color w:val="D4A017"/>
          <w:sz w:val="16"/>
        </w:rPr>
        <w:t xml:space="preserve">Réponse : </w:t>
      </w:r>
      <w:r>
        <w:rPr>
          <w:color w:val="1F2937"/>
          <w:sz w:val="16"/>
        </w:rPr>
        <w:t>La provenance est contrôlée et rapprochée de la source originale.</w:t>
      </w:r>
    </w:p>
    <w:p>
      <w:pPr>
        <w:pStyle w:val="Normal"/>
        <w:keepNext w:val="true"/>
        <w:spacing w:before="40" w:after="0"/>
        <w:ind w:start="68"/>
        <w:rPr/>
      </w:pPr>
      <w:r>
        <w:rPr>
          <w:b/>
          <w:color w:val="0B3D91"/>
          <w:sz w:val="17"/>
        </w:rPr>
        <w:t>Q6. Quelle trace, référence ou information vérifiable accompagne « Autorités et organismes de référence » ?</w:t>
      </w:r>
    </w:p>
    <w:p>
      <w:pPr>
        <w:pStyle w:val="Normal"/>
        <w:spacing w:before="0" w:after="40"/>
        <w:ind w:start="255"/>
        <w:rPr/>
      </w:pPr>
      <w:r>
        <w:rPr>
          <w:b/>
          <w:color w:val="D4A017"/>
          <w:sz w:val="16"/>
        </w:rPr>
        <w:t xml:space="preserve">Réponse : </w:t>
      </w:r>
      <w:r>
        <w:rPr>
          <w:color w:val="1F2937"/>
          <w:sz w:val="16"/>
        </w:rPr>
        <w:t>Le nom de l’autorité ou de l’organisme constitue un élément de traçabilité.</w:t>
      </w:r>
    </w:p>
    <w:p>
      <w:pPr>
        <w:pStyle w:val="Normal"/>
        <w:keepNext w:val="true"/>
        <w:spacing w:before="40" w:after="0"/>
        <w:ind w:start="68"/>
        <w:rPr/>
      </w:pPr>
      <w:r>
        <w:rPr>
          <w:b/>
          <w:color w:val="0B3D91"/>
          <w:sz w:val="17"/>
        </w:rPr>
        <w:t>Q7. Quelle limite ou précaution est associée à « Autorités et organismes de référence » ?</w:t>
      </w:r>
    </w:p>
    <w:p>
      <w:pPr>
        <w:pStyle w:val="Normal"/>
        <w:spacing w:before="0" w:after="40"/>
        <w:ind w:start="255"/>
        <w:rPr/>
      </w:pPr>
      <w:r>
        <w:rPr>
          <w:b/>
          <w:color w:val="D4A017"/>
          <w:sz w:val="16"/>
        </w:rPr>
        <w:t xml:space="preserve">Réponse : </w:t>
      </w:r>
      <w:r>
        <w:rPr>
          <w:color w:val="1F2937"/>
          <w:sz w:val="16"/>
        </w:rPr>
        <w:t>Une source non reconnue ne doit pas être présentée comme référence officielle.</w:t>
      </w:r>
    </w:p>
    <w:p>
      <w:pPr>
        <w:pStyle w:val="Normal"/>
        <w:keepNext w:val="true"/>
        <w:spacing w:before="40" w:after="0"/>
        <w:ind w:start="68"/>
        <w:rPr/>
      </w:pPr>
      <w:r>
        <w:rPr>
          <w:b/>
          <w:color w:val="0B3D91"/>
          <w:sz w:val="17"/>
        </w:rPr>
        <w:t>Q8. À qui « Autorités et organismes de référence » est-il utile ou destiné ?</w:t>
      </w:r>
    </w:p>
    <w:p>
      <w:pPr>
        <w:pStyle w:val="Normal"/>
        <w:spacing w:before="0" w:after="40"/>
        <w:ind w:start="255"/>
        <w:rPr/>
      </w:pPr>
      <w:r>
        <w:rPr>
          <w:b/>
          <w:color w:val="D4A017"/>
          <w:sz w:val="16"/>
        </w:rPr>
        <w:t xml:space="preserve">Réponse : </w:t>
      </w:r>
      <w:r>
        <w:rPr>
          <w:color w:val="1F2937"/>
          <w:sz w:val="16"/>
        </w:rPr>
        <w:t>Personnel chargé de vérifier la provenance des informations.</w:t>
      </w:r>
    </w:p>
    <w:p>
      <w:pPr>
        <w:pStyle w:val="Normal"/>
        <w:keepNext w:val="true"/>
        <w:spacing w:before="40" w:after="0"/>
        <w:ind w:start="68"/>
        <w:rPr/>
      </w:pPr>
      <w:r>
        <w:rPr>
          <w:b/>
          <w:color w:val="0B3D91"/>
          <w:sz w:val="17"/>
        </w:rPr>
        <w:t>Q9. À quelles autres rubriques ou fonctions « Autorités et organismes de référence » est-il relié ?</w:t>
      </w:r>
    </w:p>
    <w:p>
      <w:pPr>
        <w:pStyle w:val="Normal"/>
        <w:spacing w:before="0" w:after="40"/>
        <w:ind w:start="255"/>
        <w:rPr/>
      </w:pPr>
      <w:r>
        <w:rPr>
          <w:b/>
          <w:color w:val="D4A017"/>
          <w:sz w:val="16"/>
        </w:rPr>
        <w:t xml:space="preserve">Réponse : </w:t>
      </w:r>
      <w:r>
        <w:rPr>
          <w:color w:val="1F2937"/>
          <w:sz w:val="16"/>
        </w:rPr>
        <w:t>Cette notion soutient la règle excluant les sources secondaires non vérifiées.</w:t>
      </w:r>
    </w:p>
    <w:p>
      <w:pPr>
        <w:pStyle w:val="Normal"/>
        <w:keepNext w:val="true"/>
        <w:spacing w:before="40" w:after="0"/>
        <w:ind w:start="68"/>
        <w:rPr/>
      </w:pPr>
      <w:r>
        <w:rPr>
          <w:b/>
          <w:color w:val="0B3D91"/>
          <w:sz w:val="17"/>
        </w:rPr>
        <w:t>Q10. Quelle idée essentielle faut-il retenir de « Autorités et organismes de référence » ?</w:t>
      </w:r>
    </w:p>
    <w:p>
      <w:pPr>
        <w:pStyle w:val="Normal"/>
        <w:spacing w:before="0" w:after="40"/>
        <w:ind w:start="255"/>
        <w:rPr/>
      </w:pPr>
      <w:r>
        <w:rPr>
          <w:b/>
          <w:color w:val="D4A017"/>
          <w:sz w:val="16"/>
        </w:rPr>
        <w:t xml:space="preserve">Réponse : </w:t>
      </w:r>
      <w:r>
        <w:rPr>
          <w:color w:val="1F2937"/>
          <w:sz w:val="16"/>
        </w:rPr>
        <w:t>La qualité de la veille dépend d’abord de la légitimité de l’émetteur.</w:t>
      </w:r>
    </w:p>
    <w:p>
      <w:pPr>
        <w:pStyle w:val="Normal"/>
        <w:rPr/>
      </w:pPr>
      <w:r>
        <w:rPr/>
      </w:r>
      <w:r>
        <w:br w:type="page"/>
      </w:r>
    </w:p>
    <w:p>
      <w:pPr>
        <w:pStyle w:val="Heading2"/>
        <w:spacing w:before="0" w:after="80"/>
        <w:rPr/>
      </w:pPr>
      <w:r>
        <w:rPr/>
        <w:t>FICHE 09 — Priorité aux sources originales</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privilégie les sources originales.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souligne que la meilleure référence est la publication produite par l’émetteur compétent.</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réduit les déformations, résumés incomplets et erreurs de reprise.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vérification, absence de source secondaire non vérifiée et documentation publique.</w:t>
            </w:r>
          </w:p>
        </w:tc>
      </w:tr>
    </w:tbl>
    <w:p>
      <w:pPr>
        <w:pStyle w:val="Heading3"/>
        <w:rPr/>
      </w:pPr>
      <w:r>
        <w:rPr/>
        <w:t>Points développés</w:t>
      </w:r>
    </w:p>
    <w:p>
      <w:pPr>
        <w:pStyle w:val="ListBullet"/>
        <w:numPr>
          <w:ilvl w:val="0"/>
          <w:numId w:val="1"/>
        </w:numPr>
        <w:spacing w:before="0" w:after="20"/>
        <w:ind w:hanging="360" w:start="255"/>
        <w:contextualSpacing/>
        <w:rPr/>
      </w:pPr>
      <w:r>
        <w:rPr>
          <w:sz w:val="17"/>
        </w:rPr>
        <w:t>Source de première main</w:t>
      </w:r>
    </w:p>
    <w:p>
      <w:pPr>
        <w:pStyle w:val="ListBullet"/>
        <w:numPr>
          <w:ilvl w:val="0"/>
          <w:numId w:val="1"/>
        </w:numPr>
        <w:spacing w:before="0" w:after="20"/>
        <w:ind w:hanging="360" w:start="255"/>
        <w:contextualSpacing/>
        <w:rPr/>
      </w:pPr>
      <w:r>
        <w:rPr>
          <w:sz w:val="17"/>
        </w:rPr>
        <w:t>Émetteur compétent</w:t>
      </w:r>
    </w:p>
    <w:p>
      <w:pPr>
        <w:pStyle w:val="ListBullet"/>
        <w:numPr>
          <w:ilvl w:val="0"/>
          <w:numId w:val="1"/>
        </w:numPr>
        <w:spacing w:before="0" w:after="20"/>
        <w:ind w:hanging="360" w:start="255"/>
        <w:contextualSpacing/>
        <w:rPr/>
      </w:pPr>
      <w:r>
        <w:rPr>
          <w:sz w:val="17"/>
        </w:rPr>
        <w:t>Fiabilité</w:t>
      </w:r>
    </w:p>
    <w:p>
      <w:pPr>
        <w:pStyle w:val="ListBullet"/>
        <w:numPr>
          <w:ilvl w:val="0"/>
          <w:numId w:val="1"/>
        </w:numPr>
        <w:spacing w:before="0" w:after="20"/>
        <w:ind w:hanging="360" w:start="255"/>
        <w:contextualSpacing/>
        <w:rPr/>
      </w:pPr>
      <w:r>
        <w:rPr>
          <w:sz w:val="17"/>
        </w:rPr>
        <w:t>Réduction des déformations</w:t>
      </w:r>
    </w:p>
    <w:p>
      <w:pPr>
        <w:pStyle w:val="Heading3"/>
        <w:rPr/>
      </w:pPr>
      <w:r>
        <w:rPr/>
        <w:t>Banque de questions-réponses</w:t>
      </w:r>
    </w:p>
    <w:p>
      <w:pPr>
        <w:pStyle w:val="Normal"/>
        <w:keepNext w:val="true"/>
        <w:spacing w:before="40" w:after="0"/>
        <w:ind w:start="68"/>
        <w:rPr/>
      </w:pPr>
      <w:r>
        <w:rPr>
          <w:b/>
          <w:color w:val="0B3D91"/>
          <w:sz w:val="17"/>
        </w:rPr>
        <w:t>Q1. Que signifie ou présente « Priorité aux sources originales » ?</w:t>
      </w:r>
    </w:p>
    <w:p>
      <w:pPr>
        <w:pStyle w:val="Normal"/>
        <w:spacing w:before="0" w:after="40"/>
        <w:ind w:start="255"/>
        <w:rPr/>
      </w:pPr>
      <w:r>
        <w:rPr>
          <w:b/>
          <w:color w:val="D4A017"/>
          <w:sz w:val="16"/>
        </w:rPr>
        <w:t xml:space="preserve">Réponse : </w:t>
      </w:r>
      <w:r>
        <w:rPr>
          <w:color w:val="1F2937"/>
          <w:sz w:val="16"/>
        </w:rPr>
        <w:t>Une source originale est la publication directement émise par l’autorité ou l’organisme compétent.</w:t>
      </w:r>
    </w:p>
    <w:p>
      <w:pPr>
        <w:pStyle w:val="Normal"/>
        <w:keepNext w:val="true"/>
        <w:spacing w:before="40" w:after="0"/>
        <w:ind w:start="68"/>
        <w:rPr/>
      </w:pPr>
      <w:r>
        <w:rPr>
          <w:b/>
          <w:color w:val="0B3D91"/>
          <w:sz w:val="17"/>
        </w:rPr>
        <w:t>Q2. Pourquoi « Priorité aux sources originales » figure-t-il dans la page de veille officielle ?</w:t>
      </w:r>
    </w:p>
    <w:p>
      <w:pPr>
        <w:pStyle w:val="Normal"/>
        <w:spacing w:before="0" w:after="40"/>
        <w:ind w:start="255"/>
        <w:rPr/>
      </w:pPr>
      <w:r>
        <w:rPr>
          <w:b/>
          <w:color w:val="D4A017"/>
          <w:sz w:val="16"/>
        </w:rPr>
        <w:t xml:space="preserve">Réponse : </w:t>
      </w:r>
      <w:r>
        <w:rPr>
          <w:color w:val="1F2937"/>
          <w:sz w:val="16"/>
        </w:rPr>
        <w:t>Fonder l’analyse sur le texte de première main.</w:t>
      </w:r>
    </w:p>
    <w:p>
      <w:pPr>
        <w:pStyle w:val="Normal"/>
        <w:keepNext w:val="true"/>
        <w:spacing w:before="40" w:after="0"/>
        <w:ind w:start="68"/>
        <w:rPr/>
      </w:pPr>
      <w:r>
        <w:rPr>
          <w:b/>
          <w:color w:val="0B3D91"/>
          <w:sz w:val="17"/>
        </w:rPr>
        <w:t>Q3. Quels contenus ou objets sont concernés par « Priorité aux sources originales » ?</w:t>
      </w:r>
    </w:p>
    <w:p>
      <w:pPr>
        <w:pStyle w:val="Normal"/>
        <w:spacing w:before="0" w:after="40"/>
        <w:ind w:start="255"/>
        <w:rPr/>
      </w:pPr>
      <w:r>
        <w:rPr>
          <w:b/>
          <w:color w:val="D4A017"/>
          <w:sz w:val="16"/>
        </w:rPr>
        <w:t xml:space="preserve">Réponse : </w:t>
      </w:r>
      <w:r>
        <w:rPr>
          <w:color w:val="1F2937"/>
          <w:sz w:val="16"/>
        </w:rPr>
        <w:t>Textes, communiqués, décisions ou publications provenant directement de l’émetteur officiel.</w:t>
      </w:r>
    </w:p>
    <w:p>
      <w:pPr>
        <w:pStyle w:val="Normal"/>
        <w:keepNext w:val="true"/>
        <w:spacing w:before="40" w:after="0"/>
        <w:ind w:start="68"/>
        <w:rPr/>
      </w:pPr>
      <w:r>
        <w:rPr>
          <w:b/>
          <w:color w:val="0B3D91"/>
          <w:sz w:val="17"/>
        </w:rPr>
        <w:t>Q4. Quel acteur intervient dans « Priorité aux sources originales » ?</w:t>
      </w:r>
    </w:p>
    <w:p>
      <w:pPr>
        <w:pStyle w:val="Normal"/>
        <w:spacing w:before="0" w:after="40"/>
        <w:ind w:start="255"/>
        <w:rPr/>
      </w:pPr>
      <w:r>
        <w:rPr>
          <w:b/>
          <w:color w:val="D4A017"/>
          <w:sz w:val="16"/>
        </w:rPr>
        <w:t xml:space="preserve">Réponse : </w:t>
      </w:r>
      <w:r>
        <w:rPr>
          <w:color w:val="1F2937"/>
          <w:sz w:val="16"/>
        </w:rPr>
        <w:t>La veille recherche et privilégie l’original avant d’utiliser une reprise.</w:t>
      </w:r>
    </w:p>
    <w:p>
      <w:pPr>
        <w:pStyle w:val="Normal"/>
        <w:keepNext w:val="true"/>
        <w:spacing w:before="40" w:after="0"/>
        <w:ind w:start="68"/>
        <w:rPr/>
      </w:pPr>
      <w:r>
        <w:rPr>
          <w:b/>
          <w:color w:val="0B3D91"/>
          <w:sz w:val="17"/>
        </w:rPr>
        <w:t>Q5. Comment « Priorité aux sources originales » est-il mis en œuvre selon le texte publié ?</w:t>
      </w:r>
    </w:p>
    <w:p>
      <w:pPr>
        <w:pStyle w:val="Normal"/>
        <w:spacing w:before="0" w:after="40"/>
        <w:ind w:start="255"/>
        <w:rPr/>
      </w:pPr>
      <w:r>
        <w:rPr>
          <w:b/>
          <w:color w:val="D4A017"/>
          <w:sz w:val="16"/>
        </w:rPr>
        <w:t xml:space="preserve">Réponse : </w:t>
      </w:r>
      <w:r>
        <w:rPr>
          <w:color w:val="1F2937"/>
          <w:sz w:val="16"/>
        </w:rPr>
        <w:t>L’origine du document est vérifiée avant son classement ou son analyse.</w:t>
      </w:r>
    </w:p>
    <w:p>
      <w:pPr>
        <w:pStyle w:val="Normal"/>
        <w:keepNext w:val="true"/>
        <w:spacing w:before="40" w:after="0"/>
        <w:ind w:start="68"/>
        <w:rPr/>
      </w:pPr>
      <w:r>
        <w:rPr>
          <w:b/>
          <w:color w:val="0B3D91"/>
          <w:sz w:val="17"/>
        </w:rPr>
        <w:t>Q6. Quelle trace, référence ou information vérifiable accompagne « Priorité aux sources originales » ?</w:t>
      </w:r>
    </w:p>
    <w:p>
      <w:pPr>
        <w:pStyle w:val="Normal"/>
        <w:spacing w:before="0" w:after="40"/>
        <w:ind w:start="255"/>
        <w:rPr/>
      </w:pPr>
      <w:r>
        <w:rPr>
          <w:b/>
          <w:color w:val="D4A017"/>
          <w:sz w:val="16"/>
        </w:rPr>
        <w:t xml:space="preserve">Réponse : </w:t>
      </w:r>
      <w:r>
        <w:rPr>
          <w:color w:val="1F2937"/>
          <w:sz w:val="16"/>
        </w:rPr>
        <w:t>La source originale et sa date peuvent être enregistrées comme éléments de référence.</w:t>
      </w:r>
    </w:p>
    <w:p>
      <w:pPr>
        <w:pStyle w:val="Normal"/>
        <w:keepNext w:val="true"/>
        <w:spacing w:before="40" w:after="0"/>
        <w:ind w:start="68"/>
        <w:rPr/>
      </w:pPr>
      <w:r>
        <w:rPr>
          <w:b/>
          <w:color w:val="0B3D91"/>
          <w:sz w:val="17"/>
        </w:rPr>
        <w:t>Q7. Quelle limite ou précaution est associée à « Priorité aux sources originales » ?</w:t>
      </w:r>
    </w:p>
    <w:p>
      <w:pPr>
        <w:pStyle w:val="Normal"/>
        <w:spacing w:before="0" w:after="40"/>
        <w:ind w:start="255"/>
        <w:rPr/>
      </w:pPr>
      <w:r>
        <w:rPr>
          <w:b/>
          <w:color w:val="D4A017"/>
          <w:sz w:val="16"/>
        </w:rPr>
        <w:t xml:space="preserve">Réponse : </w:t>
      </w:r>
      <w:r>
        <w:rPr>
          <w:color w:val="1F2937"/>
          <w:sz w:val="16"/>
        </w:rPr>
        <w:t>Une reprise secondaire ne doit pas remplacer l’original lorsqu’il est disponible.</w:t>
      </w:r>
    </w:p>
    <w:p>
      <w:pPr>
        <w:pStyle w:val="Normal"/>
        <w:keepNext w:val="true"/>
        <w:spacing w:before="40" w:after="0"/>
        <w:ind w:start="68"/>
        <w:rPr/>
      </w:pPr>
      <w:r>
        <w:rPr>
          <w:b/>
          <w:color w:val="0B3D91"/>
          <w:sz w:val="17"/>
        </w:rPr>
        <w:t>Q8. À qui « Priorité aux sources originales » est-il utile ou destiné ?</w:t>
      </w:r>
    </w:p>
    <w:p>
      <w:pPr>
        <w:pStyle w:val="Normal"/>
        <w:spacing w:before="0" w:after="40"/>
        <w:ind w:start="255"/>
        <w:rPr/>
      </w:pPr>
      <w:r>
        <w:rPr>
          <w:b/>
          <w:color w:val="D4A017"/>
          <w:sz w:val="16"/>
        </w:rPr>
        <w:t xml:space="preserve">Réponse : </w:t>
      </w:r>
      <w:r>
        <w:rPr>
          <w:color w:val="1F2937"/>
          <w:sz w:val="16"/>
        </w:rPr>
        <w:t>Analystes, responsables et départements qui doivent s’appuyer sur une base fiable.</w:t>
      </w:r>
    </w:p>
    <w:p>
      <w:pPr>
        <w:pStyle w:val="Normal"/>
        <w:keepNext w:val="true"/>
        <w:spacing w:before="40" w:after="0"/>
        <w:ind w:start="68"/>
        <w:rPr/>
      </w:pPr>
      <w:r>
        <w:rPr>
          <w:b/>
          <w:color w:val="0B3D91"/>
          <w:sz w:val="17"/>
        </w:rPr>
        <w:t>Q9. À quelles autres rubriques ou fonctions « Priorité aux sources originales » est-il relié ?</w:t>
      </w:r>
    </w:p>
    <w:p>
      <w:pPr>
        <w:pStyle w:val="Normal"/>
        <w:spacing w:before="0" w:after="40"/>
        <w:ind w:start="255"/>
        <w:rPr/>
      </w:pPr>
      <w:r>
        <w:rPr>
          <w:b/>
          <w:color w:val="D4A017"/>
          <w:sz w:val="16"/>
        </w:rPr>
        <w:t xml:space="preserve">Réponse : </w:t>
      </w:r>
      <w:r>
        <w:rPr>
          <w:color w:val="1F2937"/>
          <w:sz w:val="16"/>
        </w:rPr>
        <w:t>Cette priorité soutient la qualité, la traçabilité et la validation humaine.</w:t>
      </w:r>
    </w:p>
    <w:p>
      <w:pPr>
        <w:pStyle w:val="Normal"/>
        <w:keepNext w:val="true"/>
        <w:spacing w:before="40" w:after="0"/>
        <w:ind w:start="68"/>
        <w:rPr/>
      </w:pPr>
      <w:r>
        <w:rPr>
          <w:b/>
          <w:color w:val="0B3D91"/>
          <w:sz w:val="17"/>
        </w:rPr>
        <w:t>Q10. Quelle idée essentielle faut-il retenir de « Priorité aux sources originales » ?</w:t>
      </w:r>
    </w:p>
    <w:p>
      <w:pPr>
        <w:pStyle w:val="Normal"/>
        <w:spacing w:before="0" w:after="40"/>
        <w:ind w:start="255"/>
        <w:rPr/>
      </w:pPr>
      <w:r>
        <w:rPr>
          <w:b/>
          <w:color w:val="D4A017"/>
          <w:sz w:val="16"/>
        </w:rPr>
        <w:t xml:space="preserve">Réponse : </w:t>
      </w:r>
      <w:r>
        <w:rPr>
          <w:color w:val="1F2937"/>
          <w:sz w:val="16"/>
        </w:rPr>
        <w:t>L’analyse doit partir du document d’origine, non d’un commentaire non vérifié.</w:t>
      </w:r>
    </w:p>
    <w:p>
      <w:pPr>
        <w:pStyle w:val="Normal"/>
        <w:rPr/>
      </w:pPr>
      <w:r>
        <w:rPr/>
      </w:r>
      <w:r>
        <w:br w:type="page"/>
      </w:r>
    </w:p>
    <w:p>
      <w:pPr>
        <w:pStyle w:val="Heading2"/>
        <w:spacing w:before="0" w:after="80"/>
        <w:rPr/>
      </w:pPr>
      <w:r>
        <w:rPr/>
        <w:t>FICHE 10 — Enregistrement de la date</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enregistre la date de la publication ou de son suivi.</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met en évidence la dimension chronologique nécessaire à une veille fiable.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La date aide à distinguer les versions, apprécier l’actualité et reconstruire le traitement effectué.</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portée, version, traçabilité, documentation et analyse d’impact.</w:t>
            </w:r>
          </w:p>
        </w:tc>
      </w:tr>
    </w:tbl>
    <w:p>
      <w:pPr>
        <w:pStyle w:val="Heading3"/>
        <w:rPr/>
      </w:pPr>
      <w:r>
        <w:rPr/>
        <w:t>Points développés</w:t>
      </w:r>
    </w:p>
    <w:p>
      <w:pPr>
        <w:pStyle w:val="ListBullet"/>
        <w:numPr>
          <w:ilvl w:val="0"/>
          <w:numId w:val="1"/>
        </w:numPr>
        <w:spacing w:before="0" w:after="20"/>
        <w:ind w:hanging="360" w:start="255"/>
        <w:contextualSpacing/>
        <w:rPr/>
      </w:pPr>
      <w:r>
        <w:rPr>
          <w:sz w:val="17"/>
        </w:rPr>
        <w:t>Repère chronologique</w:t>
      </w:r>
    </w:p>
    <w:p>
      <w:pPr>
        <w:pStyle w:val="ListBullet"/>
        <w:numPr>
          <w:ilvl w:val="0"/>
          <w:numId w:val="1"/>
        </w:numPr>
        <w:spacing w:before="0" w:after="20"/>
        <w:ind w:hanging="360" w:start="255"/>
        <w:contextualSpacing/>
        <w:rPr/>
      </w:pPr>
      <w:r>
        <w:rPr>
          <w:sz w:val="17"/>
        </w:rPr>
        <w:t>Actualité</w:t>
      </w:r>
    </w:p>
    <w:p>
      <w:pPr>
        <w:pStyle w:val="ListBullet"/>
        <w:numPr>
          <w:ilvl w:val="0"/>
          <w:numId w:val="1"/>
        </w:numPr>
        <w:spacing w:before="0" w:after="20"/>
        <w:ind w:hanging="360" w:start="255"/>
        <w:contextualSpacing/>
        <w:rPr/>
      </w:pPr>
      <w:r>
        <w:rPr>
          <w:sz w:val="17"/>
        </w:rPr>
        <w:t>Version</w:t>
      </w:r>
    </w:p>
    <w:p>
      <w:pPr>
        <w:pStyle w:val="ListBullet"/>
        <w:numPr>
          <w:ilvl w:val="0"/>
          <w:numId w:val="1"/>
        </w:numPr>
        <w:spacing w:before="0" w:after="20"/>
        <w:ind w:hanging="360" w:start="255"/>
        <w:contextualSpacing/>
        <w:rPr/>
      </w:pPr>
      <w:r>
        <w:rPr>
          <w:sz w:val="17"/>
        </w:rPr>
        <w:t>Traçabilité</w:t>
      </w:r>
    </w:p>
    <w:p>
      <w:pPr>
        <w:pStyle w:val="Heading3"/>
        <w:rPr/>
      </w:pPr>
      <w:r>
        <w:rPr/>
        <w:t>Banque de questions-réponses</w:t>
      </w:r>
    </w:p>
    <w:p>
      <w:pPr>
        <w:pStyle w:val="Normal"/>
        <w:keepNext w:val="true"/>
        <w:spacing w:before="40" w:after="0"/>
        <w:ind w:start="68"/>
        <w:rPr/>
      </w:pPr>
      <w:r>
        <w:rPr>
          <w:b/>
          <w:color w:val="0B3D91"/>
          <w:sz w:val="17"/>
        </w:rPr>
        <w:t>Q1. Que signifie ou présente « Enregistrement de la date » ?</w:t>
      </w:r>
    </w:p>
    <w:p>
      <w:pPr>
        <w:pStyle w:val="Normal"/>
        <w:spacing w:before="0" w:after="40"/>
        <w:ind w:start="255"/>
        <w:rPr/>
      </w:pPr>
      <w:r>
        <w:rPr>
          <w:b/>
          <w:color w:val="D4A017"/>
          <w:sz w:val="16"/>
        </w:rPr>
        <w:t xml:space="preserve">Réponse : </w:t>
      </w:r>
      <w:r>
        <w:rPr>
          <w:color w:val="1F2937"/>
          <w:sz w:val="16"/>
        </w:rPr>
        <w:t>L’enregistrement de la date consiste à conserver le repère temporel associé à la publication suivie.</w:t>
      </w:r>
    </w:p>
    <w:p>
      <w:pPr>
        <w:pStyle w:val="Normal"/>
        <w:keepNext w:val="true"/>
        <w:spacing w:before="40" w:after="0"/>
        <w:ind w:start="68"/>
        <w:rPr/>
      </w:pPr>
      <w:r>
        <w:rPr>
          <w:b/>
          <w:color w:val="0B3D91"/>
          <w:sz w:val="17"/>
        </w:rPr>
        <w:t>Q2. Pourquoi « Enregistrement de la date » figure-t-il dans la page de veille officielle ?</w:t>
      </w:r>
    </w:p>
    <w:p>
      <w:pPr>
        <w:pStyle w:val="Normal"/>
        <w:spacing w:before="0" w:after="40"/>
        <w:ind w:start="255"/>
        <w:rPr/>
      </w:pPr>
      <w:r>
        <w:rPr>
          <w:b/>
          <w:color w:val="D4A017"/>
          <w:sz w:val="16"/>
        </w:rPr>
        <w:t xml:space="preserve">Réponse : </w:t>
      </w:r>
      <w:r>
        <w:rPr>
          <w:color w:val="1F2937"/>
          <w:sz w:val="16"/>
        </w:rPr>
        <w:t>Savoir quand l’information a été émise ou prise en compte.</w:t>
      </w:r>
    </w:p>
    <w:p>
      <w:pPr>
        <w:pStyle w:val="Normal"/>
        <w:keepNext w:val="true"/>
        <w:spacing w:before="40" w:after="0"/>
        <w:ind w:start="68"/>
        <w:rPr/>
      </w:pPr>
      <w:r>
        <w:rPr>
          <w:b/>
          <w:color w:val="0B3D91"/>
          <w:sz w:val="17"/>
        </w:rPr>
        <w:t>Q3. Quels contenus ou objets sont concernés par « Enregistrement de la date » ?</w:t>
      </w:r>
    </w:p>
    <w:p>
      <w:pPr>
        <w:pStyle w:val="Normal"/>
        <w:spacing w:before="0" w:after="40"/>
        <w:ind w:start="255"/>
        <w:rPr/>
      </w:pPr>
      <w:r>
        <w:rPr>
          <w:b/>
          <w:color w:val="D4A017"/>
          <w:sz w:val="16"/>
        </w:rPr>
        <w:t xml:space="preserve">Réponse : </w:t>
      </w:r>
      <w:r>
        <w:rPr>
          <w:color w:val="1F2937"/>
          <w:sz w:val="16"/>
        </w:rPr>
        <w:t>Date de publication, de repérage ou d’enregistrement dans le circuit de veille.</w:t>
      </w:r>
    </w:p>
    <w:p>
      <w:pPr>
        <w:pStyle w:val="Normal"/>
        <w:keepNext w:val="true"/>
        <w:spacing w:before="40" w:after="0"/>
        <w:ind w:start="68"/>
        <w:rPr/>
      </w:pPr>
      <w:r>
        <w:rPr>
          <w:b/>
          <w:color w:val="0B3D91"/>
          <w:sz w:val="17"/>
        </w:rPr>
        <w:t>Q4. Quel acteur intervient dans « Enregistrement de la date » ?</w:t>
      </w:r>
    </w:p>
    <w:p>
      <w:pPr>
        <w:pStyle w:val="Normal"/>
        <w:spacing w:before="0" w:after="40"/>
        <w:ind w:start="255"/>
        <w:rPr/>
      </w:pPr>
      <w:r>
        <w:rPr>
          <w:b/>
          <w:color w:val="D4A017"/>
          <w:sz w:val="16"/>
        </w:rPr>
        <w:t xml:space="preserve">Réponse : </w:t>
      </w:r>
      <w:r>
        <w:rPr>
          <w:color w:val="1F2937"/>
          <w:sz w:val="16"/>
        </w:rPr>
        <w:t>Le dispositif associe un repère temporel à la source analysée.</w:t>
      </w:r>
    </w:p>
    <w:p>
      <w:pPr>
        <w:pStyle w:val="Normal"/>
        <w:keepNext w:val="true"/>
        <w:spacing w:before="40" w:after="0"/>
        <w:ind w:start="68"/>
        <w:rPr/>
      </w:pPr>
      <w:r>
        <w:rPr>
          <w:b/>
          <w:color w:val="0B3D91"/>
          <w:sz w:val="17"/>
        </w:rPr>
        <w:t>Q5. Comment « Enregistrement de la date » est-il mis en œuvre selon le texte publié ?</w:t>
      </w:r>
    </w:p>
    <w:p>
      <w:pPr>
        <w:pStyle w:val="Normal"/>
        <w:spacing w:before="0" w:after="40"/>
        <w:ind w:start="255"/>
        <w:rPr/>
      </w:pPr>
      <w:r>
        <w:rPr>
          <w:b/>
          <w:color w:val="D4A017"/>
          <w:sz w:val="16"/>
        </w:rPr>
        <w:t xml:space="preserve">Réponse : </w:t>
      </w:r>
      <w:r>
        <w:rPr>
          <w:color w:val="1F2937"/>
          <w:sz w:val="16"/>
        </w:rPr>
        <w:t>La date est conservée avec les autres informations de qualification.</w:t>
      </w:r>
    </w:p>
    <w:p>
      <w:pPr>
        <w:pStyle w:val="Normal"/>
        <w:keepNext w:val="true"/>
        <w:spacing w:before="40" w:after="0"/>
        <w:ind w:start="68"/>
        <w:rPr/>
      </w:pPr>
      <w:r>
        <w:rPr>
          <w:b/>
          <w:color w:val="0B3D91"/>
          <w:sz w:val="17"/>
        </w:rPr>
        <w:t>Q6. Quelle trace, référence ou information vérifiable accompagne « Enregistrement de la date » ?</w:t>
      </w:r>
    </w:p>
    <w:p>
      <w:pPr>
        <w:pStyle w:val="Normal"/>
        <w:spacing w:before="0" w:after="40"/>
        <w:ind w:start="255"/>
        <w:rPr/>
      </w:pPr>
      <w:r>
        <w:rPr>
          <w:b/>
          <w:color w:val="D4A017"/>
          <w:sz w:val="16"/>
        </w:rPr>
        <w:t xml:space="preserve">Réponse : </w:t>
      </w:r>
      <w:r>
        <w:rPr>
          <w:color w:val="1F2937"/>
          <w:sz w:val="16"/>
        </w:rPr>
        <w:t>Le repère temporel constitue une trace vérifiable.</w:t>
      </w:r>
    </w:p>
    <w:p>
      <w:pPr>
        <w:pStyle w:val="Normal"/>
        <w:keepNext w:val="true"/>
        <w:spacing w:before="40" w:after="0"/>
        <w:ind w:start="68"/>
        <w:rPr/>
      </w:pPr>
      <w:r>
        <w:rPr>
          <w:b/>
          <w:color w:val="0B3D91"/>
          <w:sz w:val="17"/>
        </w:rPr>
        <w:t>Q7. Quelle limite ou précaution est associée à « Enregistrement de la date » ?</w:t>
      </w:r>
    </w:p>
    <w:p>
      <w:pPr>
        <w:pStyle w:val="Normal"/>
        <w:spacing w:before="0" w:after="40"/>
        <w:ind w:start="255"/>
        <w:rPr/>
      </w:pPr>
      <w:r>
        <w:rPr>
          <w:b/>
          <w:color w:val="D4A017"/>
          <w:sz w:val="16"/>
        </w:rPr>
        <w:t xml:space="preserve">Réponse : </w:t>
      </w:r>
      <w:r>
        <w:rPr>
          <w:color w:val="1F2937"/>
          <w:sz w:val="16"/>
        </w:rPr>
        <w:t>Une information ancienne ne doit pas être confondue avec une version plus récente.</w:t>
      </w:r>
    </w:p>
    <w:p>
      <w:pPr>
        <w:pStyle w:val="Normal"/>
        <w:keepNext w:val="true"/>
        <w:spacing w:before="40" w:after="0"/>
        <w:ind w:start="68"/>
        <w:rPr/>
      </w:pPr>
      <w:r>
        <w:rPr>
          <w:b/>
          <w:color w:val="0B3D91"/>
          <w:sz w:val="17"/>
        </w:rPr>
        <w:t>Q8. À qui « Enregistrement de la date » est-il utile ou destiné ?</w:t>
      </w:r>
    </w:p>
    <w:p>
      <w:pPr>
        <w:pStyle w:val="Normal"/>
        <w:spacing w:before="0" w:after="40"/>
        <w:ind w:start="255"/>
        <w:rPr/>
      </w:pPr>
      <w:r>
        <w:rPr>
          <w:b/>
          <w:color w:val="D4A017"/>
          <w:sz w:val="16"/>
        </w:rPr>
        <w:t xml:space="preserve">Réponse : </w:t>
      </w:r>
      <w:r>
        <w:rPr>
          <w:color w:val="1F2937"/>
          <w:sz w:val="16"/>
        </w:rPr>
        <w:t>Toute personne qui doit vérifier l’actualité ou l’ordre des événements.</w:t>
      </w:r>
    </w:p>
    <w:p>
      <w:pPr>
        <w:pStyle w:val="Normal"/>
        <w:keepNext w:val="true"/>
        <w:spacing w:before="40" w:after="0"/>
        <w:ind w:start="68"/>
        <w:rPr/>
      </w:pPr>
      <w:r>
        <w:rPr>
          <w:b/>
          <w:color w:val="0B3D91"/>
          <w:sz w:val="17"/>
        </w:rPr>
        <w:t>Q9. À quelles autres rubriques ou fonctions « Enregistrement de la date » est-il relié ?</w:t>
      </w:r>
    </w:p>
    <w:p>
      <w:pPr>
        <w:pStyle w:val="Normal"/>
        <w:spacing w:before="0" w:after="40"/>
        <w:ind w:start="255"/>
        <w:rPr/>
      </w:pPr>
      <w:r>
        <w:rPr>
          <w:b/>
          <w:color w:val="D4A017"/>
          <w:sz w:val="16"/>
        </w:rPr>
        <w:t xml:space="preserve">Réponse : </w:t>
      </w:r>
      <w:r>
        <w:rPr>
          <w:color w:val="1F2937"/>
          <w:sz w:val="16"/>
        </w:rPr>
        <w:t>La date se combine avec la portée et la version documentaire.</w:t>
      </w:r>
    </w:p>
    <w:p>
      <w:pPr>
        <w:pStyle w:val="Normal"/>
        <w:keepNext w:val="true"/>
        <w:spacing w:before="40" w:after="0"/>
        <w:ind w:start="68"/>
        <w:rPr/>
      </w:pPr>
      <w:r>
        <w:rPr>
          <w:b/>
          <w:color w:val="0B3D91"/>
          <w:sz w:val="17"/>
        </w:rPr>
        <w:t>Q10. Quelle idée essentielle faut-il retenir de « Enregistrement de la date » ?</w:t>
      </w:r>
    </w:p>
    <w:p>
      <w:pPr>
        <w:pStyle w:val="Normal"/>
        <w:spacing w:before="0" w:after="40"/>
        <w:ind w:start="255"/>
        <w:rPr/>
      </w:pPr>
      <w:r>
        <w:rPr>
          <w:b/>
          <w:color w:val="D4A017"/>
          <w:sz w:val="16"/>
        </w:rPr>
        <w:t xml:space="preserve">Réponse : </w:t>
      </w:r>
      <w:r>
        <w:rPr>
          <w:color w:val="1F2937"/>
          <w:sz w:val="16"/>
        </w:rPr>
        <w:t>Une veille traçable précise quand la publication a été prise en compte.</w:t>
      </w:r>
    </w:p>
    <w:p>
      <w:pPr>
        <w:pStyle w:val="Normal"/>
        <w:rPr/>
      </w:pPr>
      <w:r>
        <w:rPr/>
      </w:r>
      <w:r>
        <w:br w:type="page"/>
      </w:r>
    </w:p>
    <w:p>
      <w:pPr>
        <w:pStyle w:val="Heading2"/>
        <w:spacing w:before="0" w:after="80"/>
        <w:rPr/>
      </w:pPr>
      <w:r>
        <w:rPr/>
        <w:t>FICHE 11 — Enregistrement de la portée</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enregistre la portée de la publication.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souligne qu’un texte ne doit pas être interprété hors de son champ d’application.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La portée permet de savoir quels domaines, personnes, niveaux ou activités peuvent être concernés.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analyse d’impact, départements concernés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7"/>
        </w:rPr>
        <w:t>Champ d’application</w:t>
      </w:r>
    </w:p>
    <w:p>
      <w:pPr>
        <w:pStyle w:val="ListBullet"/>
        <w:numPr>
          <w:ilvl w:val="0"/>
          <w:numId w:val="1"/>
        </w:numPr>
        <w:spacing w:before="0" w:after="20"/>
        <w:ind w:hanging="360" w:start="255"/>
        <w:contextualSpacing/>
        <w:rPr/>
      </w:pPr>
      <w:r>
        <w:rPr>
          <w:sz w:val="17"/>
        </w:rPr>
        <w:t>Domaines concernés</w:t>
      </w:r>
    </w:p>
    <w:p>
      <w:pPr>
        <w:pStyle w:val="ListBullet"/>
        <w:numPr>
          <w:ilvl w:val="0"/>
          <w:numId w:val="1"/>
        </w:numPr>
        <w:spacing w:before="0" w:after="20"/>
        <w:ind w:hanging="360" w:start="255"/>
        <w:contextualSpacing/>
        <w:rPr/>
      </w:pPr>
      <w:r>
        <w:rPr>
          <w:sz w:val="17"/>
        </w:rPr>
        <w:t>Limites</w:t>
      </w:r>
    </w:p>
    <w:p>
      <w:pPr>
        <w:pStyle w:val="ListBullet"/>
        <w:numPr>
          <w:ilvl w:val="0"/>
          <w:numId w:val="1"/>
        </w:numPr>
        <w:spacing w:before="0" w:after="20"/>
        <w:ind w:hanging="360" w:start="255"/>
        <w:contextualSpacing/>
        <w:rPr/>
      </w:pPr>
      <w:r>
        <w:rPr>
          <w:sz w:val="17"/>
        </w:rPr>
        <w:t>Qualification</w:t>
      </w:r>
    </w:p>
    <w:p>
      <w:pPr>
        <w:pStyle w:val="Heading3"/>
        <w:rPr/>
      </w:pPr>
      <w:r>
        <w:rPr/>
        <w:t>Banque de questions-réponses</w:t>
      </w:r>
    </w:p>
    <w:p>
      <w:pPr>
        <w:pStyle w:val="Normal"/>
        <w:keepNext w:val="true"/>
        <w:spacing w:before="40" w:after="0"/>
        <w:ind w:start="68"/>
        <w:rPr/>
      </w:pPr>
      <w:r>
        <w:rPr>
          <w:b/>
          <w:color w:val="0B3D91"/>
          <w:sz w:val="17"/>
        </w:rPr>
        <w:t>Q1. Que signifie ou présente « Enregistrement de la portée » ?</w:t>
      </w:r>
    </w:p>
    <w:p>
      <w:pPr>
        <w:pStyle w:val="Normal"/>
        <w:spacing w:before="0" w:after="40"/>
        <w:ind w:start="255"/>
        <w:rPr/>
      </w:pPr>
      <w:r>
        <w:rPr>
          <w:b/>
          <w:color w:val="D4A017"/>
          <w:sz w:val="16"/>
        </w:rPr>
        <w:t xml:space="preserve">Réponse : </w:t>
      </w:r>
      <w:r>
        <w:rPr>
          <w:color w:val="1F2937"/>
          <w:sz w:val="16"/>
        </w:rPr>
        <w:t>La portée désigne le champ auquel une publication s’applique ou pourrait s’appliquer.</w:t>
      </w:r>
    </w:p>
    <w:p>
      <w:pPr>
        <w:pStyle w:val="Normal"/>
        <w:keepNext w:val="true"/>
        <w:spacing w:before="40" w:after="0"/>
        <w:ind w:start="68"/>
        <w:rPr/>
      </w:pPr>
      <w:r>
        <w:rPr>
          <w:b/>
          <w:color w:val="0B3D91"/>
          <w:sz w:val="17"/>
        </w:rPr>
        <w:t>Q2. Pourquoi « Enregistrement de la portée » figure-t-il dans la page de veille officielle ?</w:t>
      </w:r>
    </w:p>
    <w:p>
      <w:pPr>
        <w:pStyle w:val="Normal"/>
        <w:spacing w:before="0" w:after="40"/>
        <w:ind w:start="255"/>
        <w:rPr/>
      </w:pPr>
      <w:r>
        <w:rPr>
          <w:b/>
          <w:color w:val="D4A017"/>
          <w:sz w:val="16"/>
        </w:rPr>
        <w:t xml:space="preserve">Réponse : </w:t>
      </w:r>
      <w:r>
        <w:rPr>
          <w:color w:val="1F2937"/>
          <w:sz w:val="16"/>
        </w:rPr>
        <w:t>Éviter de généraliser une exigence au-delà de ce qu’elle couvre réellement.</w:t>
      </w:r>
    </w:p>
    <w:p>
      <w:pPr>
        <w:pStyle w:val="Normal"/>
        <w:keepNext w:val="true"/>
        <w:spacing w:before="40" w:after="0"/>
        <w:ind w:start="68"/>
        <w:rPr/>
      </w:pPr>
      <w:r>
        <w:rPr>
          <w:b/>
          <w:color w:val="0B3D91"/>
          <w:sz w:val="17"/>
        </w:rPr>
        <w:t>Q3. Quels contenus ou objets sont concernés par « Enregistrement de la portée » ?</w:t>
      </w:r>
    </w:p>
    <w:p>
      <w:pPr>
        <w:pStyle w:val="Normal"/>
        <w:spacing w:before="0" w:after="40"/>
        <w:ind w:start="255"/>
        <w:rPr/>
      </w:pPr>
      <w:r>
        <w:rPr>
          <w:b/>
          <w:color w:val="D4A017"/>
          <w:sz w:val="16"/>
        </w:rPr>
        <w:t xml:space="preserve">Réponse : </w:t>
      </w:r>
      <w:r>
        <w:rPr>
          <w:color w:val="1F2937"/>
          <w:sz w:val="16"/>
        </w:rPr>
        <w:t>Domaine, bénéficiaires, territoire, période ou activités visés par la publication.</w:t>
      </w:r>
    </w:p>
    <w:p>
      <w:pPr>
        <w:pStyle w:val="Normal"/>
        <w:keepNext w:val="true"/>
        <w:spacing w:before="40" w:after="0"/>
        <w:ind w:start="68"/>
        <w:rPr/>
      </w:pPr>
      <w:r>
        <w:rPr>
          <w:b/>
          <w:color w:val="0B3D91"/>
          <w:sz w:val="17"/>
        </w:rPr>
        <w:t>Q4. Quel acteur intervient dans « Enregistrement de la portée » ?</w:t>
      </w:r>
    </w:p>
    <w:p>
      <w:pPr>
        <w:pStyle w:val="Normal"/>
        <w:spacing w:before="0" w:after="40"/>
        <w:ind w:start="255"/>
        <w:rPr/>
      </w:pPr>
      <w:r>
        <w:rPr>
          <w:b/>
          <w:color w:val="D4A017"/>
          <w:sz w:val="16"/>
        </w:rPr>
        <w:t xml:space="preserve">Réponse : </w:t>
      </w:r>
      <w:r>
        <w:rPr>
          <w:color w:val="1F2937"/>
          <w:sz w:val="16"/>
        </w:rPr>
        <w:t>La veille identifie le champ de la publication avant d’en déduire des impacts possibles.</w:t>
      </w:r>
    </w:p>
    <w:p>
      <w:pPr>
        <w:pStyle w:val="Normal"/>
        <w:keepNext w:val="true"/>
        <w:spacing w:before="40" w:after="0"/>
        <w:ind w:start="68"/>
        <w:rPr/>
      </w:pPr>
      <w:r>
        <w:rPr>
          <w:b/>
          <w:color w:val="0B3D91"/>
          <w:sz w:val="17"/>
        </w:rPr>
        <w:t>Q5. Comment « Enregistrement de la portée » est-il mis en œuvre selon le texte publié ?</w:t>
      </w:r>
    </w:p>
    <w:p>
      <w:pPr>
        <w:pStyle w:val="Normal"/>
        <w:spacing w:before="0" w:after="40"/>
        <w:ind w:start="255"/>
        <w:rPr/>
      </w:pPr>
      <w:r>
        <w:rPr>
          <w:b/>
          <w:color w:val="D4A017"/>
          <w:sz w:val="16"/>
        </w:rPr>
        <w:t xml:space="preserve">Réponse : </w:t>
      </w:r>
      <w:r>
        <w:rPr>
          <w:color w:val="1F2937"/>
          <w:sz w:val="16"/>
        </w:rPr>
        <w:t>La portée est associée à la date et à la source originale.</w:t>
      </w:r>
    </w:p>
    <w:p>
      <w:pPr>
        <w:pStyle w:val="Normal"/>
        <w:keepNext w:val="true"/>
        <w:spacing w:before="40" w:after="0"/>
        <w:ind w:start="68"/>
        <w:rPr/>
      </w:pPr>
      <w:r>
        <w:rPr>
          <w:b/>
          <w:color w:val="0B3D91"/>
          <w:sz w:val="17"/>
        </w:rPr>
        <w:t>Q6. Quelle trace, référence ou information vérifiable accompagne « Enregistrement de la portée » ?</w:t>
      </w:r>
    </w:p>
    <w:p>
      <w:pPr>
        <w:pStyle w:val="Normal"/>
        <w:spacing w:before="0" w:after="40"/>
        <w:ind w:start="255"/>
        <w:rPr/>
      </w:pPr>
      <w:r>
        <w:rPr>
          <w:b/>
          <w:color w:val="D4A017"/>
          <w:sz w:val="16"/>
        </w:rPr>
        <w:t xml:space="preserve">Réponse : </w:t>
      </w:r>
      <w:r>
        <w:rPr>
          <w:color w:val="1F2937"/>
          <w:sz w:val="16"/>
        </w:rPr>
        <w:t>L’information sur le champ d’application constitue une trace de qualification.</w:t>
      </w:r>
    </w:p>
    <w:p>
      <w:pPr>
        <w:pStyle w:val="Normal"/>
        <w:keepNext w:val="true"/>
        <w:spacing w:before="40" w:after="0"/>
        <w:ind w:start="68"/>
        <w:rPr/>
      </w:pPr>
      <w:r>
        <w:rPr>
          <w:b/>
          <w:color w:val="0B3D91"/>
          <w:sz w:val="17"/>
        </w:rPr>
        <w:t>Q7. Quelle limite ou précaution est associée à « Enregistrement de la portée » ?</w:t>
      </w:r>
    </w:p>
    <w:p>
      <w:pPr>
        <w:pStyle w:val="Normal"/>
        <w:spacing w:before="0" w:after="40"/>
        <w:ind w:start="255"/>
        <w:rPr/>
      </w:pPr>
      <w:r>
        <w:rPr>
          <w:b/>
          <w:color w:val="D4A017"/>
          <w:sz w:val="16"/>
        </w:rPr>
        <w:t xml:space="preserve">Réponse : </w:t>
      </w:r>
      <w:r>
        <w:rPr>
          <w:color w:val="1F2937"/>
          <w:sz w:val="16"/>
        </w:rPr>
        <w:t>Une portée supposée ne doit pas être présentée comme certaine sans vérification.</w:t>
      </w:r>
    </w:p>
    <w:p>
      <w:pPr>
        <w:pStyle w:val="Normal"/>
        <w:keepNext w:val="true"/>
        <w:spacing w:before="40" w:after="0"/>
        <w:ind w:start="68"/>
        <w:rPr/>
      </w:pPr>
      <w:r>
        <w:rPr>
          <w:b/>
          <w:color w:val="0B3D91"/>
          <w:sz w:val="17"/>
        </w:rPr>
        <w:t>Q8. À qui « Enregistrement de la portée » est-il utile ou destiné ?</w:t>
      </w:r>
    </w:p>
    <w:p>
      <w:pPr>
        <w:pStyle w:val="Normal"/>
        <w:spacing w:before="0" w:after="40"/>
        <w:ind w:start="255"/>
        <w:rPr/>
      </w:pPr>
      <w:r>
        <w:rPr>
          <w:b/>
          <w:color w:val="D4A017"/>
          <w:sz w:val="16"/>
        </w:rPr>
        <w:t xml:space="preserve">Réponse : </w:t>
      </w:r>
      <w:r>
        <w:rPr>
          <w:color w:val="1F2937"/>
          <w:sz w:val="16"/>
        </w:rPr>
        <w:t>Départements et responsables chargés d’évaluer si le GSE est concerné.</w:t>
      </w:r>
    </w:p>
    <w:p>
      <w:pPr>
        <w:pStyle w:val="Normal"/>
        <w:keepNext w:val="true"/>
        <w:spacing w:before="40" w:after="0"/>
        <w:ind w:start="68"/>
        <w:rPr/>
      </w:pPr>
      <w:r>
        <w:rPr>
          <w:b/>
          <w:color w:val="0B3D91"/>
          <w:sz w:val="17"/>
        </w:rPr>
        <w:t>Q9. À quelles autres rubriques ou fonctions « Enregistrement de la portée » est-il relié ?</w:t>
      </w:r>
    </w:p>
    <w:p>
      <w:pPr>
        <w:pStyle w:val="Normal"/>
        <w:spacing w:before="0" w:after="40"/>
        <w:ind w:start="255"/>
        <w:rPr/>
      </w:pPr>
      <w:r>
        <w:rPr>
          <w:b/>
          <w:color w:val="D4A017"/>
          <w:sz w:val="16"/>
        </w:rPr>
        <w:t xml:space="preserve">Réponse : </w:t>
      </w:r>
      <w:r>
        <w:rPr>
          <w:color w:val="1F2937"/>
          <w:sz w:val="16"/>
        </w:rPr>
        <w:t>La portée détermine les services auxquels l’impact possible est transmis.</w:t>
      </w:r>
    </w:p>
    <w:p>
      <w:pPr>
        <w:pStyle w:val="Normal"/>
        <w:keepNext w:val="true"/>
        <w:spacing w:before="40" w:after="0"/>
        <w:ind w:start="68"/>
        <w:rPr/>
      </w:pPr>
      <w:r>
        <w:rPr>
          <w:b/>
          <w:color w:val="0B3D91"/>
          <w:sz w:val="17"/>
        </w:rPr>
        <w:t>Q10. Quelle idée essentielle faut-il retenir de « Enregistrement de la portée » ?</w:t>
      </w:r>
    </w:p>
    <w:p>
      <w:pPr>
        <w:pStyle w:val="Normal"/>
        <w:spacing w:before="0" w:after="40"/>
        <w:ind w:start="255"/>
        <w:rPr/>
      </w:pPr>
      <w:r>
        <w:rPr>
          <w:b/>
          <w:color w:val="D4A017"/>
          <w:sz w:val="16"/>
        </w:rPr>
        <w:t xml:space="preserve">Réponse : </w:t>
      </w:r>
      <w:r>
        <w:rPr>
          <w:color w:val="1F2937"/>
          <w:sz w:val="16"/>
        </w:rPr>
        <w:t>Comprendre la portée précède toute décision d’application.</w:t>
      </w:r>
    </w:p>
    <w:p>
      <w:pPr>
        <w:pStyle w:val="Normal"/>
        <w:rPr/>
      </w:pPr>
      <w:r>
        <w:rPr/>
      </w:r>
      <w:r>
        <w:br w:type="page"/>
      </w:r>
    </w:p>
    <w:p>
      <w:pPr>
        <w:pStyle w:val="Heading2"/>
        <w:spacing w:before="0" w:after="80"/>
        <w:rPr/>
      </w:pPr>
      <w:r>
        <w:rPr/>
        <w:t>FICHE 12 — Analyse des impacts possibles</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analyse les impacts possibles des publications suivies.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indique que le dispositif ne se limite pas à collecter des textes.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permet d’anticiper les effets potentiels sur les activités, documents et responsabilités du GSE.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départements concernés, note d’impact d’ÉMINA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7"/>
        </w:rPr>
        <w:t>Conséquences potentielles</w:t>
      </w:r>
    </w:p>
    <w:p>
      <w:pPr>
        <w:pStyle w:val="ListBullet"/>
        <w:numPr>
          <w:ilvl w:val="0"/>
          <w:numId w:val="1"/>
        </w:numPr>
        <w:spacing w:before="0" w:after="20"/>
        <w:ind w:hanging="360" w:start="255"/>
        <w:contextualSpacing/>
        <w:rPr/>
      </w:pPr>
      <w:r>
        <w:rPr>
          <w:sz w:val="17"/>
        </w:rPr>
        <w:t>Anticipation</w:t>
      </w:r>
    </w:p>
    <w:p>
      <w:pPr>
        <w:pStyle w:val="ListBullet"/>
        <w:numPr>
          <w:ilvl w:val="0"/>
          <w:numId w:val="1"/>
        </w:numPr>
        <w:spacing w:before="0" w:after="20"/>
        <w:ind w:hanging="360" w:start="255"/>
        <w:contextualSpacing/>
        <w:rPr/>
      </w:pPr>
      <w:r>
        <w:rPr>
          <w:sz w:val="17"/>
        </w:rPr>
        <w:t>Appui à la décision</w:t>
      </w:r>
    </w:p>
    <w:p>
      <w:pPr>
        <w:pStyle w:val="ListBullet"/>
        <w:numPr>
          <w:ilvl w:val="0"/>
          <w:numId w:val="1"/>
        </w:numPr>
        <w:spacing w:before="0" w:after="20"/>
        <w:ind w:hanging="360" w:start="255"/>
        <w:contextualSpacing/>
        <w:rPr/>
      </w:pPr>
      <w:r>
        <w:rPr>
          <w:sz w:val="17"/>
        </w:rPr>
        <w:t>Absence de décision automatique</w:t>
      </w:r>
    </w:p>
    <w:p>
      <w:pPr>
        <w:pStyle w:val="Heading3"/>
        <w:rPr/>
      </w:pPr>
      <w:r>
        <w:rPr/>
        <w:t>Banque de questions-réponses</w:t>
      </w:r>
    </w:p>
    <w:p>
      <w:pPr>
        <w:pStyle w:val="Normal"/>
        <w:keepNext w:val="true"/>
        <w:spacing w:before="40" w:after="0"/>
        <w:ind w:start="68"/>
        <w:rPr/>
      </w:pPr>
      <w:r>
        <w:rPr>
          <w:b/>
          <w:color w:val="0B3D91"/>
          <w:sz w:val="17"/>
        </w:rPr>
        <w:t>Q1. Que signifie ou présente « Analyse des impacts possibles » ?</w:t>
      </w:r>
    </w:p>
    <w:p>
      <w:pPr>
        <w:pStyle w:val="Normal"/>
        <w:spacing w:before="0" w:after="40"/>
        <w:ind w:start="255"/>
        <w:rPr/>
      </w:pPr>
      <w:r>
        <w:rPr>
          <w:b/>
          <w:color w:val="D4A017"/>
          <w:sz w:val="16"/>
        </w:rPr>
        <w:t xml:space="preserve">Réponse : </w:t>
      </w:r>
      <w:r>
        <w:rPr>
          <w:color w:val="1F2937"/>
          <w:sz w:val="16"/>
        </w:rPr>
        <w:t>L’analyse d’impact examine les conséquences potentielles d’une publication pour l’institution.</w:t>
      </w:r>
    </w:p>
    <w:p>
      <w:pPr>
        <w:pStyle w:val="Normal"/>
        <w:keepNext w:val="true"/>
        <w:spacing w:before="40" w:after="0"/>
        <w:ind w:start="68"/>
        <w:rPr/>
      </w:pPr>
      <w:r>
        <w:rPr>
          <w:b/>
          <w:color w:val="0B3D91"/>
          <w:sz w:val="17"/>
        </w:rPr>
        <w:t>Q2. Pourquoi « Analyse des impacts possibles » figure-t-il dans la page de veille officielle ?</w:t>
      </w:r>
    </w:p>
    <w:p>
      <w:pPr>
        <w:pStyle w:val="Normal"/>
        <w:spacing w:before="0" w:after="40"/>
        <w:ind w:start="255"/>
        <w:rPr/>
      </w:pPr>
      <w:r>
        <w:rPr>
          <w:b/>
          <w:color w:val="D4A017"/>
          <w:sz w:val="16"/>
        </w:rPr>
        <w:t xml:space="preserve">Réponse : </w:t>
      </w:r>
      <w:r>
        <w:rPr>
          <w:color w:val="1F2937"/>
          <w:sz w:val="16"/>
        </w:rPr>
        <w:t>Transformer une information externe en éléments utiles à la décision.</w:t>
      </w:r>
    </w:p>
    <w:p>
      <w:pPr>
        <w:pStyle w:val="Normal"/>
        <w:keepNext w:val="true"/>
        <w:spacing w:before="40" w:after="0"/>
        <w:ind w:start="68"/>
        <w:rPr/>
      </w:pPr>
      <w:r>
        <w:rPr>
          <w:b/>
          <w:color w:val="0B3D91"/>
          <w:sz w:val="17"/>
        </w:rPr>
        <w:t>Q3. Quels contenus ou objets sont concernés par « Analyse des impacts possibles » ?</w:t>
      </w:r>
    </w:p>
    <w:p>
      <w:pPr>
        <w:pStyle w:val="Normal"/>
        <w:spacing w:before="0" w:after="40"/>
        <w:ind w:start="255"/>
        <w:rPr/>
      </w:pPr>
      <w:r>
        <w:rPr>
          <w:b/>
          <w:color w:val="D4A017"/>
          <w:sz w:val="16"/>
        </w:rPr>
        <w:t xml:space="preserve">Réponse : </w:t>
      </w:r>
      <w:r>
        <w:rPr>
          <w:color w:val="1F2937"/>
          <w:sz w:val="16"/>
        </w:rPr>
        <w:t>Effets possibles sur les procédures, départements, documents, services ou pratiques.</w:t>
      </w:r>
    </w:p>
    <w:p>
      <w:pPr>
        <w:pStyle w:val="Normal"/>
        <w:keepNext w:val="true"/>
        <w:spacing w:before="40" w:after="0"/>
        <w:ind w:start="68"/>
        <w:rPr/>
      </w:pPr>
      <w:r>
        <w:rPr>
          <w:b/>
          <w:color w:val="0B3D91"/>
          <w:sz w:val="17"/>
        </w:rPr>
        <w:t>Q4. Quel acteur intervient dans « Analyse des impacts possibles » ?</w:t>
      </w:r>
    </w:p>
    <w:p>
      <w:pPr>
        <w:pStyle w:val="Normal"/>
        <w:spacing w:before="0" w:after="40"/>
        <w:ind w:start="255"/>
        <w:rPr/>
      </w:pPr>
      <w:r>
        <w:rPr>
          <w:b/>
          <w:color w:val="D4A017"/>
          <w:sz w:val="16"/>
        </w:rPr>
        <w:t xml:space="preserve">Réponse : </w:t>
      </w:r>
      <w:r>
        <w:rPr>
          <w:color w:val="1F2937"/>
          <w:sz w:val="16"/>
        </w:rPr>
        <w:t>La publication est étudiée puis ses effets potentiels sont décrits.</w:t>
      </w:r>
    </w:p>
    <w:p>
      <w:pPr>
        <w:pStyle w:val="Normal"/>
        <w:keepNext w:val="true"/>
        <w:spacing w:before="40" w:after="0"/>
        <w:ind w:start="68"/>
        <w:rPr/>
      </w:pPr>
      <w:r>
        <w:rPr>
          <w:b/>
          <w:color w:val="0B3D91"/>
          <w:sz w:val="17"/>
        </w:rPr>
        <w:t>Q5. Comment « Analyse des impacts possibles » est-il mis en œuvre selon le texte publié ?</w:t>
      </w:r>
    </w:p>
    <w:p>
      <w:pPr>
        <w:pStyle w:val="Normal"/>
        <w:spacing w:before="0" w:after="40"/>
        <w:ind w:start="255"/>
        <w:rPr/>
      </w:pPr>
      <w:r>
        <w:rPr>
          <w:b/>
          <w:color w:val="D4A017"/>
          <w:sz w:val="16"/>
        </w:rPr>
        <w:t xml:space="preserve">Réponse : </w:t>
      </w:r>
      <w:r>
        <w:rPr>
          <w:color w:val="1F2937"/>
          <w:sz w:val="16"/>
        </w:rPr>
        <w:t>La date, la portée et la source originale soutiennent l’analyse.</w:t>
      </w:r>
    </w:p>
    <w:p>
      <w:pPr>
        <w:pStyle w:val="Normal"/>
        <w:keepNext w:val="true"/>
        <w:spacing w:before="40" w:after="0"/>
        <w:ind w:start="68"/>
        <w:rPr/>
      </w:pPr>
      <w:r>
        <w:rPr>
          <w:b/>
          <w:color w:val="0B3D91"/>
          <w:sz w:val="17"/>
        </w:rPr>
        <w:t>Q6. Quelle trace, référence ou information vérifiable accompagne « Analyse des impacts possibles » ?</w:t>
      </w:r>
    </w:p>
    <w:p>
      <w:pPr>
        <w:pStyle w:val="Normal"/>
        <w:spacing w:before="0" w:after="40"/>
        <w:ind w:start="255"/>
        <w:rPr/>
      </w:pPr>
      <w:r>
        <w:rPr>
          <w:b/>
          <w:color w:val="D4A017"/>
          <w:sz w:val="16"/>
        </w:rPr>
        <w:t xml:space="preserve">Réponse : </w:t>
      </w:r>
      <w:r>
        <w:rPr>
          <w:color w:val="1F2937"/>
          <w:sz w:val="16"/>
        </w:rPr>
        <w:t>Une note ou un classement peut documenter l’impact possible.</w:t>
      </w:r>
    </w:p>
    <w:p>
      <w:pPr>
        <w:pStyle w:val="Normal"/>
        <w:keepNext w:val="true"/>
        <w:spacing w:before="40" w:after="0"/>
        <w:ind w:start="68"/>
        <w:rPr/>
      </w:pPr>
      <w:r>
        <w:rPr>
          <w:b/>
          <w:color w:val="0B3D91"/>
          <w:sz w:val="17"/>
        </w:rPr>
        <w:t>Q7. Quelle limite ou précaution est associée à « Analyse des impacts possibles » ?</w:t>
      </w:r>
    </w:p>
    <w:p>
      <w:pPr>
        <w:pStyle w:val="Normal"/>
        <w:spacing w:before="0" w:after="40"/>
        <w:ind w:start="255"/>
        <w:rPr/>
      </w:pPr>
      <w:r>
        <w:rPr>
          <w:b/>
          <w:color w:val="D4A017"/>
          <w:sz w:val="16"/>
        </w:rPr>
        <w:t xml:space="preserve">Réponse : </w:t>
      </w:r>
      <w:r>
        <w:rPr>
          <w:color w:val="1F2937"/>
          <w:sz w:val="16"/>
        </w:rPr>
        <w:t>Un impact possible n’est pas une décision ni une certitude juridique.</w:t>
      </w:r>
    </w:p>
    <w:p>
      <w:pPr>
        <w:pStyle w:val="Normal"/>
        <w:keepNext w:val="true"/>
        <w:spacing w:before="40" w:after="0"/>
        <w:ind w:start="68"/>
        <w:rPr/>
      </w:pPr>
      <w:r>
        <w:rPr>
          <w:b/>
          <w:color w:val="0B3D91"/>
          <w:sz w:val="17"/>
        </w:rPr>
        <w:t>Q8. À qui « Analyse des impacts possibles » est-il utile ou destiné ?</w:t>
      </w:r>
    </w:p>
    <w:p>
      <w:pPr>
        <w:pStyle w:val="Normal"/>
        <w:spacing w:before="0" w:after="40"/>
        <w:ind w:start="255"/>
        <w:rPr/>
      </w:pPr>
      <w:r>
        <w:rPr>
          <w:b/>
          <w:color w:val="D4A017"/>
          <w:sz w:val="16"/>
        </w:rPr>
        <w:t xml:space="preserve">Réponse : </w:t>
      </w:r>
      <w:r>
        <w:rPr>
          <w:color w:val="1F2937"/>
          <w:sz w:val="16"/>
        </w:rPr>
        <w:t>Responsables qui doivent déterminer les suites à donner.</w:t>
      </w:r>
    </w:p>
    <w:p>
      <w:pPr>
        <w:pStyle w:val="Normal"/>
        <w:keepNext w:val="true"/>
        <w:spacing w:before="40" w:after="0"/>
        <w:ind w:start="68"/>
        <w:rPr/>
      </w:pPr>
      <w:r>
        <w:rPr>
          <w:b/>
          <w:color w:val="0B3D91"/>
          <w:sz w:val="17"/>
        </w:rPr>
        <w:t>Q9. À quelles autres rubriques ou fonctions « Analyse des impacts possibles » est-il relié ?</w:t>
      </w:r>
    </w:p>
    <w:p>
      <w:pPr>
        <w:pStyle w:val="Normal"/>
        <w:spacing w:before="0" w:after="40"/>
        <w:ind w:start="255"/>
        <w:rPr/>
      </w:pPr>
      <w:r>
        <w:rPr>
          <w:b/>
          <w:color w:val="D4A017"/>
          <w:sz w:val="16"/>
        </w:rPr>
        <w:t xml:space="preserve">Réponse : </w:t>
      </w:r>
      <w:r>
        <w:rPr>
          <w:color w:val="1F2937"/>
          <w:sz w:val="16"/>
        </w:rPr>
        <w:t>L’analyse d’impact alimente la qualité, la documentation et la gouvernance.</w:t>
      </w:r>
    </w:p>
    <w:p>
      <w:pPr>
        <w:pStyle w:val="Normal"/>
        <w:keepNext w:val="true"/>
        <w:spacing w:before="40" w:after="0"/>
        <w:ind w:start="68"/>
        <w:rPr/>
      </w:pPr>
      <w:r>
        <w:rPr>
          <w:b/>
          <w:color w:val="0B3D91"/>
          <w:sz w:val="17"/>
        </w:rPr>
        <w:t>Q10. Quelle idée essentielle faut-il retenir de « Analyse des impacts possibles » ?</w:t>
      </w:r>
    </w:p>
    <w:p>
      <w:pPr>
        <w:pStyle w:val="Normal"/>
        <w:spacing w:before="0" w:after="40"/>
        <w:ind w:start="255"/>
        <w:rPr/>
      </w:pPr>
      <w:r>
        <w:rPr>
          <w:b/>
          <w:color w:val="D4A017"/>
          <w:sz w:val="16"/>
        </w:rPr>
        <w:t xml:space="preserve">Réponse : </w:t>
      </w:r>
      <w:r>
        <w:rPr>
          <w:color w:val="1F2937"/>
          <w:sz w:val="16"/>
        </w:rPr>
        <w:t>La veille aide à comprendre ce qui pourrait changer, sans décider elle-même du changement.</w:t>
      </w:r>
    </w:p>
    <w:p>
      <w:pPr>
        <w:pStyle w:val="Normal"/>
        <w:rPr/>
      </w:pPr>
      <w:r>
        <w:rPr/>
      </w:r>
      <w:r>
        <w:br w:type="page"/>
      </w:r>
    </w:p>
    <w:p>
      <w:pPr>
        <w:pStyle w:val="Heading2"/>
        <w:spacing w:before="0" w:after="80"/>
        <w:rPr/>
      </w:pPr>
      <w:r>
        <w:rPr/>
        <w:t>FICHE 13 — Transmission aux départements concernés</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transmet les impacts possibles aux départements concernés.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montre que l’information doit atteindre les services capables de l’évaluer et d’agir.</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évite que la veille reste isolée de l’activité réelle de l’école.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gouvernance, responsabilités départementales, DAQAC et Direction.</w:t>
            </w:r>
          </w:p>
        </w:tc>
      </w:tr>
    </w:tbl>
    <w:p>
      <w:pPr>
        <w:pStyle w:val="Heading3"/>
        <w:rPr/>
      </w:pPr>
      <w:r>
        <w:rPr/>
        <w:t>Points développés</w:t>
      </w:r>
    </w:p>
    <w:p>
      <w:pPr>
        <w:pStyle w:val="ListBullet"/>
        <w:numPr>
          <w:ilvl w:val="0"/>
          <w:numId w:val="1"/>
        </w:numPr>
        <w:spacing w:before="0" w:after="20"/>
        <w:ind w:hanging="360" w:start="255"/>
        <w:contextualSpacing/>
        <w:rPr/>
      </w:pPr>
      <w:r>
        <w:rPr>
          <w:sz w:val="17"/>
        </w:rPr>
        <w:t>Orientation vers le service compétent</w:t>
      </w:r>
    </w:p>
    <w:p>
      <w:pPr>
        <w:pStyle w:val="ListBullet"/>
        <w:numPr>
          <w:ilvl w:val="0"/>
          <w:numId w:val="1"/>
        </w:numPr>
        <w:spacing w:before="0" w:after="20"/>
        <w:ind w:hanging="360" w:start="255"/>
        <w:contextualSpacing/>
        <w:rPr/>
      </w:pPr>
      <w:r>
        <w:rPr>
          <w:sz w:val="17"/>
        </w:rPr>
        <w:t>Responsabilité</w:t>
      </w:r>
    </w:p>
    <w:p>
      <w:pPr>
        <w:pStyle w:val="ListBullet"/>
        <w:numPr>
          <w:ilvl w:val="0"/>
          <w:numId w:val="1"/>
        </w:numPr>
        <w:spacing w:before="0" w:after="20"/>
        <w:ind w:hanging="360" w:start="255"/>
        <w:contextualSpacing/>
        <w:rPr/>
      </w:pPr>
      <w:r>
        <w:rPr>
          <w:sz w:val="17"/>
        </w:rPr>
        <w:t>Impact possible</w:t>
      </w:r>
    </w:p>
    <w:p>
      <w:pPr>
        <w:pStyle w:val="ListBullet"/>
        <w:numPr>
          <w:ilvl w:val="0"/>
          <w:numId w:val="1"/>
        </w:numPr>
        <w:spacing w:before="0" w:after="20"/>
        <w:ind w:hanging="360" w:start="255"/>
        <w:contextualSpacing/>
        <w:rPr/>
      </w:pPr>
      <w:r>
        <w:rPr>
          <w:sz w:val="17"/>
        </w:rPr>
        <w:t>Traçabilité de la transmission</w:t>
      </w:r>
    </w:p>
    <w:p>
      <w:pPr>
        <w:pStyle w:val="Heading3"/>
        <w:rPr/>
      </w:pPr>
      <w:r>
        <w:rPr/>
        <w:t>Banque de questions-réponses</w:t>
      </w:r>
    </w:p>
    <w:p>
      <w:pPr>
        <w:pStyle w:val="Normal"/>
        <w:keepNext w:val="true"/>
        <w:spacing w:before="40" w:after="0"/>
        <w:ind w:start="68"/>
        <w:rPr/>
      </w:pPr>
      <w:r>
        <w:rPr>
          <w:b/>
          <w:color w:val="0B3D91"/>
          <w:sz w:val="17"/>
        </w:rPr>
        <w:t>Q1. Que signifie ou présente « Transmission aux départements concernés » ?</w:t>
      </w:r>
    </w:p>
    <w:p>
      <w:pPr>
        <w:pStyle w:val="Normal"/>
        <w:spacing w:before="0" w:after="40"/>
        <w:ind w:start="255"/>
        <w:rPr/>
      </w:pPr>
      <w:r>
        <w:rPr>
          <w:b/>
          <w:color w:val="D4A017"/>
          <w:sz w:val="16"/>
        </w:rPr>
        <w:t xml:space="preserve">Réponse : </w:t>
      </w:r>
      <w:r>
        <w:rPr>
          <w:color w:val="1F2937"/>
          <w:sz w:val="16"/>
        </w:rPr>
        <w:t>La transmission consiste à orienter l’analyse vers les départements dont les missions pourraient être affectées.</w:t>
      </w:r>
    </w:p>
    <w:p>
      <w:pPr>
        <w:pStyle w:val="Normal"/>
        <w:keepNext w:val="true"/>
        <w:spacing w:before="40" w:after="0"/>
        <w:ind w:start="68"/>
        <w:rPr/>
      </w:pPr>
      <w:r>
        <w:rPr>
          <w:b/>
          <w:color w:val="0B3D91"/>
          <w:sz w:val="17"/>
        </w:rPr>
        <w:t>Q2. Pourquoi « Transmission aux départements concernés » figure-t-il dans la page de veille officielle ?</w:t>
      </w:r>
    </w:p>
    <w:p>
      <w:pPr>
        <w:pStyle w:val="Normal"/>
        <w:spacing w:before="0" w:after="40"/>
        <w:ind w:start="255"/>
        <w:rPr/>
      </w:pPr>
      <w:r>
        <w:rPr>
          <w:b/>
          <w:color w:val="D4A017"/>
          <w:sz w:val="16"/>
        </w:rPr>
        <w:t xml:space="preserve">Réponse : </w:t>
      </w:r>
      <w:r>
        <w:rPr>
          <w:color w:val="1F2937"/>
          <w:sz w:val="16"/>
        </w:rPr>
        <w:t>Faire examiner l’impact par le service compétent.</w:t>
      </w:r>
    </w:p>
    <w:p>
      <w:pPr>
        <w:pStyle w:val="Normal"/>
        <w:keepNext w:val="true"/>
        <w:spacing w:before="40" w:after="0"/>
        <w:ind w:start="68"/>
        <w:rPr/>
      </w:pPr>
      <w:r>
        <w:rPr>
          <w:b/>
          <w:color w:val="0B3D91"/>
          <w:sz w:val="17"/>
        </w:rPr>
        <w:t>Q3. Quels contenus ou objets sont concernés par « Transmission aux départements concernés » ?</w:t>
      </w:r>
    </w:p>
    <w:p>
      <w:pPr>
        <w:pStyle w:val="Normal"/>
        <w:spacing w:before="0" w:after="40"/>
        <w:ind w:start="255"/>
        <w:rPr/>
      </w:pPr>
      <w:r>
        <w:rPr>
          <w:b/>
          <w:color w:val="D4A017"/>
          <w:sz w:val="16"/>
        </w:rPr>
        <w:t xml:space="preserve">Réponse : </w:t>
      </w:r>
      <w:r>
        <w:rPr>
          <w:color w:val="1F2937"/>
          <w:sz w:val="16"/>
        </w:rPr>
        <w:t>Synthèse de la publication, portée, date et impacts possibles.</w:t>
      </w:r>
    </w:p>
    <w:p>
      <w:pPr>
        <w:pStyle w:val="Normal"/>
        <w:keepNext w:val="true"/>
        <w:spacing w:before="40" w:after="0"/>
        <w:ind w:start="68"/>
        <w:rPr/>
      </w:pPr>
      <w:r>
        <w:rPr>
          <w:b/>
          <w:color w:val="0B3D91"/>
          <w:sz w:val="17"/>
        </w:rPr>
        <w:t>Q4. Quel acteur intervient dans « Transmission aux départements concernés » ?</w:t>
      </w:r>
    </w:p>
    <w:p>
      <w:pPr>
        <w:pStyle w:val="Normal"/>
        <w:spacing w:before="0" w:after="40"/>
        <w:ind w:start="255"/>
        <w:rPr/>
      </w:pPr>
      <w:r>
        <w:rPr>
          <w:b/>
          <w:color w:val="D4A017"/>
          <w:sz w:val="16"/>
        </w:rPr>
        <w:t xml:space="preserve">Réponse : </w:t>
      </w:r>
      <w:r>
        <w:rPr>
          <w:color w:val="1F2937"/>
          <w:sz w:val="16"/>
        </w:rPr>
        <w:t>Le dispositif de veille adresse l’information aux responsables concernés.</w:t>
      </w:r>
    </w:p>
    <w:p>
      <w:pPr>
        <w:pStyle w:val="Normal"/>
        <w:keepNext w:val="true"/>
        <w:spacing w:before="40" w:after="0"/>
        <w:ind w:start="68"/>
        <w:rPr/>
      </w:pPr>
      <w:r>
        <w:rPr>
          <w:b/>
          <w:color w:val="0B3D91"/>
          <w:sz w:val="17"/>
        </w:rPr>
        <w:t>Q5. Comment « Transmission aux départements concernés » est-il mis en œuvre selon le texte publié ?</w:t>
      </w:r>
    </w:p>
    <w:p>
      <w:pPr>
        <w:pStyle w:val="Normal"/>
        <w:spacing w:before="0" w:after="40"/>
        <w:ind w:start="255"/>
        <w:rPr/>
      </w:pPr>
      <w:r>
        <w:rPr>
          <w:b/>
          <w:color w:val="D4A017"/>
          <w:sz w:val="16"/>
        </w:rPr>
        <w:t xml:space="preserve">Réponse : </w:t>
      </w:r>
      <w:r>
        <w:rPr>
          <w:color w:val="1F2937"/>
          <w:sz w:val="16"/>
        </w:rPr>
        <w:t>Chaque département examine les effets dans son propre périmètre.</w:t>
      </w:r>
    </w:p>
    <w:p>
      <w:pPr>
        <w:pStyle w:val="Normal"/>
        <w:keepNext w:val="true"/>
        <w:spacing w:before="40" w:after="0"/>
        <w:ind w:start="68"/>
        <w:rPr/>
      </w:pPr>
      <w:r>
        <w:rPr>
          <w:b/>
          <w:color w:val="0B3D91"/>
          <w:sz w:val="17"/>
        </w:rPr>
        <w:t>Q6. Quelle trace, référence ou information vérifiable accompagne « Transmission aux départements concernés » ?</w:t>
      </w:r>
    </w:p>
    <w:p>
      <w:pPr>
        <w:pStyle w:val="Normal"/>
        <w:spacing w:before="0" w:after="40"/>
        <w:ind w:start="255"/>
        <w:rPr/>
      </w:pPr>
      <w:r>
        <w:rPr>
          <w:b/>
          <w:color w:val="D4A017"/>
          <w:sz w:val="16"/>
        </w:rPr>
        <w:t xml:space="preserve">Réponse : </w:t>
      </w:r>
      <w:r>
        <w:rPr>
          <w:color w:val="1F2937"/>
          <w:sz w:val="16"/>
        </w:rPr>
        <w:t>La transmission et le destinataire peuvent constituer des éléments de traçabilité.</w:t>
      </w:r>
    </w:p>
    <w:p>
      <w:pPr>
        <w:pStyle w:val="Normal"/>
        <w:keepNext w:val="true"/>
        <w:spacing w:before="40" w:after="0"/>
        <w:ind w:start="68"/>
        <w:rPr/>
      </w:pPr>
      <w:r>
        <w:rPr>
          <w:b/>
          <w:color w:val="0B3D91"/>
          <w:sz w:val="17"/>
        </w:rPr>
        <w:t>Q7. Quelle limite ou précaution est associée à « Transmission aux départements concernés » ?</w:t>
      </w:r>
    </w:p>
    <w:p>
      <w:pPr>
        <w:pStyle w:val="Normal"/>
        <w:spacing w:before="0" w:after="40"/>
        <w:ind w:start="255"/>
        <w:rPr/>
      </w:pPr>
      <w:r>
        <w:rPr>
          <w:b/>
          <w:color w:val="D4A017"/>
          <w:sz w:val="16"/>
        </w:rPr>
        <w:t xml:space="preserve">Réponse : </w:t>
      </w:r>
      <w:r>
        <w:rPr>
          <w:color w:val="1F2937"/>
          <w:sz w:val="16"/>
        </w:rPr>
        <w:t>Le département destinataire ne doit pas confondre proposition d’impact et décision définitive.</w:t>
      </w:r>
    </w:p>
    <w:p>
      <w:pPr>
        <w:pStyle w:val="Normal"/>
        <w:keepNext w:val="true"/>
        <w:spacing w:before="40" w:after="0"/>
        <w:ind w:start="68"/>
        <w:rPr/>
      </w:pPr>
      <w:r>
        <w:rPr>
          <w:b/>
          <w:color w:val="0B3D91"/>
          <w:sz w:val="17"/>
        </w:rPr>
        <w:t>Q8. À qui « Transmission aux départements concernés » est-il utile ou destiné ?</w:t>
      </w:r>
    </w:p>
    <w:p>
      <w:pPr>
        <w:pStyle w:val="Normal"/>
        <w:spacing w:before="0" w:after="40"/>
        <w:ind w:start="255"/>
        <w:rPr/>
      </w:pPr>
      <w:r>
        <w:rPr>
          <w:b/>
          <w:color w:val="D4A017"/>
          <w:sz w:val="16"/>
        </w:rPr>
        <w:t xml:space="preserve">Réponse : </w:t>
      </w:r>
      <w:r>
        <w:rPr>
          <w:color w:val="1F2937"/>
          <w:sz w:val="16"/>
        </w:rPr>
        <w:t>Responsables opérationnels, Direction et qualité.</w:t>
      </w:r>
    </w:p>
    <w:p>
      <w:pPr>
        <w:pStyle w:val="Normal"/>
        <w:keepNext w:val="true"/>
        <w:spacing w:before="40" w:after="0"/>
        <w:ind w:start="68"/>
        <w:rPr/>
      </w:pPr>
      <w:r>
        <w:rPr>
          <w:b/>
          <w:color w:val="0B3D91"/>
          <w:sz w:val="17"/>
        </w:rPr>
        <w:t>Q9. À quelles autres rubriques ou fonctions « Transmission aux départements concernés » est-il relié ?</w:t>
      </w:r>
    </w:p>
    <w:p>
      <w:pPr>
        <w:pStyle w:val="Normal"/>
        <w:spacing w:before="0" w:after="40"/>
        <w:ind w:start="255"/>
        <w:rPr/>
      </w:pPr>
      <w:r>
        <w:rPr>
          <w:b/>
          <w:color w:val="D4A017"/>
          <w:sz w:val="16"/>
        </w:rPr>
        <w:t xml:space="preserve">Réponse : </w:t>
      </w:r>
      <w:r>
        <w:rPr>
          <w:color w:val="1F2937"/>
          <w:sz w:val="16"/>
        </w:rPr>
        <w:t>Cette étape relie la veille à l’action institutionnelle et aux plans d’amélioration.</w:t>
      </w:r>
    </w:p>
    <w:p>
      <w:pPr>
        <w:pStyle w:val="Normal"/>
        <w:keepNext w:val="true"/>
        <w:spacing w:before="40" w:after="0"/>
        <w:ind w:start="68"/>
        <w:rPr/>
      </w:pPr>
      <w:r>
        <w:rPr>
          <w:b/>
          <w:color w:val="0B3D91"/>
          <w:sz w:val="17"/>
        </w:rPr>
        <w:t>Q10. Quelle idée essentielle faut-il retenir de « Transmission aux départements concernés » ?</w:t>
      </w:r>
    </w:p>
    <w:p>
      <w:pPr>
        <w:pStyle w:val="Normal"/>
        <w:spacing w:before="0" w:after="40"/>
        <w:ind w:start="255"/>
        <w:rPr/>
      </w:pPr>
      <w:r>
        <w:rPr>
          <w:b/>
          <w:color w:val="D4A017"/>
          <w:sz w:val="16"/>
        </w:rPr>
        <w:t xml:space="preserve">Réponse : </w:t>
      </w:r>
      <w:r>
        <w:rPr>
          <w:color w:val="1F2937"/>
          <w:sz w:val="16"/>
        </w:rPr>
        <w:t>L’information utile doit être remise au bon responsable avant toute suite.</w:t>
      </w:r>
    </w:p>
    <w:p>
      <w:pPr>
        <w:pStyle w:val="Normal"/>
        <w:rPr/>
      </w:pPr>
      <w:r>
        <w:rPr/>
      </w:r>
      <w:r>
        <w:br w:type="page"/>
      </w:r>
    </w:p>
    <w:p>
      <w:pPr>
        <w:pStyle w:val="Normal"/>
        <w:spacing w:before="0" w:after="60"/>
        <w:jc w:val="center"/>
        <w:rPr/>
      </w:pPr>
      <w:r>
        <w:rPr>
          <w:b/>
          <w:color w:val="D4A017"/>
          <w:sz w:val="28"/>
        </w:rPr>
        <w:t>PARTIE III</w:t>
      </w:r>
    </w:p>
    <w:p>
      <w:pPr>
        <w:pStyle w:val="Normal"/>
        <w:jc w:val="center"/>
        <w:rPr/>
      </w:pPr>
      <w:r>
        <w:rPr>
          <w:b/>
          <w:color w:val="0B3D91"/>
          <w:sz w:val="42"/>
        </w:rPr>
        <w:t>GARANTIES, LIMITES ET VALIDATION HUMAINE</w:t>
      </w:r>
    </w:p>
    <w:p>
      <w:pPr>
        <w:pStyle w:val="Normal"/>
        <w:jc w:val="center"/>
        <w:rPr/>
      </w:pPr>
      <w:r>
        <w:rPr>
          <w:i/>
          <w:sz w:val="20"/>
        </w:rPr>
        <w:t>Relevé • Raison • Importance • Liens • Questions-réponses</w:t>
      </w:r>
    </w:p>
    <w:p>
      <w:pPr>
        <w:pStyle w:val="Normal"/>
        <w:rPr/>
      </w:pPr>
      <w:r>
        <w:rPr/>
      </w:r>
      <w:r>
        <w:br w:type="page"/>
      </w:r>
    </w:p>
    <w:p>
      <w:pPr>
        <w:pStyle w:val="Heading2"/>
        <w:spacing w:before="0" w:after="80"/>
        <w:rPr/>
      </w:pPr>
      <w:r>
        <w:rPr/>
        <w:t>FICHE 14 — Aucune source secondaire non vérifiée comme référence officielle</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précise qu’aucune source secondaire non vérifiée n’est présentée comme référence officielle.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protège la distinction entre une information reprise et une source officielle confirmée.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renforce la fiabilité, la prudence et la crédibilité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priorité aux sources originales, documentation publique et contrôle de la provenance.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Source secondaire</w:t>
      </w:r>
    </w:p>
    <w:p>
      <w:pPr>
        <w:pStyle w:val="ListBullet"/>
        <w:numPr>
          <w:ilvl w:val="0"/>
          <w:numId w:val="1"/>
        </w:numPr>
        <w:spacing w:before="0" w:after="20"/>
        <w:ind w:hanging="360" w:start="255"/>
        <w:contextualSpacing/>
        <w:rPr/>
      </w:pPr>
      <w:r>
        <w:rPr>
          <w:sz w:val="17"/>
        </w:rPr>
        <w:t>Vérification</w:t>
      </w:r>
    </w:p>
    <w:p>
      <w:pPr>
        <w:pStyle w:val="ListBullet"/>
        <w:numPr>
          <w:ilvl w:val="0"/>
          <w:numId w:val="1"/>
        </w:numPr>
        <w:spacing w:before="0" w:after="20"/>
        <w:ind w:hanging="360" w:start="255"/>
        <w:contextualSpacing/>
        <w:rPr/>
      </w:pPr>
      <w:r>
        <w:rPr>
          <w:sz w:val="17"/>
        </w:rPr>
        <w:t>Référence officielle</w:t>
      </w:r>
    </w:p>
    <w:p>
      <w:pPr>
        <w:pStyle w:val="ListBullet"/>
        <w:numPr>
          <w:ilvl w:val="0"/>
          <w:numId w:val="1"/>
        </w:numPr>
        <w:spacing w:before="0" w:after="20"/>
        <w:ind w:hanging="360" w:start="255"/>
        <w:contextualSpacing/>
        <w:rPr/>
      </w:pPr>
      <w:r>
        <w:rPr>
          <w:sz w:val="17"/>
        </w:rPr>
        <w:t>Absence de confusion</w:t>
      </w:r>
    </w:p>
    <w:p>
      <w:pPr>
        <w:pStyle w:val="Heading3"/>
        <w:rPr/>
      </w:pPr>
      <w:r>
        <w:rPr/>
        <w:t>Banque de questions-réponses</w:t>
      </w:r>
    </w:p>
    <w:p>
      <w:pPr>
        <w:pStyle w:val="Normal"/>
        <w:keepNext w:val="true"/>
        <w:spacing w:before="40" w:after="0"/>
        <w:ind w:start="68"/>
        <w:rPr/>
      </w:pPr>
      <w:r>
        <w:rPr>
          <w:b/>
          <w:color w:val="0B3D91"/>
          <w:sz w:val="17"/>
        </w:rPr>
        <w:t>Q1. Que signifie ou présente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Une source secondaire non vérifiée est une reprise dont l’exactitude ou l’origine n’a pas été confirmée.</w:t>
      </w:r>
    </w:p>
    <w:p>
      <w:pPr>
        <w:pStyle w:val="Normal"/>
        <w:keepNext w:val="true"/>
        <w:spacing w:before="40" w:after="0"/>
        <w:ind w:start="68"/>
        <w:rPr/>
      </w:pPr>
      <w:r>
        <w:rPr>
          <w:b/>
          <w:color w:val="0B3D91"/>
          <w:sz w:val="17"/>
        </w:rPr>
        <w:t>Q2. Pourquoi « Aucune source secondaire non vérifiée comme référence officielle » figure-t-il dans la page de veille officielle ?</w:t>
      </w:r>
    </w:p>
    <w:p>
      <w:pPr>
        <w:pStyle w:val="Normal"/>
        <w:spacing w:before="0" w:after="40"/>
        <w:ind w:start="255"/>
        <w:rPr/>
      </w:pPr>
      <w:r>
        <w:rPr>
          <w:b/>
          <w:color w:val="D4A017"/>
          <w:sz w:val="16"/>
        </w:rPr>
        <w:t xml:space="preserve">Réponse : </w:t>
      </w:r>
      <w:r>
        <w:rPr>
          <w:color w:val="1F2937"/>
          <w:sz w:val="16"/>
        </w:rPr>
        <w:t>Empêcher qu’un résumé, un commentaire ou une publication indirecte soit traité comme texte officiel.</w:t>
      </w:r>
    </w:p>
    <w:p>
      <w:pPr>
        <w:pStyle w:val="Normal"/>
        <w:keepNext w:val="true"/>
        <w:spacing w:before="40" w:after="0"/>
        <w:ind w:start="68"/>
        <w:rPr/>
      </w:pPr>
      <w:r>
        <w:rPr>
          <w:b/>
          <w:color w:val="0B3D91"/>
          <w:sz w:val="17"/>
        </w:rPr>
        <w:t>Q3. Quels contenus ou objets sont concernés par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Articles, messages, résumés ou reprises non confirmés par la source originale.</w:t>
      </w:r>
    </w:p>
    <w:p>
      <w:pPr>
        <w:pStyle w:val="Normal"/>
        <w:keepNext w:val="true"/>
        <w:spacing w:before="40" w:after="0"/>
        <w:ind w:start="68"/>
        <w:rPr/>
      </w:pPr>
      <w:r>
        <w:rPr>
          <w:b/>
          <w:color w:val="0B3D91"/>
          <w:sz w:val="17"/>
        </w:rPr>
        <w:t>Q4. Quel acteur intervient dans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La veille vérifie la source avant de lui attribuer un caractère officiel.</w:t>
      </w:r>
    </w:p>
    <w:p>
      <w:pPr>
        <w:pStyle w:val="Normal"/>
        <w:keepNext w:val="true"/>
        <w:spacing w:before="40" w:after="0"/>
        <w:ind w:start="68"/>
        <w:rPr/>
      </w:pPr>
      <w:r>
        <w:rPr>
          <w:b/>
          <w:color w:val="0B3D91"/>
          <w:sz w:val="17"/>
        </w:rPr>
        <w:t>Q5. Comment « Aucune source secondaire non vérifiée comme référence officielle » est-il mis en œuvre selon le texte publié ?</w:t>
      </w:r>
    </w:p>
    <w:p>
      <w:pPr>
        <w:pStyle w:val="Normal"/>
        <w:spacing w:before="0" w:after="40"/>
        <w:ind w:start="255"/>
        <w:rPr/>
      </w:pPr>
      <w:r>
        <w:rPr>
          <w:b/>
          <w:color w:val="D4A017"/>
          <w:sz w:val="16"/>
        </w:rPr>
        <w:t xml:space="preserve">Réponse : </w:t>
      </w:r>
      <w:r>
        <w:rPr>
          <w:color w:val="1F2937"/>
          <w:sz w:val="16"/>
        </w:rPr>
        <w:t>La comparaison avec l’original ou l’émetteur compétent est nécessaire.</w:t>
      </w:r>
    </w:p>
    <w:p>
      <w:pPr>
        <w:pStyle w:val="Normal"/>
        <w:keepNext w:val="true"/>
        <w:spacing w:before="40" w:after="0"/>
        <w:ind w:start="68"/>
        <w:rPr/>
      </w:pPr>
      <w:r>
        <w:rPr>
          <w:b/>
          <w:color w:val="0B3D91"/>
          <w:sz w:val="17"/>
        </w:rPr>
        <w:t>Q6. Quelle trace, référence ou information vérifiable accompagne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L’origine vérifiée et la référence originale constituent les éléments probants.</w:t>
      </w:r>
    </w:p>
    <w:p>
      <w:pPr>
        <w:pStyle w:val="Normal"/>
        <w:keepNext w:val="true"/>
        <w:spacing w:before="40" w:after="0"/>
        <w:ind w:start="68"/>
        <w:rPr/>
      </w:pPr>
      <w:r>
        <w:rPr>
          <w:b/>
          <w:color w:val="0B3D91"/>
          <w:sz w:val="17"/>
        </w:rPr>
        <w:t>Q7. Quelle limite ou précaution est associée à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Une source secondaire peut informer la recherche, mais elle ne devient pas automatiquement une référence officielle.</w:t>
      </w:r>
    </w:p>
    <w:p>
      <w:pPr>
        <w:pStyle w:val="Normal"/>
        <w:keepNext w:val="true"/>
        <w:spacing w:before="40" w:after="0"/>
        <w:ind w:start="68"/>
        <w:rPr/>
      </w:pPr>
      <w:r>
        <w:rPr>
          <w:b/>
          <w:color w:val="0B3D91"/>
          <w:sz w:val="17"/>
        </w:rPr>
        <w:t>Q8. À qui « Aucune source secondaire non vérifiée comme référence officielle » est-il utile ou destiné ?</w:t>
      </w:r>
    </w:p>
    <w:p>
      <w:pPr>
        <w:pStyle w:val="Normal"/>
        <w:spacing w:before="0" w:after="40"/>
        <w:ind w:start="255"/>
        <w:rPr/>
      </w:pPr>
      <w:r>
        <w:rPr>
          <w:b/>
          <w:color w:val="D4A017"/>
          <w:sz w:val="16"/>
        </w:rPr>
        <w:t xml:space="preserve">Réponse : </w:t>
      </w:r>
      <w:r>
        <w:rPr>
          <w:color w:val="1F2937"/>
          <w:sz w:val="16"/>
        </w:rPr>
        <w:t>Lecteurs, analystes, ÉMINA et responsables qui utilisent les résultats de veille.</w:t>
      </w:r>
    </w:p>
    <w:p>
      <w:pPr>
        <w:pStyle w:val="Normal"/>
        <w:keepNext w:val="true"/>
        <w:spacing w:before="40" w:after="0"/>
        <w:ind w:start="68"/>
        <w:rPr/>
      </w:pPr>
      <w:r>
        <w:rPr>
          <w:b/>
          <w:color w:val="0B3D91"/>
          <w:sz w:val="17"/>
        </w:rPr>
        <w:t>Q9. À quelles autres rubriques ou fonctions « Aucune source secondaire non vérifiée comme référence officielle » est-il relié ?</w:t>
      </w:r>
    </w:p>
    <w:p>
      <w:pPr>
        <w:pStyle w:val="Normal"/>
        <w:spacing w:before="0" w:after="40"/>
        <w:ind w:start="255"/>
        <w:rPr/>
      </w:pPr>
      <w:r>
        <w:rPr>
          <w:b/>
          <w:color w:val="D4A017"/>
          <w:sz w:val="16"/>
        </w:rPr>
        <w:t xml:space="preserve">Réponse : </w:t>
      </w:r>
      <w:r>
        <w:rPr>
          <w:color w:val="1F2937"/>
          <w:sz w:val="16"/>
        </w:rPr>
        <w:t>Cette garantie soutient le principe d’une documentation officielle sans confusion.</w:t>
      </w:r>
    </w:p>
    <w:p>
      <w:pPr>
        <w:pStyle w:val="Normal"/>
        <w:keepNext w:val="true"/>
        <w:spacing w:before="40" w:after="0"/>
        <w:ind w:start="68"/>
        <w:rPr/>
      </w:pPr>
      <w:r>
        <w:rPr>
          <w:b/>
          <w:color w:val="0B3D91"/>
          <w:sz w:val="17"/>
        </w:rPr>
        <w:t>Q10. Quelle idée essentielle faut-il retenir de « Aucune source secondaire non vérifiée comme référence officielle » ?</w:t>
      </w:r>
    </w:p>
    <w:p>
      <w:pPr>
        <w:pStyle w:val="Normal"/>
        <w:spacing w:before="0" w:after="40"/>
        <w:ind w:start="255"/>
        <w:rPr/>
      </w:pPr>
      <w:r>
        <w:rPr>
          <w:b/>
          <w:color w:val="D4A017"/>
          <w:sz w:val="16"/>
        </w:rPr>
        <w:t xml:space="preserve">Réponse : </w:t>
      </w:r>
      <w:r>
        <w:rPr>
          <w:color w:val="1F2937"/>
          <w:sz w:val="16"/>
        </w:rPr>
        <w:t>Seule une information vérifiée peut être présentée comme référence officielle.</w:t>
      </w:r>
    </w:p>
    <w:p>
      <w:pPr>
        <w:pStyle w:val="Normal"/>
        <w:rPr/>
      </w:pPr>
      <w:r>
        <w:rPr/>
      </w:r>
      <w:r>
        <w:br w:type="page"/>
      </w:r>
    </w:p>
    <w:p>
      <w:pPr>
        <w:pStyle w:val="Heading2"/>
        <w:spacing w:before="0" w:after="80"/>
        <w:rPr/>
      </w:pPr>
      <w:r>
        <w:rPr/>
        <w:t>FICHE 15 — Classement proposé par ÉMINA</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ÉMINA peut proposer un classement d’une publication.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décrit un rôle d’aide à l’organisation de l’information, non un pouvoir de décision.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Le classement facilite la recherche, la priorisation et l’orientation vers le bon service.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documentation, analyse d’impact, départements concernés et rôle public d’ÉMINA.</w:t>
            </w:r>
          </w:p>
        </w:tc>
      </w:tr>
    </w:tbl>
    <w:p>
      <w:pPr>
        <w:pStyle w:val="Heading3"/>
        <w:rPr/>
      </w:pPr>
      <w:r>
        <w:rPr/>
        <w:t>Points développés</w:t>
      </w:r>
    </w:p>
    <w:p>
      <w:pPr>
        <w:pStyle w:val="ListBullet"/>
        <w:numPr>
          <w:ilvl w:val="0"/>
          <w:numId w:val="1"/>
        </w:numPr>
        <w:spacing w:before="0" w:after="20"/>
        <w:ind w:hanging="360" w:start="255"/>
        <w:contextualSpacing/>
        <w:rPr/>
      </w:pPr>
      <w:r>
        <w:rPr>
          <w:sz w:val="17"/>
        </w:rPr>
        <w:t>Proposition</w:t>
      </w:r>
    </w:p>
    <w:p>
      <w:pPr>
        <w:pStyle w:val="ListBullet"/>
        <w:numPr>
          <w:ilvl w:val="0"/>
          <w:numId w:val="1"/>
        </w:numPr>
        <w:spacing w:before="0" w:after="20"/>
        <w:ind w:hanging="360" w:start="255"/>
        <w:contextualSpacing/>
        <w:rPr/>
      </w:pPr>
      <w:r>
        <w:rPr>
          <w:sz w:val="17"/>
        </w:rPr>
        <w:t>Organisation de l’information</w:t>
      </w:r>
    </w:p>
    <w:p>
      <w:pPr>
        <w:pStyle w:val="ListBullet"/>
        <w:numPr>
          <w:ilvl w:val="0"/>
          <w:numId w:val="1"/>
        </w:numPr>
        <w:spacing w:before="0" w:after="20"/>
        <w:ind w:hanging="360" w:start="255"/>
        <w:contextualSpacing/>
        <w:rPr/>
      </w:pPr>
      <w:r>
        <w:rPr>
          <w:sz w:val="17"/>
        </w:rPr>
        <w:t>Orientation</w:t>
      </w:r>
    </w:p>
    <w:p>
      <w:pPr>
        <w:pStyle w:val="ListBullet"/>
        <w:numPr>
          <w:ilvl w:val="0"/>
          <w:numId w:val="1"/>
        </w:numPr>
        <w:spacing w:before="0" w:after="20"/>
        <w:ind w:hanging="360" w:start="255"/>
        <w:contextualSpacing/>
        <w:rPr/>
      </w:pPr>
      <w:r>
        <w:rPr>
          <w:sz w:val="17"/>
        </w:rPr>
        <w:t>Validation humaine</w:t>
      </w:r>
    </w:p>
    <w:p>
      <w:pPr>
        <w:pStyle w:val="Heading3"/>
        <w:rPr/>
      </w:pPr>
      <w:r>
        <w:rPr/>
        <w:t>Banque de questions-réponses</w:t>
      </w:r>
    </w:p>
    <w:p>
      <w:pPr>
        <w:pStyle w:val="Normal"/>
        <w:keepNext w:val="true"/>
        <w:spacing w:before="40" w:after="0"/>
        <w:ind w:start="68"/>
        <w:rPr/>
      </w:pPr>
      <w:r>
        <w:rPr>
          <w:b/>
          <w:color w:val="0B3D91"/>
          <w:sz w:val="17"/>
        </w:rPr>
        <w:t>Q1. Que signifie ou présente « Classement proposé par ÉMINA » ?</w:t>
      </w:r>
    </w:p>
    <w:p>
      <w:pPr>
        <w:pStyle w:val="Normal"/>
        <w:spacing w:before="0" w:after="40"/>
        <w:ind w:start="255"/>
        <w:rPr/>
      </w:pPr>
      <w:r>
        <w:rPr>
          <w:b/>
          <w:color w:val="D4A017"/>
          <w:sz w:val="16"/>
        </w:rPr>
        <w:t xml:space="preserve">Réponse : </w:t>
      </w:r>
      <w:r>
        <w:rPr>
          <w:color w:val="1F2937"/>
          <w:sz w:val="16"/>
        </w:rPr>
        <w:t>Le classement est une proposition d’organisation de la publication selon sa nature ou son importance.</w:t>
      </w:r>
    </w:p>
    <w:p>
      <w:pPr>
        <w:pStyle w:val="Normal"/>
        <w:keepNext w:val="true"/>
        <w:spacing w:before="40" w:after="0"/>
        <w:ind w:start="68"/>
        <w:rPr/>
      </w:pPr>
      <w:r>
        <w:rPr>
          <w:b/>
          <w:color w:val="0B3D91"/>
          <w:sz w:val="17"/>
        </w:rPr>
        <w:t>Q2. Pourquoi « Classement proposé par ÉMINA » figure-t-il dans la page de veille officielle ?</w:t>
      </w:r>
    </w:p>
    <w:p>
      <w:pPr>
        <w:pStyle w:val="Normal"/>
        <w:spacing w:before="0" w:after="40"/>
        <w:ind w:start="255"/>
        <w:rPr/>
      </w:pPr>
      <w:r>
        <w:rPr>
          <w:b/>
          <w:color w:val="D4A017"/>
          <w:sz w:val="16"/>
        </w:rPr>
        <w:t xml:space="preserve">Réponse : </w:t>
      </w:r>
      <w:r>
        <w:rPr>
          <w:color w:val="1F2937"/>
          <w:sz w:val="16"/>
        </w:rPr>
        <w:t>Aider les utilisateurs à comprendre et retrouver les informations de veille.</w:t>
      </w:r>
    </w:p>
    <w:p>
      <w:pPr>
        <w:pStyle w:val="Normal"/>
        <w:keepNext w:val="true"/>
        <w:spacing w:before="40" w:after="0"/>
        <w:ind w:start="68"/>
        <w:rPr/>
      </w:pPr>
      <w:r>
        <w:rPr>
          <w:b/>
          <w:color w:val="0B3D91"/>
          <w:sz w:val="17"/>
        </w:rPr>
        <w:t>Q3. Quels contenus ou objets sont concernés par « Classement proposé par ÉMINA » ?</w:t>
      </w:r>
    </w:p>
    <w:p>
      <w:pPr>
        <w:pStyle w:val="Normal"/>
        <w:spacing w:before="0" w:after="40"/>
        <w:ind w:start="255"/>
        <w:rPr/>
      </w:pPr>
      <w:r>
        <w:rPr>
          <w:b/>
          <w:color w:val="D4A017"/>
          <w:sz w:val="16"/>
        </w:rPr>
        <w:t xml:space="preserve">Réponse : </w:t>
      </w:r>
      <w:r>
        <w:rPr>
          <w:color w:val="1F2937"/>
          <w:sz w:val="16"/>
        </w:rPr>
        <w:t>Catégorie, domaine, urgence relative ou département potentiellement concerné.</w:t>
      </w:r>
    </w:p>
    <w:p>
      <w:pPr>
        <w:pStyle w:val="Normal"/>
        <w:keepNext w:val="true"/>
        <w:spacing w:before="40" w:after="0"/>
        <w:ind w:start="68"/>
        <w:rPr/>
      </w:pPr>
      <w:r>
        <w:rPr>
          <w:b/>
          <w:color w:val="0B3D91"/>
          <w:sz w:val="17"/>
        </w:rPr>
        <w:t>Q4. Quel acteur intervient dans « Classement proposé par ÉMINA » ?</w:t>
      </w:r>
    </w:p>
    <w:p>
      <w:pPr>
        <w:pStyle w:val="Normal"/>
        <w:spacing w:before="0" w:after="40"/>
        <w:ind w:start="255"/>
        <w:rPr/>
      </w:pPr>
      <w:r>
        <w:rPr>
          <w:b/>
          <w:color w:val="D4A017"/>
          <w:sz w:val="16"/>
        </w:rPr>
        <w:t xml:space="preserve">Réponse : </w:t>
      </w:r>
      <w:r>
        <w:rPr>
          <w:color w:val="1F2937"/>
          <w:sz w:val="16"/>
        </w:rPr>
        <w:t>ÉMINA suggère un classement qui peut ensuite être vérifié par une personne habilitée.</w:t>
      </w:r>
    </w:p>
    <w:p>
      <w:pPr>
        <w:pStyle w:val="Normal"/>
        <w:keepNext w:val="true"/>
        <w:spacing w:before="40" w:after="0"/>
        <w:ind w:start="68"/>
        <w:rPr/>
      </w:pPr>
      <w:r>
        <w:rPr>
          <w:b/>
          <w:color w:val="0B3D91"/>
          <w:sz w:val="17"/>
        </w:rPr>
        <w:t>Q5. Comment « Classement proposé par ÉMINA » est-il mis en œuvre selon le texte publié ?</w:t>
      </w:r>
    </w:p>
    <w:p>
      <w:pPr>
        <w:pStyle w:val="Normal"/>
        <w:spacing w:before="0" w:after="40"/>
        <w:ind w:start="255"/>
        <w:rPr/>
      </w:pPr>
      <w:r>
        <w:rPr>
          <w:b/>
          <w:color w:val="D4A017"/>
          <w:sz w:val="16"/>
        </w:rPr>
        <w:t xml:space="preserve">Réponse : </w:t>
      </w:r>
      <w:r>
        <w:rPr>
          <w:color w:val="1F2937"/>
          <w:sz w:val="16"/>
        </w:rPr>
        <w:t>La proposition s’appuie sur les sources et informations disponibles.</w:t>
      </w:r>
    </w:p>
    <w:p>
      <w:pPr>
        <w:pStyle w:val="Normal"/>
        <w:keepNext w:val="true"/>
        <w:spacing w:before="40" w:after="0"/>
        <w:ind w:start="68"/>
        <w:rPr/>
      </w:pPr>
      <w:r>
        <w:rPr>
          <w:b/>
          <w:color w:val="0B3D91"/>
          <w:sz w:val="17"/>
        </w:rPr>
        <w:t>Q6. Quelle trace, référence ou information vérifiable accompagne « Classement proposé par ÉMINA » ?</w:t>
      </w:r>
    </w:p>
    <w:p>
      <w:pPr>
        <w:pStyle w:val="Normal"/>
        <w:spacing w:before="0" w:after="40"/>
        <w:ind w:start="255"/>
        <w:rPr/>
      </w:pPr>
      <w:r>
        <w:rPr>
          <w:b/>
          <w:color w:val="D4A017"/>
          <w:sz w:val="16"/>
        </w:rPr>
        <w:t xml:space="preserve">Réponse : </w:t>
      </w:r>
      <w:r>
        <w:rPr>
          <w:color w:val="1F2937"/>
          <w:sz w:val="16"/>
        </w:rPr>
        <w:t>Le classement proposé peut être conservé comme indication, mais ne remplace pas la validation.</w:t>
      </w:r>
    </w:p>
    <w:p>
      <w:pPr>
        <w:pStyle w:val="Normal"/>
        <w:keepNext w:val="true"/>
        <w:spacing w:before="40" w:after="0"/>
        <w:ind w:start="68"/>
        <w:rPr/>
      </w:pPr>
      <w:r>
        <w:rPr>
          <w:b/>
          <w:color w:val="0B3D91"/>
          <w:sz w:val="17"/>
        </w:rPr>
        <w:t>Q7. Quelle limite ou précaution est associée à « Classement proposé par ÉMINA » ?</w:t>
      </w:r>
    </w:p>
    <w:p>
      <w:pPr>
        <w:pStyle w:val="Normal"/>
        <w:spacing w:before="0" w:after="40"/>
        <w:ind w:start="255"/>
        <w:rPr/>
      </w:pPr>
      <w:r>
        <w:rPr>
          <w:b/>
          <w:color w:val="D4A017"/>
          <w:sz w:val="16"/>
        </w:rPr>
        <w:t xml:space="preserve">Réponse : </w:t>
      </w:r>
      <w:r>
        <w:rPr>
          <w:color w:val="1F2937"/>
          <w:sz w:val="16"/>
        </w:rPr>
        <w:t>ÉMINA n’impose pas le classement comme décision institutionnelle définitive.</w:t>
      </w:r>
    </w:p>
    <w:p>
      <w:pPr>
        <w:pStyle w:val="Normal"/>
        <w:keepNext w:val="true"/>
        <w:spacing w:before="40" w:after="0"/>
        <w:ind w:start="68"/>
        <w:rPr/>
      </w:pPr>
      <w:r>
        <w:rPr>
          <w:b/>
          <w:color w:val="0B3D91"/>
          <w:sz w:val="17"/>
        </w:rPr>
        <w:t>Q8. À qui « Classement proposé par ÉMINA » est-il utile ou destiné ?</w:t>
      </w:r>
    </w:p>
    <w:p>
      <w:pPr>
        <w:pStyle w:val="Normal"/>
        <w:spacing w:before="0" w:after="40"/>
        <w:ind w:start="255"/>
        <w:rPr/>
      </w:pPr>
      <w:r>
        <w:rPr>
          <w:b/>
          <w:color w:val="D4A017"/>
          <w:sz w:val="16"/>
        </w:rPr>
        <w:t xml:space="preserve">Réponse : </w:t>
      </w:r>
      <w:r>
        <w:rPr>
          <w:color w:val="1F2937"/>
          <w:sz w:val="16"/>
        </w:rPr>
        <w:t>Personnel chargé de la veille et responsables destinataires.</w:t>
      </w:r>
    </w:p>
    <w:p>
      <w:pPr>
        <w:pStyle w:val="Normal"/>
        <w:keepNext w:val="true"/>
        <w:spacing w:before="40" w:after="0"/>
        <w:ind w:start="68"/>
        <w:rPr/>
      </w:pPr>
      <w:r>
        <w:rPr>
          <w:b/>
          <w:color w:val="0B3D91"/>
          <w:sz w:val="17"/>
        </w:rPr>
        <w:t>Q9. À quelles autres rubriques ou fonctions « Classement proposé par ÉMINA » est-il relié ?</w:t>
      </w:r>
    </w:p>
    <w:p>
      <w:pPr>
        <w:pStyle w:val="Normal"/>
        <w:spacing w:before="0" w:after="40"/>
        <w:ind w:start="255"/>
        <w:rPr/>
      </w:pPr>
      <w:r>
        <w:rPr>
          <w:b/>
          <w:color w:val="D4A017"/>
          <w:sz w:val="16"/>
        </w:rPr>
        <w:t xml:space="preserve">Réponse : </w:t>
      </w:r>
      <w:r>
        <w:rPr>
          <w:color w:val="1F2937"/>
          <w:sz w:val="16"/>
        </w:rPr>
        <w:t>Le classement relie ÉMINA à la documentation publique et au circuit humain.</w:t>
      </w:r>
    </w:p>
    <w:p>
      <w:pPr>
        <w:pStyle w:val="Normal"/>
        <w:keepNext w:val="true"/>
        <w:spacing w:before="40" w:after="0"/>
        <w:ind w:start="68"/>
        <w:rPr/>
      </w:pPr>
      <w:r>
        <w:rPr>
          <w:b/>
          <w:color w:val="0B3D91"/>
          <w:sz w:val="17"/>
        </w:rPr>
        <w:t>Q10. Quelle idée essentielle faut-il retenir de « Classement proposé par ÉMINA » ?</w:t>
      </w:r>
    </w:p>
    <w:p>
      <w:pPr>
        <w:pStyle w:val="Normal"/>
        <w:spacing w:before="0" w:after="40"/>
        <w:ind w:start="255"/>
        <w:rPr/>
      </w:pPr>
      <w:r>
        <w:rPr>
          <w:b/>
          <w:color w:val="D4A017"/>
          <w:sz w:val="16"/>
        </w:rPr>
        <w:t xml:space="preserve">Réponse : </w:t>
      </w:r>
      <w:r>
        <w:rPr>
          <w:color w:val="1F2937"/>
          <w:sz w:val="16"/>
        </w:rPr>
        <w:t>ÉMINA organise l’information ; l’institution conserve la décision.</w:t>
      </w:r>
    </w:p>
    <w:p>
      <w:pPr>
        <w:pStyle w:val="Normal"/>
        <w:rPr/>
      </w:pPr>
      <w:r>
        <w:rPr/>
      </w:r>
      <w:r>
        <w:br w:type="page"/>
      </w:r>
    </w:p>
    <w:p>
      <w:pPr>
        <w:pStyle w:val="Heading2"/>
        <w:spacing w:before="0" w:after="80"/>
        <w:rPr/>
      </w:pPr>
      <w:r>
        <w:rPr/>
        <w:t>FICHE 16 — Note d’impact proposée par ÉMINA</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ÉMINA peut proposer une note d’impact.</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précise que l’assistante peut aider à résumer les effets possibles d’une publication.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Cette fonction améliore la rapidité d’analyse tout en maintenant le contrôle humain.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portée, départements concernés, analyse d’impact et validation humaine.</w:t>
            </w:r>
          </w:p>
        </w:tc>
      </w:tr>
    </w:tbl>
    <w:p>
      <w:pPr>
        <w:pStyle w:val="Heading3"/>
        <w:rPr/>
      </w:pPr>
      <w:r>
        <w:rPr/>
        <w:t>Points développés</w:t>
      </w:r>
    </w:p>
    <w:p>
      <w:pPr>
        <w:pStyle w:val="ListBullet"/>
        <w:numPr>
          <w:ilvl w:val="0"/>
          <w:numId w:val="1"/>
        </w:numPr>
        <w:spacing w:before="0" w:after="20"/>
        <w:ind w:hanging="360" w:start="255"/>
        <w:contextualSpacing/>
        <w:rPr/>
      </w:pPr>
      <w:r>
        <w:rPr>
          <w:sz w:val="17"/>
        </w:rPr>
        <w:t>Synthèse préparatoire</w:t>
      </w:r>
    </w:p>
    <w:p>
      <w:pPr>
        <w:pStyle w:val="ListBullet"/>
        <w:numPr>
          <w:ilvl w:val="0"/>
          <w:numId w:val="1"/>
        </w:numPr>
        <w:spacing w:before="0" w:after="20"/>
        <w:ind w:hanging="360" w:start="255"/>
        <w:contextualSpacing/>
        <w:rPr/>
      </w:pPr>
      <w:r>
        <w:rPr>
          <w:sz w:val="17"/>
        </w:rPr>
        <w:t>Effets possibles</w:t>
      </w:r>
    </w:p>
    <w:p>
      <w:pPr>
        <w:pStyle w:val="ListBullet"/>
        <w:numPr>
          <w:ilvl w:val="0"/>
          <w:numId w:val="1"/>
        </w:numPr>
        <w:spacing w:before="0" w:after="20"/>
        <w:ind w:hanging="360" w:start="255"/>
        <w:contextualSpacing/>
        <w:rPr/>
      </w:pPr>
      <w:r>
        <w:rPr>
          <w:sz w:val="17"/>
        </w:rPr>
        <w:t>Appui à l’analyse</w:t>
      </w:r>
    </w:p>
    <w:p>
      <w:pPr>
        <w:pStyle w:val="ListBullet"/>
        <w:numPr>
          <w:ilvl w:val="0"/>
          <w:numId w:val="1"/>
        </w:numPr>
        <w:spacing w:before="0" w:after="20"/>
        <w:ind w:hanging="360" w:start="255"/>
        <w:contextualSpacing/>
        <w:rPr/>
      </w:pPr>
      <w:r>
        <w:rPr>
          <w:sz w:val="17"/>
        </w:rPr>
        <w:t>Contrôle humain</w:t>
      </w:r>
    </w:p>
    <w:p>
      <w:pPr>
        <w:pStyle w:val="Heading3"/>
        <w:rPr/>
      </w:pPr>
      <w:r>
        <w:rPr/>
        <w:t>Banque de questions-réponses</w:t>
      </w:r>
    </w:p>
    <w:p>
      <w:pPr>
        <w:pStyle w:val="Normal"/>
        <w:keepNext w:val="true"/>
        <w:spacing w:before="40" w:after="0"/>
        <w:ind w:start="68"/>
        <w:rPr/>
      </w:pPr>
      <w:r>
        <w:rPr>
          <w:b/>
          <w:color w:val="0B3D91"/>
          <w:sz w:val="17"/>
        </w:rPr>
        <w:t>Q1. Que signifie ou présente « Note d’impact proposée par ÉMINA » ?</w:t>
      </w:r>
    </w:p>
    <w:p>
      <w:pPr>
        <w:pStyle w:val="Normal"/>
        <w:spacing w:before="0" w:after="40"/>
        <w:ind w:start="255"/>
        <w:rPr/>
      </w:pPr>
      <w:r>
        <w:rPr>
          <w:b/>
          <w:color w:val="D4A017"/>
          <w:sz w:val="16"/>
        </w:rPr>
        <w:t xml:space="preserve">Réponse : </w:t>
      </w:r>
      <w:r>
        <w:rPr>
          <w:color w:val="1F2937"/>
          <w:sz w:val="16"/>
        </w:rPr>
        <w:t>Une note d’impact est une synthèse proposée des conséquences potentielles d’une publication.</w:t>
      </w:r>
    </w:p>
    <w:p>
      <w:pPr>
        <w:pStyle w:val="Normal"/>
        <w:keepNext w:val="true"/>
        <w:spacing w:before="40" w:after="0"/>
        <w:ind w:start="68"/>
        <w:rPr/>
      </w:pPr>
      <w:r>
        <w:rPr>
          <w:b/>
          <w:color w:val="0B3D91"/>
          <w:sz w:val="17"/>
        </w:rPr>
        <w:t>Q2. Pourquoi « Note d’impact proposée par ÉMINA » figure-t-il dans la page de veille officielle ?</w:t>
      </w:r>
    </w:p>
    <w:p>
      <w:pPr>
        <w:pStyle w:val="Normal"/>
        <w:spacing w:before="0" w:after="40"/>
        <w:ind w:start="255"/>
        <w:rPr/>
      </w:pPr>
      <w:r>
        <w:rPr>
          <w:b/>
          <w:color w:val="D4A017"/>
          <w:sz w:val="16"/>
        </w:rPr>
        <w:t xml:space="preserve">Réponse : </w:t>
      </w:r>
      <w:r>
        <w:rPr>
          <w:color w:val="1F2937"/>
          <w:sz w:val="16"/>
        </w:rPr>
        <w:t>Aider les responsables à repérer les questions qui méritent examen.</w:t>
      </w:r>
    </w:p>
    <w:p>
      <w:pPr>
        <w:pStyle w:val="Normal"/>
        <w:keepNext w:val="true"/>
        <w:spacing w:before="40" w:after="0"/>
        <w:ind w:start="68"/>
        <w:rPr/>
      </w:pPr>
      <w:r>
        <w:rPr>
          <w:b/>
          <w:color w:val="0B3D91"/>
          <w:sz w:val="17"/>
        </w:rPr>
        <w:t>Q3. Quels contenus ou objets sont concernés par « Note d’impact proposée par ÉMINA » ?</w:t>
      </w:r>
    </w:p>
    <w:p>
      <w:pPr>
        <w:pStyle w:val="Normal"/>
        <w:spacing w:before="0" w:after="40"/>
        <w:ind w:start="255"/>
        <w:rPr/>
      </w:pPr>
      <w:r>
        <w:rPr>
          <w:b/>
          <w:color w:val="D4A017"/>
          <w:sz w:val="16"/>
        </w:rPr>
        <w:t xml:space="preserve">Réponse : </w:t>
      </w:r>
      <w:r>
        <w:rPr>
          <w:color w:val="1F2937"/>
          <w:sz w:val="16"/>
        </w:rPr>
        <w:t>Effets possibles, domaines concernés, éléments à vérifier et besoin de validation.</w:t>
      </w:r>
    </w:p>
    <w:p>
      <w:pPr>
        <w:pStyle w:val="Normal"/>
        <w:keepNext w:val="true"/>
        <w:spacing w:before="40" w:after="0"/>
        <w:ind w:start="68"/>
        <w:rPr/>
      </w:pPr>
      <w:r>
        <w:rPr>
          <w:b/>
          <w:color w:val="0B3D91"/>
          <w:sz w:val="17"/>
        </w:rPr>
        <w:t>Q4. Quel acteur intervient dans « Note d’impact proposée par ÉMINA » ?</w:t>
      </w:r>
    </w:p>
    <w:p>
      <w:pPr>
        <w:pStyle w:val="Normal"/>
        <w:spacing w:before="0" w:after="40"/>
        <w:ind w:start="255"/>
        <w:rPr/>
      </w:pPr>
      <w:r>
        <w:rPr>
          <w:b/>
          <w:color w:val="D4A017"/>
          <w:sz w:val="16"/>
        </w:rPr>
        <w:t xml:space="preserve">Réponse : </w:t>
      </w:r>
      <w:r>
        <w:rPr>
          <w:color w:val="1F2937"/>
          <w:sz w:val="16"/>
        </w:rPr>
        <w:t>ÉMINA formule une proposition à partir des sources disponibles.</w:t>
      </w:r>
    </w:p>
    <w:p>
      <w:pPr>
        <w:pStyle w:val="Normal"/>
        <w:keepNext w:val="true"/>
        <w:spacing w:before="40" w:after="0"/>
        <w:ind w:start="68"/>
        <w:rPr/>
      </w:pPr>
      <w:r>
        <w:rPr>
          <w:b/>
          <w:color w:val="0B3D91"/>
          <w:sz w:val="17"/>
        </w:rPr>
        <w:t>Q5. Comment « Note d’impact proposée par ÉMINA » est-il mis en œuvre selon le texte publié ?</w:t>
      </w:r>
    </w:p>
    <w:p>
      <w:pPr>
        <w:pStyle w:val="Normal"/>
        <w:spacing w:before="0" w:after="40"/>
        <w:ind w:start="255"/>
        <w:rPr/>
      </w:pPr>
      <w:r>
        <w:rPr>
          <w:b/>
          <w:color w:val="D4A017"/>
          <w:sz w:val="16"/>
        </w:rPr>
        <w:t xml:space="preserve">Réponse : </w:t>
      </w:r>
      <w:r>
        <w:rPr>
          <w:color w:val="1F2937"/>
          <w:sz w:val="16"/>
        </w:rPr>
        <w:t>La note doit rester rattachée à la source, à la date et à la portée.</w:t>
      </w:r>
    </w:p>
    <w:p>
      <w:pPr>
        <w:pStyle w:val="Normal"/>
        <w:keepNext w:val="true"/>
        <w:spacing w:before="40" w:after="0"/>
        <w:ind w:start="68"/>
        <w:rPr/>
      </w:pPr>
      <w:r>
        <w:rPr>
          <w:b/>
          <w:color w:val="0B3D91"/>
          <w:sz w:val="17"/>
        </w:rPr>
        <w:t>Q6. Quelle trace, référence ou information vérifiable accompagne « Note d’impact proposée par ÉMINA » ?</w:t>
      </w:r>
    </w:p>
    <w:p>
      <w:pPr>
        <w:pStyle w:val="Normal"/>
        <w:spacing w:before="0" w:after="40"/>
        <w:ind w:start="255"/>
        <w:rPr/>
      </w:pPr>
      <w:r>
        <w:rPr>
          <w:b/>
          <w:color w:val="D4A017"/>
          <w:sz w:val="16"/>
        </w:rPr>
        <w:t xml:space="preserve">Réponse : </w:t>
      </w:r>
      <w:r>
        <w:rPr>
          <w:color w:val="1F2937"/>
          <w:sz w:val="16"/>
        </w:rPr>
        <w:t>La note elle-même constitue un document préparatoire, non une décision.</w:t>
      </w:r>
    </w:p>
    <w:p>
      <w:pPr>
        <w:pStyle w:val="Normal"/>
        <w:keepNext w:val="true"/>
        <w:spacing w:before="40" w:after="0"/>
        <w:ind w:start="68"/>
        <w:rPr/>
      </w:pPr>
      <w:r>
        <w:rPr>
          <w:b/>
          <w:color w:val="0B3D91"/>
          <w:sz w:val="17"/>
        </w:rPr>
        <w:t>Q7. Quelle limite ou précaution est associée à « Note d’impact proposée par ÉMINA » ?</w:t>
      </w:r>
    </w:p>
    <w:p>
      <w:pPr>
        <w:pStyle w:val="Normal"/>
        <w:spacing w:before="0" w:after="40"/>
        <w:ind w:start="255"/>
        <w:rPr/>
      </w:pPr>
      <w:r>
        <w:rPr>
          <w:b/>
          <w:color w:val="D4A017"/>
          <w:sz w:val="16"/>
        </w:rPr>
        <w:t xml:space="preserve">Réponse : </w:t>
      </w:r>
      <w:r>
        <w:rPr>
          <w:color w:val="1F2937"/>
          <w:sz w:val="16"/>
        </w:rPr>
        <w:t>Elle ne vaut ni interprétation juridique définitive ni instruction opérationnelle.</w:t>
      </w:r>
    </w:p>
    <w:p>
      <w:pPr>
        <w:pStyle w:val="Normal"/>
        <w:keepNext w:val="true"/>
        <w:spacing w:before="40" w:after="0"/>
        <w:ind w:start="68"/>
        <w:rPr/>
      </w:pPr>
      <w:r>
        <w:rPr>
          <w:b/>
          <w:color w:val="0B3D91"/>
          <w:sz w:val="17"/>
        </w:rPr>
        <w:t>Q8. À qui « Note d’impact proposée par ÉMINA » est-il utile ou destiné ?</w:t>
      </w:r>
    </w:p>
    <w:p>
      <w:pPr>
        <w:pStyle w:val="Normal"/>
        <w:spacing w:before="0" w:after="40"/>
        <w:ind w:start="255"/>
        <w:rPr/>
      </w:pPr>
      <w:r>
        <w:rPr>
          <w:b/>
          <w:color w:val="D4A017"/>
          <w:sz w:val="16"/>
        </w:rPr>
        <w:t xml:space="preserve">Réponse : </w:t>
      </w:r>
      <w:r>
        <w:rPr>
          <w:color w:val="1F2937"/>
          <w:sz w:val="16"/>
        </w:rPr>
        <w:t>Direction, DAQAC et départements concernés.</w:t>
      </w:r>
    </w:p>
    <w:p>
      <w:pPr>
        <w:pStyle w:val="Normal"/>
        <w:keepNext w:val="true"/>
        <w:spacing w:before="40" w:after="0"/>
        <w:ind w:start="68"/>
        <w:rPr/>
      </w:pPr>
      <w:r>
        <w:rPr>
          <w:b/>
          <w:color w:val="0B3D91"/>
          <w:sz w:val="17"/>
        </w:rPr>
        <w:t>Q9. À quelles autres rubriques ou fonctions « Note d’impact proposée par ÉMINA » est-il relié ?</w:t>
      </w:r>
    </w:p>
    <w:p>
      <w:pPr>
        <w:pStyle w:val="Normal"/>
        <w:spacing w:before="0" w:after="40"/>
        <w:ind w:start="255"/>
        <w:rPr/>
      </w:pPr>
      <w:r>
        <w:rPr>
          <w:b/>
          <w:color w:val="D4A017"/>
          <w:sz w:val="16"/>
        </w:rPr>
        <w:t xml:space="preserve">Réponse : </w:t>
      </w:r>
      <w:r>
        <w:rPr>
          <w:color w:val="1F2937"/>
          <w:sz w:val="16"/>
        </w:rPr>
        <w:t>La note d’impact soutient le processus « analyser et faire valider ».</w:t>
      </w:r>
    </w:p>
    <w:p>
      <w:pPr>
        <w:pStyle w:val="Normal"/>
        <w:keepNext w:val="true"/>
        <w:spacing w:before="40" w:after="0"/>
        <w:ind w:start="68"/>
        <w:rPr/>
      </w:pPr>
      <w:r>
        <w:rPr>
          <w:b/>
          <w:color w:val="0B3D91"/>
          <w:sz w:val="17"/>
        </w:rPr>
        <w:t>Q10. Quelle idée essentielle faut-il retenir de « Note d’impact proposée par ÉMINA » ?</w:t>
      </w:r>
    </w:p>
    <w:p>
      <w:pPr>
        <w:pStyle w:val="Normal"/>
        <w:spacing w:before="0" w:after="40"/>
        <w:ind w:start="255"/>
        <w:rPr/>
      </w:pPr>
      <w:r>
        <w:rPr>
          <w:b/>
          <w:color w:val="D4A017"/>
          <w:sz w:val="16"/>
        </w:rPr>
        <w:t xml:space="preserve">Réponse : </w:t>
      </w:r>
      <w:r>
        <w:rPr>
          <w:color w:val="1F2937"/>
          <w:sz w:val="16"/>
        </w:rPr>
        <w:t>ÉMINA peut éclairer les impacts possibles, mais ne décide pas des suites.</w:t>
      </w:r>
    </w:p>
    <w:p>
      <w:pPr>
        <w:pStyle w:val="Normal"/>
        <w:rPr/>
      </w:pPr>
      <w:r>
        <w:rPr/>
      </w:r>
      <w:r>
        <w:br w:type="page"/>
      </w:r>
    </w:p>
    <w:p>
      <w:pPr>
        <w:pStyle w:val="Heading2"/>
        <w:spacing w:before="0" w:after="80"/>
        <w:rPr/>
      </w:pPr>
      <w:r>
        <w:rPr/>
        <w:t>FICHE 17 — ÉMINA n’impose aucune décision</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indique qu’ÉMINA peut proposer un classement ou une note d’impact, sans imposer une décision.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fixe clairement la limite de l’assistante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protège la responsabilité humaine, la légitimité des décisions et la sécurité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rôle et limites d’ÉMINA, assistance humaine, Direction et responsables habilités.</w:t>
            </w:r>
          </w:p>
        </w:tc>
      </w:tr>
    </w:tbl>
    <w:p>
      <w:pPr>
        <w:pStyle w:val="Heading3"/>
        <w:rPr/>
      </w:pPr>
      <w:r>
        <w:rPr/>
        <w:t>Points développés</w:t>
      </w:r>
    </w:p>
    <w:p>
      <w:pPr>
        <w:pStyle w:val="ListBullet"/>
        <w:numPr>
          <w:ilvl w:val="0"/>
          <w:numId w:val="1"/>
        </w:numPr>
        <w:spacing w:before="0" w:after="20"/>
        <w:ind w:hanging="360" w:start="255"/>
        <w:contextualSpacing/>
        <w:rPr/>
      </w:pPr>
      <w:r>
        <w:rPr>
          <w:sz w:val="17"/>
        </w:rPr>
        <w:t>Aide informationnelle</w:t>
      </w:r>
    </w:p>
    <w:p>
      <w:pPr>
        <w:pStyle w:val="ListBullet"/>
        <w:numPr>
          <w:ilvl w:val="0"/>
          <w:numId w:val="1"/>
        </w:numPr>
        <w:spacing w:before="0" w:after="20"/>
        <w:ind w:hanging="360" w:start="255"/>
        <w:contextualSpacing/>
        <w:rPr/>
      </w:pPr>
      <w:r>
        <w:rPr>
          <w:sz w:val="17"/>
        </w:rPr>
        <w:t>Proposition</w:t>
      </w:r>
    </w:p>
    <w:p>
      <w:pPr>
        <w:pStyle w:val="ListBullet"/>
        <w:numPr>
          <w:ilvl w:val="0"/>
          <w:numId w:val="1"/>
        </w:numPr>
        <w:spacing w:before="0" w:after="20"/>
        <w:ind w:hanging="360" w:start="255"/>
        <w:contextualSpacing/>
        <w:rPr/>
      </w:pPr>
      <w:r>
        <w:rPr>
          <w:sz w:val="17"/>
        </w:rPr>
        <w:t>Pas de pouvoir décisionnel</w:t>
      </w:r>
    </w:p>
    <w:p>
      <w:pPr>
        <w:pStyle w:val="ListBullet"/>
        <w:numPr>
          <w:ilvl w:val="0"/>
          <w:numId w:val="1"/>
        </w:numPr>
        <w:spacing w:before="0" w:after="20"/>
        <w:ind w:hanging="360" w:start="255"/>
        <w:contextualSpacing/>
        <w:rPr/>
      </w:pPr>
      <w:r>
        <w:rPr>
          <w:sz w:val="17"/>
        </w:rPr>
        <w:t>Responsabilité humaine</w:t>
      </w:r>
    </w:p>
    <w:p>
      <w:pPr>
        <w:pStyle w:val="Heading3"/>
        <w:rPr/>
      </w:pPr>
      <w:r>
        <w:rPr/>
        <w:t>Banque de questions-réponses</w:t>
      </w:r>
    </w:p>
    <w:p>
      <w:pPr>
        <w:pStyle w:val="Normal"/>
        <w:keepNext w:val="true"/>
        <w:spacing w:before="40" w:after="0"/>
        <w:ind w:start="68"/>
        <w:rPr/>
      </w:pPr>
      <w:r>
        <w:rPr>
          <w:b/>
          <w:color w:val="0B3D91"/>
          <w:sz w:val="17"/>
        </w:rPr>
        <w:t>Q1. Que signifie ou présente « ÉMINA n’impose aucune décision » ?</w:t>
      </w:r>
    </w:p>
    <w:p>
      <w:pPr>
        <w:pStyle w:val="Normal"/>
        <w:spacing w:before="0" w:after="40"/>
        <w:ind w:start="255"/>
        <w:rPr/>
      </w:pPr>
      <w:r>
        <w:rPr>
          <w:b/>
          <w:color w:val="D4A017"/>
          <w:sz w:val="16"/>
        </w:rPr>
        <w:t xml:space="preserve">Réponse : </w:t>
      </w:r>
      <w:r>
        <w:rPr>
          <w:color w:val="1F2937"/>
          <w:sz w:val="16"/>
        </w:rPr>
        <w:t>ÉMINA fournit une aide informationnelle et analytique, mais ne décide pas à la place du personnel.</w:t>
      </w:r>
    </w:p>
    <w:p>
      <w:pPr>
        <w:pStyle w:val="Normal"/>
        <w:keepNext w:val="true"/>
        <w:spacing w:before="40" w:after="0"/>
        <w:ind w:start="68"/>
        <w:rPr/>
      </w:pPr>
      <w:r>
        <w:rPr>
          <w:b/>
          <w:color w:val="0B3D91"/>
          <w:sz w:val="17"/>
        </w:rPr>
        <w:t>Q2. Pourquoi « ÉMINA n’impose aucune décision » figure-t-il dans la page de veille officielle ?</w:t>
      </w:r>
    </w:p>
    <w:p>
      <w:pPr>
        <w:pStyle w:val="Normal"/>
        <w:spacing w:before="0" w:after="40"/>
        <w:ind w:start="255"/>
        <w:rPr/>
      </w:pPr>
      <w:r>
        <w:rPr>
          <w:b/>
          <w:color w:val="D4A017"/>
          <w:sz w:val="16"/>
        </w:rPr>
        <w:t xml:space="preserve">Réponse : </w:t>
      </w:r>
      <w:r>
        <w:rPr>
          <w:color w:val="1F2937"/>
          <w:sz w:val="16"/>
        </w:rPr>
        <w:t>Éviter l’automatisation de décisions sensibles ou institutionnelles.</w:t>
      </w:r>
    </w:p>
    <w:p>
      <w:pPr>
        <w:pStyle w:val="Normal"/>
        <w:keepNext w:val="true"/>
        <w:spacing w:before="40" w:after="0"/>
        <w:ind w:start="68"/>
        <w:rPr/>
      </w:pPr>
      <w:r>
        <w:rPr>
          <w:b/>
          <w:color w:val="0B3D91"/>
          <w:sz w:val="17"/>
        </w:rPr>
        <w:t>Q3. Quels contenus ou objets sont concernés par « ÉMINA n’impose aucune décision » ?</w:t>
      </w:r>
    </w:p>
    <w:p>
      <w:pPr>
        <w:pStyle w:val="Normal"/>
        <w:spacing w:before="0" w:after="40"/>
        <w:ind w:start="255"/>
        <w:rPr/>
      </w:pPr>
      <w:r>
        <w:rPr>
          <w:b/>
          <w:color w:val="D4A017"/>
          <w:sz w:val="16"/>
        </w:rPr>
        <w:t xml:space="preserve">Réponse : </w:t>
      </w:r>
      <w:r>
        <w:rPr>
          <w:color w:val="1F2937"/>
          <w:sz w:val="16"/>
        </w:rPr>
        <w:t>Classements, notes d’impact et informations publiques.</w:t>
      </w:r>
    </w:p>
    <w:p>
      <w:pPr>
        <w:pStyle w:val="Normal"/>
        <w:keepNext w:val="true"/>
        <w:spacing w:before="40" w:after="0"/>
        <w:ind w:start="68"/>
        <w:rPr/>
      </w:pPr>
      <w:r>
        <w:rPr>
          <w:b/>
          <w:color w:val="0B3D91"/>
          <w:sz w:val="17"/>
        </w:rPr>
        <w:t>Q4. Quel acteur intervient dans « ÉMINA n’impose aucune décision » ?</w:t>
      </w:r>
    </w:p>
    <w:p>
      <w:pPr>
        <w:pStyle w:val="Normal"/>
        <w:spacing w:before="0" w:after="40"/>
        <w:ind w:start="255"/>
        <w:rPr/>
      </w:pPr>
      <w:r>
        <w:rPr>
          <w:b/>
          <w:color w:val="D4A017"/>
          <w:sz w:val="16"/>
        </w:rPr>
        <w:t xml:space="preserve">Réponse : </w:t>
      </w:r>
      <w:r>
        <w:rPr>
          <w:color w:val="1F2937"/>
          <w:sz w:val="16"/>
        </w:rPr>
        <w:t>ÉMINA propose ; une personne habilitée examine et décide.</w:t>
      </w:r>
    </w:p>
    <w:p>
      <w:pPr>
        <w:pStyle w:val="Normal"/>
        <w:keepNext w:val="true"/>
        <w:spacing w:before="40" w:after="0"/>
        <w:ind w:start="68"/>
        <w:rPr/>
      </w:pPr>
      <w:r>
        <w:rPr>
          <w:b/>
          <w:color w:val="0B3D91"/>
          <w:sz w:val="17"/>
        </w:rPr>
        <w:t>Q5. Comment « ÉMINA n’impose aucune décision » est-il mis en œuvre selon le texte publié ?</w:t>
      </w:r>
    </w:p>
    <w:p>
      <w:pPr>
        <w:pStyle w:val="Normal"/>
        <w:spacing w:before="0" w:after="40"/>
        <w:ind w:start="255"/>
        <w:rPr/>
      </w:pPr>
      <w:r>
        <w:rPr>
          <w:b/>
          <w:color w:val="D4A017"/>
          <w:sz w:val="16"/>
        </w:rPr>
        <w:t xml:space="preserve">Réponse : </w:t>
      </w:r>
      <w:r>
        <w:rPr>
          <w:color w:val="1F2937"/>
          <w:sz w:val="16"/>
        </w:rPr>
        <w:t>La réponse doit rester liée à des sources publiques et signaler les limites.</w:t>
      </w:r>
    </w:p>
    <w:p>
      <w:pPr>
        <w:pStyle w:val="Normal"/>
        <w:keepNext w:val="true"/>
        <w:spacing w:before="40" w:after="0"/>
        <w:ind w:start="68"/>
        <w:rPr/>
      </w:pPr>
      <w:r>
        <w:rPr>
          <w:b/>
          <w:color w:val="0B3D91"/>
          <w:sz w:val="17"/>
        </w:rPr>
        <w:t>Q6. Quelle trace, référence ou information vérifiable accompagne « ÉMINA n’impose aucune décision » ?</w:t>
      </w:r>
    </w:p>
    <w:p>
      <w:pPr>
        <w:pStyle w:val="Normal"/>
        <w:spacing w:before="0" w:after="40"/>
        <w:ind w:start="255"/>
        <w:rPr/>
      </w:pPr>
      <w:r>
        <w:rPr>
          <w:b/>
          <w:color w:val="D4A017"/>
          <w:sz w:val="16"/>
        </w:rPr>
        <w:t xml:space="preserve">Réponse : </w:t>
      </w:r>
      <w:r>
        <w:rPr>
          <w:color w:val="1F2937"/>
          <w:sz w:val="16"/>
        </w:rPr>
        <w:t>La page de veille et la page sur le rôle d’ÉMINA rendent cette limite vérifiable.</w:t>
      </w:r>
    </w:p>
    <w:p>
      <w:pPr>
        <w:pStyle w:val="Normal"/>
        <w:keepNext w:val="true"/>
        <w:spacing w:before="40" w:after="0"/>
        <w:ind w:start="68"/>
        <w:rPr/>
      </w:pPr>
      <w:r>
        <w:rPr>
          <w:b/>
          <w:color w:val="0B3D91"/>
          <w:sz w:val="17"/>
        </w:rPr>
        <w:t>Q7. Quelle limite ou précaution est associée à « ÉMINA n’impose aucune décision » ?</w:t>
      </w:r>
    </w:p>
    <w:p>
      <w:pPr>
        <w:pStyle w:val="Normal"/>
        <w:spacing w:before="0" w:after="40"/>
        <w:ind w:start="255"/>
        <w:rPr/>
      </w:pPr>
      <w:r>
        <w:rPr>
          <w:b/>
          <w:color w:val="D4A017"/>
          <w:sz w:val="16"/>
        </w:rPr>
        <w:t xml:space="preserve">Réponse : </w:t>
      </w:r>
      <w:r>
        <w:rPr>
          <w:color w:val="1F2937"/>
          <w:sz w:val="16"/>
        </w:rPr>
        <w:t>Aucune proposition d’ÉMINA ne devient obligatoire par elle-même.</w:t>
      </w:r>
    </w:p>
    <w:p>
      <w:pPr>
        <w:pStyle w:val="Normal"/>
        <w:keepNext w:val="true"/>
        <w:spacing w:before="40" w:after="0"/>
        <w:ind w:start="68"/>
        <w:rPr/>
      </w:pPr>
      <w:r>
        <w:rPr>
          <w:b/>
          <w:color w:val="0B3D91"/>
          <w:sz w:val="17"/>
        </w:rPr>
        <w:t>Q8. À qui « ÉMINA n’impose aucune décision » est-il utile ou destiné ?</w:t>
      </w:r>
    </w:p>
    <w:p>
      <w:pPr>
        <w:pStyle w:val="Normal"/>
        <w:spacing w:before="0" w:after="40"/>
        <w:ind w:start="255"/>
        <w:rPr/>
      </w:pPr>
      <w:r>
        <w:rPr>
          <w:b/>
          <w:color w:val="D4A017"/>
          <w:sz w:val="16"/>
        </w:rPr>
        <w:t xml:space="preserve">Réponse : </w:t>
      </w:r>
      <w:r>
        <w:rPr>
          <w:color w:val="1F2937"/>
          <w:sz w:val="16"/>
        </w:rPr>
        <w:t>Tous les utilisateurs d’ÉMINA et responsables du GSE.</w:t>
      </w:r>
    </w:p>
    <w:p>
      <w:pPr>
        <w:pStyle w:val="Normal"/>
        <w:keepNext w:val="true"/>
        <w:spacing w:before="40" w:after="0"/>
        <w:ind w:start="68"/>
        <w:rPr/>
      </w:pPr>
      <w:r>
        <w:rPr>
          <w:b/>
          <w:color w:val="0B3D91"/>
          <w:sz w:val="17"/>
        </w:rPr>
        <w:t>Q9. À quelles autres rubriques ou fonctions « ÉMINA n’impose aucune décision » est-il relié ?</w:t>
      </w:r>
    </w:p>
    <w:p>
      <w:pPr>
        <w:pStyle w:val="Normal"/>
        <w:spacing w:before="0" w:after="40"/>
        <w:ind w:start="255"/>
        <w:rPr/>
      </w:pPr>
      <w:r>
        <w:rPr>
          <w:b/>
          <w:color w:val="D4A017"/>
          <w:sz w:val="16"/>
        </w:rPr>
        <w:t xml:space="preserve">Réponse : </w:t>
      </w:r>
      <w:r>
        <w:rPr>
          <w:color w:val="1F2937"/>
          <w:sz w:val="16"/>
        </w:rPr>
        <w:t>Cette limite est cohérente avec le message général : ne pas adopter automatiquement.</w:t>
      </w:r>
    </w:p>
    <w:p>
      <w:pPr>
        <w:pStyle w:val="Normal"/>
        <w:keepNext w:val="true"/>
        <w:spacing w:before="40" w:after="0"/>
        <w:ind w:start="68"/>
        <w:rPr/>
      </w:pPr>
      <w:r>
        <w:rPr>
          <w:b/>
          <w:color w:val="0B3D91"/>
          <w:sz w:val="17"/>
        </w:rPr>
        <w:t>Q10. Quelle idée essentielle faut-il retenir de « ÉMINA n’impose aucune décision » ?</w:t>
      </w:r>
    </w:p>
    <w:p>
      <w:pPr>
        <w:pStyle w:val="Normal"/>
        <w:spacing w:before="0" w:after="40"/>
        <w:ind w:start="255"/>
        <w:rPr/>
      </w:pPr>
      <w:r>
        <w:rPr>
          <w:b/>
          <w:color w:val="D4A017"/>
          <w:sz w:val="16"/>
        </w:rPr>
        <w:t xml:space="preserve">Réponse : </w:t>
      </w:r>
      <w:r>
        <w:rPr>
          <w:color w:val="1F2937"/>
          <w:sz w:val="16"/>
        </w:rPr>
        <w:t>L’assistante éclaire la décision, elle ne la prend pas.</w:t>
      </w:r>
    </w:p>
    <w:p>
      <w:pPr>
        <w:pStyle w:val="Normal"/>
        <w:rPr/>
      </w:pPr>
      <w:r>
        <w:rPr/>
      </w:r>
      <w:r>
        <w:br w:type="page"/>
      </w:r>
    </w:p>
    <w:p>
      <w:pPr>
        <w:pStyle w:val="Heading2"/>
        <w:spacing w:before="0" w:after="80"/>
        <w:rPr/>
      </w:pPr>
      <w:r>
        <w:rPr/>
        <w:t>FICHE 18 — Validation humaine de toute adoption sensible</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Toute adoption sensible exige une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impose une barrière de sécurité avant l’intégration d’une évolution importante.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garantit que les conséquences éducatives, administratives, juridiques ou organisationnelles sont examinées.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Direction, DAQAC, responsables opérationnels et gouvernance.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Adoption sensible</w:t>
      </w:r>
    </w:p>
    <w:p>
      <w:pPr>
        <w:pStyle w:val="ListBullet"/>
        <w:numPr>
          <w:ilvl w:val="0"/>
          <w:numId w:val="1"/>
        </w:numPr>
        <w:spacing w:before="0" w:after="20"/>
        <w:ind w:hanging="360" w:start="255"/>
        <w:contextualSpacing/>
        <w:rPr/>
      </w:pPr>
      <w:r>
        <w:rPr>
          <w:sz w:val="17"/>
        </w:rPr>
        <w:t>Examen préalable</w:t>
      </w:r>
    </w:p>
    <w:p>
      <w:pPr>
        <w:pStyle w:val="ListBullet"/>
        <w:numPr>
          <w:ilvl w:val="0"/>
          <w:numId w:val="1"/>
        </w:numPr>
        <w:spacing w:before="0" w:after="20"/>
        <w:ind w:hanging="360" w:start="255"/>
        <w:contextualSpacing/>
        <w:rPr/>
      </w:pPr>
      <w:r>
        <w:rPr>
          <w:sz w:val="17"/>
        </w:rPr>
        <w:t>Autorité habilitée</w:t>
      </w:r>
    </w:p>
    <w:p>
      <w:pPr>
        <w:pStyle w:val="ListBullet"/>
        <w:numPr>
          <w:ilvl w:val="0"/>
          <w:numId w:val="1"/>
        </w:numPr>
        <w:spacing w:before="0" w:after="20"/>
        <w:ind w:hanging="360" w:start="255"/>
        <w:contextualSpacing/>
        <w:rPr/>
      </w:pPr>
      <w:r>
        <w:rPr>
          <w:sz w:val="17"/>
        </w:rPr>
        <w:t>Traçabilité</w:t>
      </w:r>
    </w:p>
    <w:p>
      <w:pPr>
        <w:pStyle w:val="Heading3"/>
        <w:rPr/>
      </w:pPr>
      <w:r>
        <w:rPr/>
        <w:t>Banque de questions-réponses</w:t>
      </w:r>
    </w:p>
    <w:p>
      <w:pPr>
        <w:pStyle w:val="Normal"/>
        <w:keepNext w:val="true"/>
        <w:spacing w:before="40" w:after="0"/>
        <w:ind w:start="68"/>
        <w:rPr/>
      </w:pPr>
      <w:r>
        <w:rPr>
          <w:b/>
          <w:color w:val="0B3D91"/>
          <w:sz w:val="17"/>
        </w:rPr>
        <w:t>Q1. Que signifie ou présente « Validation humaine de toute adoption sensible » ?</w:t>
      </w:r>
    </w:p>
    <w:p>
      <w:pPr>
        <w:pStyle w:val="Normal"/>
        <w:spacing w:before="0" w:after="40"/>
        <w:ind w:start="255"/>
        <w:rPr/>
      </w:pPr>
      <w:r>
        <w:rPr>
          <w:b/>
          <w:color w:val="D4A017"/>
          <w:sz w:val="16"/>
        </w:rPr>
        <w:t xml:space="preserve">Réponse : </w:t>
      </w:r>
      <w:r>
        <w:rPr>
          <w:color w:val="1F2937"/>
          <w:sz w:val="16"/>
        </w:rPr>
        <w:t>Une adoption sensible est l’intégration d’une évolution susceptible d’avoir des effets importants sur l’institution.</w:t>
      </w:r>
    </w:p>
    <w:p>
      <w:pPr>
        <w:pStyle w:val="Normal"/>
        <w:keepNext w:val="true"/>
        <w:spacing w:before="40" w:after="0"/>
        <w:ind w:start="68"/>
        <w:rPr/>
      </w:pPr>
      <w:r>
        <w:rPr>
          <w:b/>
          <w:color w:val="0B3D91"/>
          <w:sz w:val="17"/>
        </w:rPr>
        <w:t>Q2. Pourquoi « Validation humaine de toute adoption sensible » figure-t-il dans la page de veille officielle ?</w:t>
      </w:r>
    </w:p>
    <w:p>
      <w:pPr>
        <w:pStyle w:val="Normal"/>
        <w:spacing w:before="0" w:after="40"/>
        <w:ind w:start="255"/>
        <w:rPr/>
      </w:pPr>
      <w:r>
        <w:rPr>
          <w:b/>
          <w:color w:val="D4A017"/>
          <w:sz w:val="16"/>
        </w:rPr>
        <w:t xml:space="preserve">Réponse : </w:t>
      </w:r>
      <w:r>
        <w:rPr>
          <w:color w:val="1F2937"/>
          <w:sz w:val="16"/>
        </w:rPr>
        <w:t>Empêcher qu’une publication ou une recommandation soit appliquée sans examen responsable.</w:t>
      </w:r>
    </w:p>
    <w:p>
      <w:pPr>
        <w:pStyle w:val="Normal"/>
        <w:keepNext w:val="true"/>
        <w:spacing w:before="40" w:after="0"/>
        <w:ind w:start="68"/>
        <w:rPr/>
      </w:pPr>
      <w:r>
        <w:rPr>
          <w:b/>
          <w:color w:val="0B3D91"/>
          <w:sz w:val="17"/>
        </w:rPr>
        <w:t>Q3. Quels contenus ou objets sont concernés par « Validation humaine de toute adoption sensible » ?</w:t>
      </w:r>
    </w:p>
    <w:p>
      <w:pPr>
        <w:pStyle w:val="Normal"/>
        <w:spacing w:before="0" w:after="40"/>
        <w:ind w:start="255"/>
        <w:rPr/>
      </w:pPr>
      <w:r>
        <w:rPr>
          <w:b/>
          <w:color w:val="D4A017"/>
          <w:sz w:val="16"/>
        </w:rPr>
        <w:t xml:space="preserve">Réponse : </w:t>
      </w:r>
      <w:r>
        <w:rPr>
          <w:color w:val="1F2937"/>
          <w:sz w:val="16"/>
        </w:rPr>
        <w:t>Modifications importantes de politiques, procédures, responsabilités ou services.</w:t>
      </w:r>
    </w:p>
    <w:p>
      <w:pPr>
        <w:pStyle w:val="Normal"/>
        <w:keepNext w:val="true"/>
        <w:spacing w:before="40" w:after="0"/>
        <w:ind w:start="68"/>
        <w:rPr/>
      </w:pPr>
      <w:r>
        <w:rPr>
          <w:b/>
          <w:color w:val="0B3D91"/>
          <w:sz w:val="17"/>
        </w:rPr>
        <w:t>Q4. Quel acteur intervient dans « Validation humaine de toute adoption sensible » ?</w:t>
      </w:r>
    </w:p>
    <w:p>
      <w:pPr>
        <w:pStyle w:val="Normal"/>
        <w:spacing w:before="0" w:after="40"/>
        <w:ind w:start="255"/>
        <w:rPr/>
      </w:pPr>
      <w:r>
        <w:rPr>
          <w:b/>
          <w:color w:val="D4A017"/>
          <w:sz w:val="16"/>
        </w:rPr>
        <w:t xml:space="preserve">Réponse : </w:t>
      </w:r>
      <w:r>
        <w:rPr>
          <w:color w:val="1F2937"/>
          <w:sz w:val="16"/>
        </w:rPr>
        <w:t>L’impact est analysé puis soumis à une personne ou instance habilitée.</w:t>
      </w:r>
    </w:p>
    <w:p>
      <w:pPr>
        <w:pStyle w:val="Normal"/>
        <w:keepNext w:val="true"/>
        <w:spacing w:before="40" w:after="0"/>
        <w:ind w:start="68"/>
        <w:rPr/>
      </w:pPr>
      <w:r>
        <w:rPr>
          <w:b/>
          <w:color w:val="0B3D91"/>
          <w:sz w:val="17"/>
        </w:rPr>
        <w:t>Q5. Comment « Validation humaine de toute adoption sensible » est-il mis en œuvre selon le texte publié ?</w:t>
      </w:r>
    </w:p>
    <w:p>
      <w:pPr>
        <w:pStyle w:val="Normal"/>
        <w:spacing w:before="0" w:after="40"/>
        <w:ind w:start="255"/>
        <w:rPr/>
      </w:pPr>
      <w:r>
        <w:rPr>
          <w:b/>
          <w:color w:val="D4A017"/>
          <w:sz w:val="16"/>
        </w:rPr>
        <w:t xml:space="preserve">Réponse : </w:t>
      </w:r>
      <w:r>
        <w:rPr>
          <w:color w:val="1F2937"/>
          <w:sz w:val="16"/>
        </w:rPr>
        <w:t>La source, la date, la portée et la note d’impact accompagnent la validation.</w:t>
      </w:r>
    </w:p>
    <w:p>
      <w:pPr>
        <w:pStyle w:val="Normal"/>
        <w:keepNext w:val="true"/>
        <w:spacing w:before="40" w:after="0"/>
        <w:ind w:start="68"/>
        <w:rPr/>
      </w:pPr>
      <w:r>
        <w:rPr>
          <w:b/>
          <w:color w:val="0B3D91"/>
          <w:sz w:val="17"/>
        </w:rPr>
        <w:t>Q6. Quelle trace, référence ou information vérifiable accompagne « Validation humaine de toute adoption sensible » ?</w:t>
      </w:r>
    </w:p>
    <w:p>
      <w:pPr>
        <w:pStyle w:val="Normal"/>
        <w:spacing w:before="0" w:after="40"/>
        <w:ind w:start="255"/>
        <w:rPr/>
      </w:pPr>
      <w:r>
        <w:rPr>
          <w:b/>
          <w:color w:val="D4A017"/>
          <w:sz w:val="16"/>
        </w:rPr>
        <w:t xml:space="preserve">Réponse : </w:t>
      </w:r>
      <w:r>
        <w:rPr>
          <w:color w:val="1F2937"/>
          <w:sz w:val="16"/>
        </w:rPr>
        <w:t>La décision humaine peut être tracée dans les documents et processus internes appropriés.</w:t>
      </w:r>
    </w:p>
    <w:p>
      <w:pPr>
        <w:pStyle w:val="Normal"/>
        <w:keepNext w:val="true"/>
        <w:spacing w:before="40" w:after="0"/>
        <w:ind w:start="68"/>
        <w:rPr/>
      </w:pPr>
      <w:r>
        <w:rPr>
          <w:b/>
          <w:color w:val="0B3D91"/>
          <w:sz w:val="17"/>
        </w:rPr>
        <w:t>Q7. Quelle limite ou précaution est associée à « Validation humaine de toute adoption sensible » ?</w:t>
      </w:r>
    </w:p>
    <w:p>
      <w:pPr>
        <w:pStyle w:val="Normal"/>
        <w:spacing w:before="0" w:after="40"/>
        <w:ind w:start="255"/>
        <w:rPr/>
      </w:pPr>
      <w:r>
        <w:rPr>
          <w:b/>
          <w:color w:val="D4A017"/>
          <w:sz w:val="16"/>
        </w:rPr>
        <w:t xml:space="preserve">Réponse : </w:t>
      </w:r>
      <w:r>
        <w:rPr>
          <w:color w:val="1F2937"/>
          <w:sz w:val="16"/>
        </w:rPr>
        <w:t>Le système de veille et ÉMINA ne peuvent pas valider seuls une adoption sensible.</w:t>
      </w:r>
    </w:p>
    <w:p>
      <w:pPr>
        <w:pStyle w:val="Normal"/>
        <w:keepNext w:val="true"/>
        <w:spacing w:before="40" w:after="0"/>
        <w:ind w:start="68"/>
        <w:rPr/>
      </w:pPr>
      <w:r>
        <w:rPr>
          <w:b/>
          <w:color w:val="0B3D91"/>
          <w:sz w:val="17"/>
        </w:rPr>
        <w:t>Q8. À qui « Validation humaine de toute adoption sensible » est-il utile ou destiné ?</w:t>
      </w:r>
    </w:p>
    <w:p>
      <w:pPr>
        <w:pStyle w:val="Normal"/>
        <w:spacing w:before="0" w:after="40"/>
        <w:ind w:start="255"/>
        <w:rPr/>
      </w:pPr>
      <w:r>
        <w:rPr>
          <w:b/>
          <w:color w:val="D4A017"/>
          <w:sz w:val="16"/>
        </w:rPr>
        <w:t xml:space="preserve">Réponse : </w:t>
      </w:r>
      <w:r>
        <w:rPr>
          <w:color w:val="1F2937"/>
          <w:sz w:val="16"/>
        </w:rPr>
        <w:t>Direction et responsables habilités.</w:t>
      </w:r>
    </w:p>
    <w:p>
      <w:pPr>
        <w:pStyle w:val="Normal"/>
        <w:keepNext w:val="true"/>
        <w:spacing w:before="40" w:after="0"/>
        <w:ind w:start="68"/>
        <w:rPr/>
      </w:pPr>
      <w:r>
        <w:rPr>
          <w:b/>
          <w:color w:val="0B3D91"/>
          <w:sz w:val="17"/>
        </w:rPr>
        <w:t>Q9. À quelles autres rubriques ou fonctions « Validation humaine de toute adoption sensible » est-il relié ?</w:t>
      </w:r>
    </w:p>
    <w:p>
      <w:pPr>
        <w:pStyle w:val="Normal"/>
        <w:spacing w:before="0" w:after="40"/>
        <w:ind w:start="255"/>
        <w:rPr/>
      </w:pPr>
      <w:r>
        <w:rPr>
          <w:b/>
          <w:color w:val="D4A017"/>
          <w:sz w:val="16"/>
        </w:rPr>
        <w:t xml:space="preserve">Réponse : </w:t>
      </w:r>
      <w:r>
        <w:rPr>
          <w:color w:val="1F2937"/>
          <w:sz w:val="16"/>
        </w:rPr>
        <w:t>Cette exigence relie la veille à la gouvernance et à l’assurance qualité.</w:t>
      </w:r>
    </w:p>
    <w:p>
      <w:pPr>
        <w:pStyle w:val="Normal"/>
        <w:keepNext w:val="true"/>
        <w:spacing w:before="40" w:after="0"/>
        <w:ind w:start="68"/>
        <w:rPr/>
      </w:pPr>
      <w:r>
        <w:rPr>
          <w:b/>
          <w:color w:val="0B3D91"/>
          <w:sz w:val="17"/>
        </w:rPr>
        <w:t>Q10. Quelle idée essentielle faut-il retenir de « Validation humaine de toute adoption sensible » ?</w:t>
      </w:r>
    </w:p>
    <w:p>
      <w:pPr>
        <w:pStyle w:val="Normal"/>
        <w:spacing w:before="0" w:after="40"/>
        <w:ind w:start="255"/>
        <w:rPr/>
      </w:pPr>
      <w:r>
        <w:rPr>
          <w:b/>
          <w:color w:val="D4A017"/>
          <w:sz w:val="16"/>
        </w:rPr>
        <w:t xml:space="preserve">Réponse : </w:t>
      </w:r>
      <w:r>
        <w:rPr>
          <w:color w:val="1F2937"/>
          <w:sz w:val="16"/>
        </w:rPr>
        <w:t>Toute décision sensible doit rester sous contrôle humain.</w:t>
      </w:r>
    </w:p>
    <w:p>
      <w:pPr>
        <w:pStyle w:val="Normal"/>
        <w:rPr/>
      </w:pPr>
      <w:r>
        <w:rPr/>
      </w:r>
      <w:r>
        <w:br w:type="page"/>
      </w:r>
    </w:p>
    <w:p>
      <w:pPr>
        <w:pStyle w:val="Heading2"/>
        <w:spacing w:before="0" w:after="80"/>
        <w:rPr/>
      </w:pPr>
      <w:r>
        <w:rPr/>
        <w:t>FICHE 19 — Validation humaine de l’interprétation juridique</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Toute interprétation juridique exige une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reconnaît que l’interprétation d’un texte officiel peut nécessiter une compétence et une responsabilité spécifiques.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limite le risque de présenter une analyse automatisée comme avis juridique définitif.</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autorités compétentes, Direction, conseil ou personnel habilité et documentation de la source.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Texte juridique</w:t>
      </w:r>
    </w:p>
    <w:p>
      <w:pPr>
        <w:pStyle w:val="ListBullet"/>
        <w:numPr>
          <w:ilvl w:val="0"/>
          <w:numId w:val="1"/>
        </w:numPr>
        <w:spacing w:before="0" w:after="20"/>
        <w:ind w:hanging="360" w:start="255"/>
        <w:contextualSpacing/>
        <w:rPr/>
      </w:pPr>
      <w:r>
        <w:rPr>
          <w:sz w:val="17"/>
        </w:rPr>
        <w:t>Interprétation</w:t>
      </w:r>
    </w:p>
    <w:p>
      <w:pPr>
        <w:pStyle w:val="ListBullet"/>
        <w:numPr>
          <w:ilvl w:val="0"/>
          <w:numId w:val="1"/>
        </w:numPr>
        <w:spacing w:before="0" w:after="20"/>
        <w:ind w:hanging="360" w:start="255"/>
        <w:contextualSpacing/>
        <w:rPr/>
      </w:pPr>
      <w:r>
        <w:rPr>
          <w:sz w:val="17"/>
        </w:rPr>
        <w:t>Compétence humaine</w:t>
      </w:r>
    </w:p>
    <w:p>
      <w:pPr>
        <w:pStyle w:val="ListBullet"/>
        <w:numPr>
          <w:ilvl w:val="0"/>
          <w:numId w:val="1"/>
        </w:numPr>
        <w:spacing w:before="0" w:after="20"/>
        <w:ind w:hanging="360" w:start="255"/>
        <w:contextualSpacing/>
        <w:rPr/>
      </w:pPr>
      <w:r>
        <w:rPr>
          <w:sz w:val="17"/>
        </w:rPr>
        <w:t>Prudence</w:t>
      </w:r>
    </w:p>
    <w:p>
      <w:pPr>
        <w:pStyle w:val="Heading3"/>
        <w:rPr/>
      </w:pPr>
      <w:r>
        <w:rPr/>
        <w:t>Banque de questions-réponses</w:t>
      </w:r>
    </w:p>
    <w:p>
      <w:pPr>
        <w:pStyle w:val="Normal"/>
        <w:keepNext w:val="true"/>
        <w:spacing w:before="40" w:after="0"/>
        <w:ind w:start="68"/>
        <w:rPr/>
      </w:pPr>
      <w:r>
        <w:rPr>
          <w:b/>
          <w:color w:val="0B3D91"/>
          <w:sz w:val="17"/>
        </w:rPr>
        <w:t>Q1. Que signifie ou présente « Validation humaine de l’interprétation juridique » ?</w:t>
      </w:r>
    </w:p>
    <w:p>
      <w:pPr>
        <w:pStyle w:val="Normal"/>
        <w:spacing w:before="0" w:after="40"/>
        <w:ind w:start="255"/>
        <w:rPr/>
      </w:pPr>
      <w:r>
        <w:rPr>
          <w:b/>
          <w:color w:val="D4A017"/>
          <w:sz w:val="16"/>
        </w:rPr>
        <w:t xml:space="preserve">Réponse : </w:t>
      </w:r>
      <w:r>
        <w:rPr>
          <w:color w:val="1F2937"/>
          <w:sz w:val="16"/>
        </w:rPr>
        <w:t>L’interprétation juridique consiste à déterminer la signification et les effets d’un texte de droit.</w:t>
      </w:r>
    </w:p>
    <w:p>
      <w:pPr>
        <w:pStyle w:val="Normal"/>
        <w:keepNext w:val="true"/>
        <w:spacing w:before="40" w:after="0"/>
        <w:ind w:start="68"/>
        <w:rPr/>
      </w:pPr>
      <w:r>
        <w:rPr>
          <w:b/>
          <w:color w:val="0B3D91"/>
          <w:sz w:val="17"/>
        </w:rPr>
        <w:t>Q2. Pourquoi « Validation humaine de l’interprétation juridique » figure-t-il dans la page de veille officielle ?</w:t>
      </w:r>
    </w:p>
    <w:p>
      <w:pPr>
        <w:pStyle w:val="Normal"/>
        <w:spacing w:before="0" w:after="40"/>
        <w:ind w:start="255"/>
        <w:rPr/>
      </w:pPr>
      <w:r>
        <w:rPr>
          <w:b/>
          <w:color w:val="D4A017"/>
          <w:sz w:val="16"/>
        </w:rPr>
        <w:t xml:space="preserve">Réponse : </w:t>
      </w:r>
      <w:r>
        <w:rPr>
          <w:color w:val="1F2937"/>
          <w:sz w:val="16"/>
        </w:rPr>
        <w:t>Réserver les conclusions juridiques à des personnes compétentes et responsables.</w:t>
      </w:r>
    </w:p>
    <w:p>
      <w:pPr>
        <w:pStyle w:val="Normal"/>
        <w:keepNext w:val="true"/>
        <w:spacing w:before="40" w:after="0"/>
        <w:ind w:start="68"/>
        <w:rPr/>
      </w:pPr>
      <w:r>
        <w:rPr>
          <w:b/>
          <w:color w:val="0B3D91"/>
          <w:sz w:val="17"/>
        </w:rPr>
        <w:t>Q3. Quels contenus ou objets sont concernés par « Validation humaine de l’interprétation juridique » ?</w:t>
      </w:r>
    </w:p>
    <w:p>
      <w:pPr>
        <w:pStyle w:val="Normal"/>
        <w:spacing w:before="0" w:after="40"/>
        <w:ind w:start="255"/>
        <w:rPr/>
      </w:pPr>
      <w:r>
        <w:rPr>
          <w:b/>
          <w:color w:val="D4A017"/>
          <w:sz w:val="16"/>
        </w:rPr>
        <w:t xml:space="preserve">Réponse : </w:t>
      </w:r>
      <w:r>
        <w:rPr>
          <w:color w:val="1F2937"/>
          <w:sz w:val="16"/>
        </w:rPr>
        <w:t>Lois, arrêtés, règlements, décisions ou autres textes ayant une portée juridique.</w:t>
      </w:r>
    </w:p>
    <w:p>
      <w:pPr>
        <w:pStyle w:val="Normal"/>
        <w:keepNext w:val="true"/>
        <w:spacing w:before="40" w:after="0"/>
        <w:ind w:start="68"/>
        <w:rPr/>
      </w:pPr>
      <w:r>
        <w:rPr>
          <w:b/>
          <w:color w:val="0B3D91"/>
          <w:sz w:val="17"/>
        </w:rPr>
        <w:t>Q4. Quel acteur intervient dans « Validation humaine de l’interprétation juridique » ?</w:t>
      </w:r>
    </w:p>
    <w:p>
      <w:pPr>
        <w:pStyle w:val="Normal"/>
        <w:spacing w:before="0" w:after="40"/>
        <w:ind w:start="255"/>
        <w:rPr/>
      </w:pPr>
      <w:r>
        <w:rPr>
          <w:b/>
          <w:color w:val="D4A017"/>
          <w:sz w:val="16"/>
        </w:rPr>
        <w:t xml:space="preserve">Réponse : </w:t>
      </w:r>
      <w:r>
        <w:rPr>
          <w:color w:val="1F2937"/>
          <w:sz w:val="16"/>
        </w:rPr>
        <w:t>La veille repère et analyse, puis soumet l’interprétation à validation humaine.</w:t>
      </w:r>
    </w:p>
    <w:p>
      <w:pPr>
        <w:pStyle w:val="Normal"/>
        <w:keepNext w:val="true"/>
        <w:spacing w:before="40" w:after="0"/>
        <w:ind w:start="68"/>
        <w:rPr/>
      </w:pPr>
      <w:r>
        <w:rPr>
          <w:b/>
          <w:color w:val="0B3D91"/>
          <w:sz w:val="17"/>
        </w:rPr>
        <w:t>Q5. Comment « Validation humaine de l’interprétation juridique » est-il mis en œuvre selon le texte publié ?</w:t>
      </w:r>
    </w:p>
    <w:p>
      <w:pPr>
        <w:pStyle w:val="Normal"/>
        <w:spacing w:before="0" w:after="40"/>
        <w:ind w:start="255"/>
        <w:rPr/>
      </w:pPr>
      <w:r>
        <w:rPr>
          <w:b/>
          <w:color w:val="D4A017"/>
          <w:sz w:val="16"/>
        </w:rPr>
        <w:t xml:space="preserve">Réponse : </w:t>
      </w:r>
      <w:r>
        <w:rPr>
          <w:color w:val="1F2937"/>
          <w:sz w:val="16"/>
        </w:rPr>
        <w:t>Le texte original et son champ d’application doivent être examinés.</w:t>
      </w:r>
    </w:p>
    <w:p>
      <w:pPr>
        <w:pStyle w:val="Normal"/>
        <w:keepNext w:val="true"/>
        <w:spacing w:before="40" w:after="0"/>
        <w:ind w:start="68"/>
        <w:rPr/>
      </w:pPr>
      <w:r>
        <w:rPr>
          <w:b/>
          <w:color w:val="0B3D91"/>
          <w:sz w:val="17"/>
        </w:rPr>
        <w:t>Q6. Quelle trace, référence ou information vérifiable accompagne « Validation humaine de l’interprétation juridique » ?</w:t>
      </w:r>
    </w:p>
    <w:p>
      <w:pPr>
        <w:pStyle w:val="Normal"/>
        <w:spacing w:before="0" w:after="40"/>
        <w:ind w:start="255"/>
        <w:rPr/>
      </w:pPr>
      <w:r>
        <w:rPr>
          <w:b/>
          <w:color w:val="D4A017"/>
          <w:sz w:val="16"/>
        </w:rPr>
        <w:t xml:space="preserve">Réponse : </w:t>
      </w:r>
      <w:r>
        <w:rPr>
          <w:color w:val="1F2937"/>
          <w:sz w:val="16"/>
        </w:rPr>
        <w:t>La validation humaine constitue la trace nécessaire avant toute conclusion institutionnelle.</w:t>
      </w:r>
    </w:p>
    <w:p>
      <w:pPr>
        <w:pStyle w:val="Normal"/>
        <w:keepNext w:val="true"/>
        <w:spacing w:before="40" w:after="0"/>
        <w:ind w:start="68"/>
        <w:rPr/>
      </w:pPr>
      <w:r>
        <w:rPr>
          <w:b/>
          <w:color w:val="0B3D91"/>
          <w:sz w:val="17"/>
        </w:rPr>
        <w:t>Q7. Quelle limite ou précaution est associée à « Validation humaine de l’interprétation juridique » ?</w:t>
      </w:r>
    </w:p>
    <w:p>
      <w:pPr>
        <w:pStyle w:val="Normal"/>
        <w:spacing w:before="0" w:after="40"/>
        <w:ind w:start="255"/>
        <w:rPr/>
      </w:pPr>
      <w:r>
        <w:rPr>
          <w:b/>
          <w:color w:val="D4A017"/>
          <w:sz w:val="16"/>
        </w:rPr>
        <w:t xml:space="preserve">Réponse : </w:t>
      </w:r>
      <w:r>
        <w:rPr>
          <w:color w:val="1F2937"/>
          <w:sz w:val="16"/>
        </w:rPr>
        <w:t>ÉMINA ou une note automatique ne peut pas constituer seule une interprétation juridique officielle.</w:t>
      </w:r>
    </w:p>
    <w:p>
      <w:pPr>
        <w:pStyle w:val="Normal"/>
        <w:keepNext w:val="true"/>
        <w:spacing w:before="40" w:after="0"/>
        <w:ind w:start="68"/>
        <w:rPr/>
      </w:pPr>
      <w:r>
        <w:rPr>
          <w:b/>
          <w:color w:val="0B3D91"/>
          <w:sz w:val="17"/>
        </w:rPr>
        <w:t>Q8. À qui « Validation humaine de l’interprétation juridique » est-il utile ou destiné ?</w:t>
      </w:r>
    </w:p>
    <w:p>
      <w:pPr>
        <w:pStyle w:val="Normal"/>
        <w:spacing w:before="0" w:after="40"/>
        <w:ind w:start="255"/>
        <w:rPr/>
      </w:pPr>
      <w:r>
        <w:rPr>
          <w:b/>
          <w:color w:val="D4A017"/>
          <w:sz w:val="16"/>
        </w:rPr>
        <w:t xml:space="preserve">Réponse : </w:t>
      </w:r>
      <w:r>
        <w:rPr>
          <w:color w:val="1F2937"/>
          <w:sz w:val="16"/>
        </w:rPr>
        <w:t>Direction et personnes habilitées à examiner les implications juridiques.</w:t>
      </w:r>
    </w:p>
    <w:p>
      <w:pPr>
        <w:pStyle w:val="Normal"/>
        <w:keepNext w:val="true"/>
        <w:spacing w:before="40" w:after="0"/>
        <w:ind w:start="68"/>
        <w:rPr/>
      </w:pPr>
      <w:r>
        <w:rPr>
          <w:b/>
          <w:color w:val="0B3D91"/>
          <w:sz w:val="17"/>
        </w:rPr>
        <w:t>Q9. À quelles autres rubriques ou fonctions « Validation humaine de l’interprétation juridique » est-il relié ?</w:t>
      </w:r>
    </w:p>
    <w:p>
      <w:pPr>
        <w:pStyle w:val="Normal"/>
        <w:spacing w:before="0" w:after="40"/>
        <w:ind w:start="255"/>
        <w:rPr/>
      </w:pPr>
      <w:r>
        <w:rPr>
          <w:b/>
          <w:color w:val="D4A017"/>
          <w:sz w:val="16"/>
        </w:rPr>
        <w:t xml:space="preserve">Réponse : </w:t>
      </w:r>
      <w:r>
        <w:rPr>
          <w:color w:val="1F2937"/>
          <w:sz w:val="16"/>
        </w:rPr>
        <w:t>Cette règle protège la conformité et la responsabilité institutionnelle.</w:t>
      </w:r>
    </w:p>
    <w:p>
      <w:pPr>
        <w:pStyle w:val="Normal"/>
        <w:keepNext w:val="true"/>
        <w:spacing w:before="40" w:after="0"/>
        <w:ind w:start="68"/>
        <w:rPr/>
      </w:pPr>
      <w:r>
        <w:rPr>
          <w:b/>
          <w:color w:val="0B3D91"/>
          <w:sz w:val="17"/>
        </w:rPr>
        <w:t>Q10. Quelle idée essentielle faut-il retenir de « Validation humaine de l’interprétation juridique » ?</w:t>
      </w:r>
    </w:p>
    <w:p>
      <w:pPr>
        <w:pStyle w:val="Normal"/>
        <w:spacing w:before="0" w:after="40"/>
        <w:ind w:start="255"/>
        <w:rPr/>
      </w:pPr>
      <w:r>
        <w:rPr>
          <w:b/>
          <w:color w:val="D4A017"/>
          <w:sz w:val="16"/>
        </w:rPr>
        <w:t xml:space="preserve">Réponse : </w:t>
      </w:r>
      <w:r>
        <w:rPr>
          <w:color w:val="1F2937"/>
          <w:sz w:val="16"/>
        </w:rPr>
        <w:t>Une analyse automatique ne remplace pas une validation juridique humaine.</w:t>
      </w:r>
    </w:p>
    <w:p>
      <w:pPr>
        <w:pStyle w:val="Normal"/>
        <w:rPr/>
      </w:pPr>
      <w:r>
        <w:rPr/>
      </w:r>
      <w:r>
        <w:br w:type="page"/>
      </w:r>
    </w:p>
    <w:p>
      <w:pPr>
        <w:pStyle w:val="Heading2"/>
        <w:spacing w:before="0" w:after="80"/>
        <w:rPr/>
      </w:pPr>
      <w:r>
        <w:rPr/>
        <w:t>FICHE 20 — Validation humaine des modifications institutionnelles</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Toute modification institutionnelle exige une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protège l’organisation du GSE contre des changements non autorisés.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garantit la cohérence des politiques, documents, responsabilités et systèmes.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gouvernance, documentation, qualité, départements et gestion des versions.</w:t>
            </w:r>
          </w:p>
        </w:tc>
      </w:tr>
    </w:tbl>
    <w:p>
      <w:pPr>
        <w:pStyle w:val="Heading3"/>
        <w:rPr/>
      </w:pPr>
      <w:r>
        <w:rPr/>
        <w:t>Points développés</w:t>
      </w:r>
    </w:p>
    <w:p>
      <w:pPr>
        <w:pStyle w:val="ListBullet"/>
        <w:numPr>
          <w:ilvl w:val="0"/>
          <w:numId w:val="1"/>
        </w:numPr>
        <w:spacing w:before="0" w:after="20"/>
        <w:ind w:hanging="360" w:start="255"/>
        <w:contextualSpacing/>
        <w:rPr/>
      </w:pPr>
      <w:r>
        <w:rPr>
          <w:sz w:val="17"/>
        </w:rPr>
        <w:t>Changement institutionnel</w:t>
      </w:r>
    </w:p>
    <w:p>
      <w:pPr>
        <w:pStyle w:val="ListBullet"/>
        <w:numPr>
          <w:ilvl w:val="0"/>
          <w:numId w:val="1"/>
        </w:numPr>
        <w:spacing w:before="0" w:after="20"/>
        <w:ind w:hanging="360" w:start="255"/>
        <w:contextualSpacing/>
        <w:rPr/>
      </w:pPr>
      <w:r>
        <w:rPr>
          <w:sz w:val="17"/>
        </w:rPr>
        <w:t>Autorisation</w:t>
      </w:r>
    </w:p>
    <w:p>
      <w:pPr>
        <w:pStyle w:val="ListBullet"/>
        <w:numPr>
          <w:ilvl w:val="0"/>
          <w:numId w:val="1"/>
        </w:numPr>
        <w:spacing w:before="0" w:after="20"/>
        <w:ind w:hanging="360" w:start="255"/>
        <w:contextualSpacing/>
        <w:rPr/>
      </w:pPr>
      <w:r>
        <w:rPr>
          <w:sz w:val="17"/>
        </w:rPr>
        <w:t>Coordination</w:t>
      </w:r>
    </w:p>
    <w:p>
      <w:pPr>
        <w:pStyle w:val="ListBullet"/>
        <w:numPr>
          <w:ilvl w:val="0"/>
          <w:numId w:val="1"/>
        </w:numPr>
        <w:spacing w:before="0" w:after="20"/>
        <w:ind w:hanging="360" w:start="255"/>
        <w:contextualSpacing/>
        <w:rPr/>
      </w:pPr>
      <w:r>
        <w:rPr>
          <w:sz w:val="17"/>
        </w:rPr>
        <w:t>Gestion de version</w:t>
      </w:r>
    </w:p>
    <w:p>
      <w:pPr>
        <w:pStyle w:val="Heading3"/>
        <w:rPr/>
      </w:pPr>
      <w:r>
        <w:rPr/>
        <w:t>Banque de questions-réponses</w:t>
      </w:r>
    </w:p>
    <w:p>
      <w:pPr>
        <w:pStyle w:val="Normal"/>
        <w:keepNext w:val="true"/>
        <w:spacing w:before="40" w:after="0"/>
        <w:ind w:start="68"/>
        <w:rPr/>
      </w:pPr>
      <w:r>
        <w:rPr>
          <w:b/>
          <w:color w:val="0B3D91"/>
          <w:sz w:val="17"/>
        </w:rPr>
        <w:t>Q1. Que signifie ou présente « Validation humaine des modifications institutionnelles » ?</w:t>
      </w:r>
    </w:p>
    <w:p>
      <w:pPr>
        <w:pStyle w:val="Normal"/>
        <w:spacing w:before="0" w:after="40"/>
        <w:ind w:start="255"/>
        <w:rPr/>
      </w:pPr>
      <w:r>
        <w:rPr>
          <w:b/>
          <w:color w:val="D4A017"/>
          <w:sz w:val="16"/>
        </w:rPr>
        <w:t xml:space="preserve">Réponse : </w:t>
      </w:r>
      <w:r>
        <w:rPr>
          <w:color w:val="1F2937"/>
          <w:sz w:val="16"/>
        </w:rPr>
        <w:t>Une modification institutionnelle est un changement apporté aux règles, structures, documents ou pratiques officielles du GSE.</w:t>
      </w:r>
    </w:p>
    <w:p>
      <w:pPr>
        <w:pStyle w:val="Normal"/>
        <w:keepNext w:val="true"/>
        <w:spacing w:before="40" w:after="0"/>
        <w:ind w:start="68"/>
        <w:rPr/>
      </w:pPr>
      <w:r>
        <w:rPr>
          <w:b/>
          <w:color w:val="0B3D91"/>
          <w:sz w:val="17"/>
        </w:rPr>
        <w:t>Q2. Pourquoi « Validation humaine des modifications institutionnelles » figure-t-il dans la page de veille officielle ?</w:t>
      </w:r>
    </w:p>
    <w:p>
      <w:pPr>
        <w:pStyle w:val="Normal"/>
        <w:spacing w:before="0" w:after="40"/>
        <w:ind w:start="255"/>
        <w:rPr/>
      </w:pPr>
      <w:r>
        <w:rPr>
          <w:b/>
          <w:color w:val="D4A017"/>
          <w:sz w:val="16"/>
        </w:rPr>
        <w:t xml:space="preserve">Réponse : </w:t>
      </w:r>
      <w:r>
        <w:rPr>
          <w:color w:val="1F2937"/>
          <w:sz w:val="16"/>
        </w:rPr>
        <w:t>S’assurer que tout changement est autorisé et coordonné.</w:t>
      </w:r>
    </w:p>
    <w:p>
      <w:pPr>
        <w:pStyle w:val="Normal"/>
        <w:keepNext w:val="true"/>
        <w:spacing w:before="40" w:after="0"/>
        <w:ind w:start="68"/>
        <w:rPr/>
      </w:pPr>
      <w:r>
        <w:rPr>
          <w:b/>
          <w:color w:val="0B3D91"/>
          <w:sz w:val="17"/>
        </w:rPr>
        <w:t>Q3. Quels contenus ou objets sont concernés par « Validation humaine des modifications institutionnelles » ?</w:t>
      </w:r>
    </w:p>
    <w:p>
      <w:pPr>
        <w:pStyle w:val="Normal"/>
        <w:spacing w:before="0" w:after="40"/>
        <w:ind w:start="255"/>
        <w:rPr/>
      </w:pPr>
      <w:r>
        <w:rPr>
          <w:b/>
          <w:color w:val="D4A017"/>
          <w:sz w:val="16"/>
        </w:rPr>
        <w:t xml:space="preserve">Réponse : </w:t>
      </w:r>
      <w:r>
        <w:rPr>
          <w:color w:val="1F2937"/>
          <w:sz w:val="16"/>
        </w:rPr>
        <w:t>Politiques, procédures, documents, rôles, systèmes et services.</w:t>
      </w:r>
    </w:p>
    <w:p>
      <w:pPr>
        <w:pStyle w:val="Normal"/>
        <w:keepNext w:val="true"/>
        <w:spacing w:before="40" w:after="0"/>
        <w:ind w:start="68"/>
        <w:rPr/>
      </w:pPr>
      <w:r>
        <w:rPr>
          <w:b/>
          <w:color w:val="0B3D91"/>
          <w:sz w:val="17"/>
        </w:rPr>
        <w:t>Q4. Quel acteur intervient dans « Validation humaine des modifications institutionnelles » ?</w:t>
      </w:r>
    </w:p>
    <w:p>
      <w:pPr>
        <w:pStyle w:val="Normal"/>
        <w:spacing w:before="0" w:after="40"/>
        <w:ind w:start="255"/>
        <w:rPr/>
      </w:pPr>
      <w:r>
        <w:rPr>
          <w:b/>
          <w:color w:val="D4A017"/>
          <w:sz w:val="16"/>
        </w:rPr>
        <w:t xml:space="preserve">Réponse : </w:t>
      </w:r>
      <w:r>
        <w:rPr>
          <w:color w:val="1F2937"/>
          <w:sz w:val="16"/>
        </w:rPr>
        <w:t>La proposition de changement est analysée puis présentée à l’autorité compétente.</w:t>
      </w:r>
    </w:p>
    <w:p>
      <w:pPr>
        <w:pStyle w:val="Normal"/>
        <w:keepNext w:val="true"/>
        <w:spacing w:before="40" w:after="0"/>
        <w:ind w:start="68"/>
        <w:rPr/>
      </w:pPr>
      <w:r>
        <w:rPr>
          <w:b/>
          <w:color w:val="0B3D91"/>
          <w:sz w:val="17"/>
        </w:rPr>
        <w:t>Q5. Comment « Validation humaine des modifications institutionnelles » est-il mis en œuvre selon le texte publié ?</w:t>
      </w:r>
    </w:p>
    <w:p>
      <w:pPr>
        <w:pStyle w:val="Normal"/>
        <w:spacing w:before="0" w:after="40"/>
        <w:ind w:start="255"/>
        <w:rPr/>
      </w:pPr>
      <w:r>
        <w:rPr>
          <w:b/>
          <w:color w:val="D4A017"/>
          <w:sz w:val="16"/>
        </w:rPr>
        <w:t xml:space="preserve">Réponse : </w:t>
      </w:r>
      <w:r>
        <w:rPr>
          <w:color w:val="1F2937"/>
          <w:sz w:val="16"/>
        </w:rPr>
        <w:t>La publication source, l’impact et la portée doivent être documentés.</w:t>
      </w:r>
    </w:p>
    <w:p>
      <w:pPr>
        <w:pStyle w:val="Normal"/>
        <w:keepNext w:val="true"/>
        <w:spacing w:before="40" w:after="0"/>
        <w:ind w:start="68"/>
        <w:rPr/>
      </w:pPr>
      <w:r>
        <w:rPr>
          <w:b/>
          <w:color w:val="0B3D91"/>
          <w:sz w:val="17"/>
        </w:rPr>
        <w:t>Q6. Quelle trace, référence ou information vérifiable accompagne « Validation humaine des modifications institutionnelles » ?</w:t>
      </w:r>
    </w:p>
    <w:p>
      <w:pPr>
        <w:pStyle w:val="Normal"/>
        <w:spacing w:before="0" w:after="40"/>
        <w:ind w:start="255"/>
        <w:rPr/>
      </w:pPr>
      <w:r>
        <w:rPr>
          <w:b/>
          <w:color w:val="D4A017"/>
          <w:sz w:val="16"/>
        </w:rPr>
        <w:t xml:space="preserve">Réponse : </w:t>
      </w:r>
      <w:r>
        <w:rPr>
          <w:color w:val="1F2937"/>
          <w:sz w:val="16"/>
        </w:rPr>
        <w:t>La version approuvée et son propriétaire peuvent servir de trace de validation.</w:t>
      </w:r>
    </w:p>
    <w:p>
      <w:pPr>
        <w:pStyle w:val="Normal"/>
        <w:keepNext w:val="true"/>
        <w:spacing w:before="40" w:after="0"/>
        <w:ind w:start="68"/>
        <w:rPr/>
      </w:pPr>
      <w:r>
        <w:rPr>
          <w:b/>
          <w:color w:val="0B3D91"/>
          <w:sz w:val="17"/>
        </w:rPr>
        <w:t>Q7. Quelle limite ou précaution est associée à « Validation humaine des modifications institutionnelles » ?</w:t>
      </w:r>
    </w:p>
    <w:p>
      <w:pPr>
        <w:pStyle w:val="Normal"/>
        <w:spacing w:before="0" w:after="40"/>
        <w:ind w:start="255"/>
        <w:rPr/>
      </w:pPr>
      <w:r>
        <w:rPr>
          <w:b/>
          <w:color w:val="D4A017"/>
          <w:sz w:val="16"/>
        </w:rPr>
        <w:t xml:space="preserve">Réponse : </w:t>
      </w:r>
      <w:r>
        <w:rPr>
          <w:color w:val="1F2937"/>
          <w:sz w:val="16"/>
        </w:rPr>
        <w:t>Aucun changement institutionnel ne doit être exécuté automatiquement par la veille ou ÉMINA.</w:t>
      </w:r>
    </w:p>
    <w:p>
      <w:pPr>
        <w:pStyle w:val="Normal"/>
        <w:keepNext w:val="true"/>
        <w:spacing w:before="40" w:after="0"/>
        <w:ind w:start="68"/>
        <w:rPr/>
      </w:pPr>
      <w:r>
        <w:rPr>
          <w:b/>
          <w:color w:val="0B3D91"/>
          <w:sz w:val="17"/>
        </w:rPr>
        <w:t>Q8. À qui « Validation humaine des modifications institutionnelles » est-il utile ou destiné ?</w:t>
      </w:r>
    </w:p>
    <w:p>
      <w:pPr>
        <w:pStyle w:val="Normal"/>
        <w:spacing w:before="0" w:after="40"/>
        <w:ind w:start="255"/>
        <w:rPr/>
      </w:pPr>
      <w:r>
        <w:rPr>
          <w:b/>
          <w:color w:val="D4A017"/>
          <w:sz w:val="16"/>
        </w:rPr>
        <w:t xml:space="preserve">Réponse : </w:t>
      </w:r>
      <w:r>
        <w:rPr>
          <w:color w:val="1F2937"/>
          <w:sz w:val="16"/>
        </w:rPr>
        <w:t>Direction, propriétaires de documents et responsables de département.</w:t>
      </w:r>
    </w:p>
    <w:p>
      <w:pPr>
        <w:pStyle w:val="Normal"/>
        <w:keepNext w:val="true"/>
        <w:spacing w:before="40" w:after="0"/>
        <w:ind w:start="68"/>
        <w:rPr/>
      </w:pPr>
      <w:r>
        <w:rPr>
          <w:b/>
          <w:color w:val="0B3D91"/>
          <w:sz w:val="17"/>
        </w:rPr>
        <w:t>Q9. À quelles autres rubriques ou fonctions « Validation humaine des modifications institutionnelles » est-il relié ?</w:t>
      </w:r>
    </w:p>
    <w:p>
      <w:pPr>
        <w:pStyle w:val="Normal"/>
        <w:spacing w:before="0" w:after="40"/>
        <w:ind w:start="255"/>
        <w:rPr/>
      </w:pPr>
      <w:r>
        <w:rPr>
          <w:b/>
          <w:color w:val="D4A017"/>
          <w:sz w:val="16"/>
        </w:rPr>
        <w:t xml:space="preserve">Réponse : </w:t>
      </w:r>
      <w:r>
        <w:rPr>
          <w:color w:val="1F2937"/>
          <w:sz w:val="16"/>
        </w:rPr>
        <w:t>Cette règle rejoint la documentation publique, la qualité et la gestion des versions.</w:t>
      </w:r>
    </w:p>
    <w:p>
      <w:pPr>
        <w:pStyle w:val="Normal"/>
        <w:keepNext w:val="true"/>
        <w:spacing w:before="40" w:after="0"/>
        <w:ind w:start="68"/>
        <w:rPr/>
      </w:pPr>
      <w:r>
        <w:rPr>
          <w:b/>
          <w:color w:val="0B3D91"/>
          <w:sz w:val="17"/>
        </w:rPr>
        <w:t>Q10. Quelle idée essentielle faut-il retenir de « Validation humaine des modifications institutionnelles » ?</w:t>
      </w:r>
    </w:p>
    <w:p>
      <w:pPr>
        <w:pStyle w:val="Normal"/>
        <w:spacing w:before="0" w:after="40"/>
        <w:ind w:start="255"/>
        <w:rPr/>
      </w:pPr>
      <w:r>
        <w:rPr>
          <w:b/>
          <w:color w:val="D4A017"/>
          <w:sz w:val="16"/>
        </w:rPr>
        <w:t xml:space="preserve">Réponse : </w:t>
      </w:r>
      <w:r>
        <w:rPr>
          <w:color w:val="1F2937"/>
          <w:sz w:val="16"/>
        </w:rPr>
        <w:t>Un changement officiel doit être décidé, approuvé et documenté par des humains habilités.</w:t>
      </w:r>
    </w:p>
    <w:p>
      <w:pPr>
        <w:pStyle w:val="Normal"/>
        <w:rPr/>
      </w:pPr>
      <w:r>
        <w:rPr/>
      </w:r>
      <w:r>
        <w:br w:type="page"/>
      </w:r>
    </w:p>
    <w:p>
      <w:pPr>
        <w:pStyle w:val="Heading2"/>
        <w:spacing w:before="0" w:after="80"/>
        <w:rPr/>
      </w:pPr>
      <w:r>
        <w:rPr/>
        <w:t>FICHE 21 — Aucune affiliation, accréditation ou certification non obtenue</w:t>
      </w:r>
    </w:p>
    <w:p>
      <w:pPr>
        <w:pStyle w:val="Normal"/>
        <w:spacing w:before="20" w:after="80"/>
        <w:rPr/>
      </w:pPr>
      <w:r>
        <w:rPr>
          <w:b/>
          <w:color w:val="0B3D91"/>
          <w:sz w:val="16"/>
        </w:rPr>
        <w:t xml:space="preserve">Source contrôlée : </w:t>
      </w:r>
      <w:r>
        <w:rPr>
          <w:color w:val="555555"/>
          <w:sz w:val="16"/>
        </w:rPr>
        <w:t>Garantie publique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affirme qu’aucune affiliation, accréditation ou certification non obtenue n’est annoncée.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impose une règle de vérité dans la communication institutionnelle.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protège les familles et partenaires contre des allégations trompeuses et préserve la crédibilité du GSE.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agrément, communication, documentation publique, partenariats et gouvernance.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Exactitude</w:t>
      </w:r>
    </w:p>
    <w:p>
      <w:pPr>
        <w:pStyle w:val="ListBullet"/>
        <w:numPr>
          <w:ilvl w:val="0"/>
          <w:numId w:val="1"/>
        </w:numPr>
        <w:spacing w:before="0" w:after="20"/>
        <w:ind w:hanging="360" w:start="255"/>
        <w:contextualSpacing/>
        <w:rPr/>
      </w:pPr>
      <w:r>
        <w:rPr>
          <w:sz w:val="17"/>
        </w:rPr>
        <w:t>Preuve</w:t>
      </w:r>
    </w:p>
    <w:p>
      <w:pPr>
        <w:pStyle w:val="ListBullet"/>
        <w:numPr>
          <w:ilvl w:val="0"/>
          <w:numId w:val="1"/>
        </w:numPr>
        <w:spacing w:before="0" w:after="20"/>
        <w:ind w:hanging="360" w:start="255"/>
        <w:contextualSpacing/>
        <w:rPr/>
      </w:pPr>
      <w:r>
        <w:rPr>
          <w:sz w:val="17"/>
        </w:rPr>
        <w:t>Reconnaissance obtenue</w:t>
      </w:r>
    </w:p>
    <w:p>
      <w:pPr>
        <w:pStyle w:val="ListBullet"/>
        <w:numPr>
          <w:ilvl w:val="0"/>
          <w:numId w:val="1"/>
        </w:numPr>
        <w:spacing w:before="0" w:after="20"/>
        <w:ind w:hanging="360" w:start="255"/>
        <w:contextualSpacing/>
        <w:rPr/>
      </w:pPr>
      <w:r>
        <w:rPr>
          <w:sz w:val="17"/>
        </w:rPr>
        <w:t>Communication responsable</w:t>
      </w:r>
    </w:p>
    <w:p>
      <w:pPr>
        <w:pStyle w:val="Heading3"/>
        <w:rPr/>
      </w:pPr>
      <w:r>
        <w:rPr/>
        <w:t>Banque de questions-réponses</w:t>
      </w:r>
    </w:p>
    <w:p>
      <w:pPr>
        <w:pStyle w:val="Normal"/>
        <w:keepNext w:val="true"/>
        <w:spacing w:before="40" w:after="0"/>
        <w:ind w:start="68"/>
        <w:rPr/>
      </w:pPr>
      <w:r>
        <w:rPr>
          <w:b/>
          <w:color w:val="0B3D91"/>
          <w:sz w:val="17"/>
        </w:rPr>
        <w:t>Q1. Que signifie ou présente « Aucune affiliation, accréditation ou certification non obtenue » ?</w:t>
      </w:r>
    </w:p>
    <w:p>
      <w:pPr>
        <w:pStyle w:val="Normal"/>
        <w:spacing w:before="0" w:after="40"/>
        <w:ind w:start="255"/>
        <w:rPr/>
      </w:pPr>
      <w:r>
        <w:rPr>
          <w:b/>
          <w:color w:val="D4A017"/>
          <w:sz w:val="16"/>
        </w:rPr>
        <w:t xml:space="preserve">Réponse : </w:t>
      </w:r>
      <w:r>
        <w:rPr>
          <w:color w:val="1F2937"/>
          <w:sz w:val="16"/>
        </w:rPr>
        <w:t>L’école ne présente comme acquise qu’une reconnaissance effectivement obtenue et vérifiable.</w:t>
      </w:r>
    </w:p>
    <w:p>
      <w:pPr>
        <w:pStyle w:val="Normal"/>
        <w:keepNext w:val="true"/>
        <w:spacing w:before="40" w:after="0"/>
        <w:ind w:start="68"/>
        <w:rPr/>
      </w:pPr>
      <w:r>
        <w:rPr>
          <w:b/>
          <w:color w:val="0B3D91"/>
          <w:sz w:val="17"/>
        </w:rPr>
        <w:t>Q2. Pourquoi « Aucune affiliation, accréditation ou certification non obtenue » figure-t-il dans la page de veille officielle ?</w:t>
      </w:r>
    </w:p>
    <w:p>
      <w:pPr>
        <w:pStyle w:val="Normal"/>
        <w:spacing w:before="0" w:after="40"/>
        <w:ind w:start="255"/>
        <w:rPr/>
      </w:pPr>
      <w:r>
        <w:rPr>
          <w:b/>
          <w:color w:val="D4A017"/>
          <w:sz w:val="16"/>
        </w:rPr>
        <w:t xml:space="preserve">Réponse : </w:t>
      </w:r>
      <w:r>
        <w:rPr>
          <w:color w:val="1F2937"/>
          <w:sz w:val="16"/>
        </w:rPr>
        <w:t>Garantir l’exactitude des déclarations publiques.</w:t>
      </w:r>
    </w:p>
    <w:p>
      <w:pPr>
        <w:pStyle w:val="Normal"/>
        <w:keepNext w:val="true"/>
        <w:spacing w:before="40" w:after="0"/>
        <w:ind w:start="68"/>
        <w:rPr/>
      </w:pPr>
      <w:r>
        <w:rPr>
          <w:b/>
          <w:color w:val="0B3D91"/>
          <w:sz w:val="17"/>
        </w:rPr>
        <w:t>Q3. Quels contenus ou objets sont concernés par « Aucune affiliation, accréditation ou certification non obtenue » ?</w:t>
      </w:r>
    </w:p>
    <w:p>
      <w:pPr>
        <w:pStyle w:val="Normal"/>
        <w:spacing w:before="0" w:after="40"/>
        <w:ind w:start="255"/>
        <w:rPr/>
      </w:pPr>
      <w:r>
        <w:rPr>
          <w:b/>
          <w:color w:val="D4A017"/>
          <w:sz w:val="16"/>
        </w:rPr>
        <w:t xml:space="preserve">Réponse : </w:t>
      </w:r>
      <w:r>
        <w:rPr>
          <w:color w:val="1F2937"/>
          <w:sz w:val="16"/>
        </w:rPr>
        <w:t>Affiliations, accréditations, certifications et autres reconnaissances externes.</w:t>
      </w:r>
    </w:p>
    <w:p>
      <w:pPr>
        <w:pStyle w:val="Normal"/>
        <w:keepNext w:val="true"/>
        <w:spacing w:before="40" w:after="0"/>
        <w:ind w:start="68"/>
        <w:rPr/>
      </w:pPr>
      <w:r>
        <w:rPr>
          <w:b/>
          <w:color w:val="0B3D91"/>
          <w:sz w:val="17"/>
        </w:rPr>
        <w:t>Q4. Quel acteur intervient dans « Aucune affiliation, accréditation ou certification non obtenue » ?</w:t>
      </w:r>
    </w:p>
    <w:p>
      <w:pPr>
        <w:pStyle w:val="Normal"/>
        <w:spacing w:before="0" w:after="40"/>
        <w:ind w:start="255"/>
        <w:rPr/>
      </w:pPr>
      <w:r>
        <w:rPr>
          <w:b/>
          <w:color w:val="D4A017"/>
          <w:sz w:val="16"/>
        </w:rPr>
        <w:t xml:space="preserve">Réponse : </w:t>
      </w:r>
      <w:r>
        <w:rPr>
          <w:color w:val="1F2937"/>
          <w:sz w:val="16"/>
        </w:rPr>
        <w:t>Toute mention doit être appuyée par une preuve valide avant publication.</w:t>
      </w:r>
    </w:p>
    <w:p>
      <w:pPr>
        <w:pStyle w:val="Normal"/>
        <w:keepNext w:val="true"/>
        <w:spacing w:before="40" w:after="0"/>
        <w:ind w:start="68"/>
        <w:rPr/>
      </w:pPr>
      <w:r>
        <w:rPr>
          <w:b/>
          <w:color w:val="0B3D91"/>
          <w:sz w:val="17"/>
        </w:rPr>
        <w:t>Q5. Comment « Aucune affiliation, accréditation ou certification non obtenue » est-il mis en œuvre selon le texte publié ?</w:t>
      </w:r>
    </w:p>
    <w:p>
      <w:pPr>
        <w:pStyle w:val="Normal"/>
        <w:spacing w:before="0" w:after="40"/>
        <w:ind w:start="255"/>
        <w:rPr/>
      </w:pPr>
      <w:r>
        <w:rPr>
          <w:b/>
          <w:color w:val="D4A017"/>
          <w:sz w:val="16"/>
        </w:rPr>
        <w:t xml:space="preserve">Réponse : </w:t>
      </w:r>
      <w:r>
        <w:rPr>
          <w:color w:val="1F2937"/>
          <w:sz w:val="16"/>
        </w:rPr>
        <w:t>La documentation approuvée et la source officielle servent de vérification.</w:t>
      </w:r>
    </w:p>
    <w:p>
      <w:pPr>
        <w:pStyle w:val="Normal"/>
        <w:keepNext w:val="true"/>
        <w:spacing w:before="40" w:after="0"/>
        <w:ind w:start="68"/>
        <w:rPr/>
      </w:pPr>
      <w:r>
        <w:rPr>
          <w:b/>
          <w:color w:val="0B3D91"/>
          <w:sz w:val="17"/>
        </w:rPr>
        <w:t>Q6. Quelle trace, référence ou information vérifiable accompagne « Aucune affiliation, accréditation ou certification non obtenue » ?</w:t>
      </w:r>
    </w:p>
    <w:p>
      <w:pPr>
        <w:pStyle w:val="Normal"/>
        <w:spacing w:before="0" w:after="40"/>
        <w:ind w:start="255"/>
        <w:rPr/>
      </w:pPr>
      <w:r>
        <w:rPr>
          <w:b/>
          <w:color w:val="D4A017"/>
          <w:sz w:val="16"/>
        </w:rPr>
        <w:t xml:space="preserve">Réponse : </w:t>
      </w:r>
      <w:r>
        <w:rPr>
          <w:color w:val="1F2937"/>
          <w:sz w:val="16"/>
        </w:rPr>
        <w:t>La preuve de reconnaissance constitue la trace nécessaire.</w:t>
      </w:r>
    </w:p>
    <w:p>
      <w:pPr>
        <w:pStyle w:val="Normal"/>
        <w:keepNext w:val="true"/>
        <w:spacing w:before="40" w:after="0"/>
        <w:ind w:start="68"/>
        <w:rPr/>
      </w:pPr>
      <w:r>
        <w:rPr>
          <w:b/>
          <w:color w:val="0B3D91"/>
          <w:sz w:val="17"/>
        </w:rPr>
        <w:t>Q7. Quelle limite ou précaution est associée à « Aucune affiliation, accréditation ou certification non obtenue » ?</w:t>
      </w:r>
    </w:p>
    <w:p>
      <w:pPr>
        <w:pStyle w:val="Normal"/>
        <w:spacing w:before="0" w:after="40"/>
        <w:ind w:start="255"/>
        <w:rPr/>
      </w:pPr>
      <w:r>
        <w:rPr>
          <w:b/>
          <w:color w:val="D4A017"/>
          <w:sz w:val="16"/>
        </w:rPr>
        <w:t xml:space="preserve">Réponse : </w:t>
      </w:r>
      <w:r>
        <w:rPr>
          <w:color w:val="1F2937"/>
          <w:sz w:val="16"/>
        </w:rPr>
        <w:t>Une candidature, un projet ou une intention ne doit pas être annoncée comme reconnaissance obtenue.</w:t>
      </w:r>
    </w:p>
    <w:p>
      <w:pPr>
        <w:pStyle w:val="Normal"/>
        <w:keepNext w:val="true"/>
        <w:spacing w:before="40" w:after="0"/>
        <w:ind w:start="68"/>
        <w:rPr/>
      </w:pPr>
      <w:r>
        <w:rPr>
          <w:b/>
          <w:color w:val="0B3D91"/>
          <w:sz w:val="17"/>
        </w:rPr>
        <w:t>Q8. À qui « Aucune affiliation, accréditation ou certification non obtenue » est-il utile ou destiné ?</w:t>
      </w:r>
    </w:p>
    <w:p>
      <w:pPr>
        <w:pStyle w:val="Normal"/>
        <w:spacing w:before="0" w:after="40"/>
        <w:ind w:start="255"/>
        <w:rPr/>
      </w:pPr>
      <w:r>
        <w:rPr>
          <w:b/>
          <w:color w:val="D4A017"/>
          <w:sz w:val="16"/>
        </w:rPr>
        <w:t xml:space="preserve">Réponse : </w:t>
      </w:r>
      <w:r>
        <w:rPr>
          <w:color w:val="1F2937"/>
          <w:sz w:val="16"/>
        </w:rPr>
        <w:t>Familles, partenaires, autorités et public.</w:t>
      </w:r>
    </w:p>
    <w:p>
      <w:pPr>
        <w:pStyle w:val="Normal"/>
        <w:keepNext w:val="true"/>
        <w:spacing w:before="40" w:after="0"/>
        <w:ind w:start="68"/>
        <w:rPr/>
      </w:pPr>
      <w:r>
        <w:rPr>
          <w:b/>
          <w:color w:val="0B3D91"/>
          <w:sz w:val="17"/>
        </w:rPr>
        <w:t>Q9. À quelles autres rubriques ou fonctions « Aucune affiliation, accréditation ou certification non obtenue » est-il relié ?</w:t>
      </w:r>
    </w:p>
    <w:p>
      <w:pPr>
        <w:pStyle w:val="Normal"/>
        <w:spacing w:before="0" w:after="40"/>
        <w:ind w:start="255"/>
        <w:rPr/>
      </w:pPr>
      <w:r>
        <w:rPr>
          <w:b/>
          <w:color w:val="D4A017"/>
          <w:sz w:val="16"/>
        </w:rPr>
        <w:t xml:space="preserve">Réponse : </w:t>
      </w:r>
      <w:r>
        <w:rPr>
          <w:color w:val="1F2937"/>
          <w:sz w:val="16"/>
        </w:rPr>
        <w:t>Cette garantie est liée à l’agrément, à la documentation et à la qualité des communications.</w:t>
      </w:r>
    </w:p>
    <w:p>
      <w:pPr>
        <w:pStyle w:val="Normal"/>
        <w:keepNext w:val="true"/>
        <w:spacing w:before="40" w:after="0"/>
        <w:ind w:start="68"/>
        <w:rPr/>
      </w:pPr>
      <w:r>
        <w:rPr>
          <w:b/>
          <w:color w:val="0B3D91"/>
          <w:sz w:val="17"/>
        </w:rPr>
        <w:t>Q10. Quelle idée essentielle faut-il retenir de « Aucune affiliation, accréditation ou certification non obtenue » ?</w:t>
      </w:r>
    </w:p>
    <w:p>
      <w:pPr>
        <w:pStyle w:val="Normal"/>
        <w:spacing w:before="0" w:after="40"/>
        <w:ind w:start="255"/>
        <w:rPr/>
      </w:pPr>
      <w:r>
        <w:rPr>
          <w:b/>
          <w:color w:val="D4A017"/>
          <w:sz w:val="16"/>
        </w:rPr>
        <w:t xml:space="preserve">Réponse : </w:t>
      </w:r>
      <w:r>
        <w:rPr>
          <w:color w:val="1F2937"/>
          <w:sz w:val="16"/>
        </w:rPr>
        <w:t>Le GSE ne revendique que les reconnaissances réellement obtenues.</w:t>
      </w:r>
    </w:p>
    <w:p>
      <w:pPr>
        <w:pStyle w:val="Normal"/>
        <w:rPr/>
      </w:pPr>
      <w:r>
        <w:rPr/>
      </w:r>
      <w:r>
        <w:br w:type="page"/>
      </w:r>
    </w:p>
    <w:p>
      <w:pPr>
        <w:pStyle w:val="Normal"/>
        <w:spacing w:before="0" w:after="60"/>
        <w:jc w:val="center"/>
        <w:rPr/>
      </w:pPr>
      <w:r>
        <w:rPr>
          <w:b/>
          <w:color w:val="D4A017"/>
          <w:sz w:val="28"/>
        </w:rPr>
        <w:t>PARTIE IV</w:t>
      </w:r>
    </w:p>
    <w:p>
      <w:pPr>
        <w:pStyle w:val="Normal"/>
        <w:jc w:val="center"/>
        <w:rPr/>
      </w:pPr>
      <w:r>
        <w:rPr>
          <w:b/>
          <w:color w:val="0B3D91"/>
          <w:sz w:val="42"/>
        </w:rPr>
        <w:t>DOCUMENTATION ASSOCIÉE ET RÉFÉRENCES</w:t>
      </w:r>
    </w:p>
    <w:p>
      <w:pPr>
        <w:pStyle w:val="Normal"/>
        <w:jc w:val="center"/>
        <w:rPr/>
      </w:pPr>
      <w:r>
        <w:rPr>
          <w:i/>
          <w:sz w:val="20"/>
        </w:rPr>
        <w:t>Relevé • Raison • Importance • Liens • Questions-réponses</w:t>
      </w:r>
    </w:p>
    <w:p>
      <w:pPr>
        <w:pStyle w:val="Normal"/>
        <w:rPr/>
      </w:pPr>
      <w:r>
        <w:rPr/>
      </w:r>
      <w:r>
        <w:br w:type="page"/>
      </w:r>
    </w:p>
    <w:p>
      <w:pPr>
        <w:pStyle w:val="Heading2"/>
        <w:spacing w:before="0" w:after="80"/>
        <w:rPr/>
      </w:pPr>
      <w:r>
        <w:rPr/>
        <w:t>FICHE 22 — Documentation associée</w:t>
      </w:r>
    </w:p>
    <w:p>
      <w:pPr>
        <w:pStyle w:val="Normal"/>
        <w:spacing w:before="20" w:after="80"/>
        <w:rPr/>
      </w:pPr>
      <w:r>
        <w:rPr>
          <w:b/>
          <w:color w:val="0B3D91"/>
          <w:sz w:val="16"/>
        </w:rPr>
        <w:t xml:space="preserve">Source contrôlée : </w:t>
      </w:r>
      <w:r>
        <w:rPr>
          <w:color w:val="555555"/>
          <w:sz w:val="16"/>
        </w:rPr>
        <w:t>Titre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comporte une section « Documentation associée » qui renvoie vers la Documentation publique et l’Assurance qualité et amélioration continue.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montre que la veille doit être rattachée à des sources institutionnelles identifiées.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facilite la vérification, la continuité documentaire et l’accès aux cadres complémentaires.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la bibliothèque publique, les codes documentaires et le dispositif qualité.</w:t>
            </w:r>
          </w:p>
        </w:tc>
      </w:tr>
    </w:tbl>
    <w:p>
      <w:pPr>
        <w:pStyle w:val="Heading3"/>
        <w:rPr/>
      </w:pPr>
      <w:r>
        <w:rPr/>
        <w:t>Points développés</w:t>
      </w:r>
    </w:p>
    <w:p>
      <w:pPr>
        <w:pStyle w:val="ListBullet"/>
        <w:numPr>
          <w:ilvl w:val="0"/>
          <w:numId w:val="1"/>
        </w:numPr>
        <w:spacing w:before="0" w:after="20"/>
        <w:ind w:hanging="360" w:start="255"/>
        <w:contextualSpacing/>
        <w:rPr/>
      </w:pPr>
      <w:r>
        <w:rPr>
          <w:sz w:val="17"/>
        </w:rPr>
        <w:t>Références liées</w:t>
      </w:r>
    </w:p>
    <w:p>
      <w:pPr>
        <w:pStyle w:val="ListBullet"/>
        <w:numPr>
          <w:ilvl w:val="0"/>
          <w:numId w:val="1"/>
        </w:numPr>
        <w:spacing w:before="0" w:after="20"/>
        <w:ind w:hanging="360" w:start="255"/>
        <w:contextualSpacing/>
        <w:rPr/>
      </w:pPr>
      <w:r>
        <w:rPr>
          <w:sz w:val="17"/>
        </w:rPr>
        <w:t>Codes documentaires</w:t>
      </w:r>
    </w:p>
    <w:p>
      <w:pPr>
        <w:pStyle w:val="ListBullet"/>
        <w:numPr>
          <w:ilvl w:val="0"/>
          <w:numId w:val="1"/>
        </w:numPr>
        <w:spacing w:before="0" w:after="20"/>
        <w:ind w:hanging="360" w:start="255"/>
        <w:contextualSpacing/>
        <w:rPr/>
      </w:pPr>
      <w:r>
        <w:rPr>
          <w:sz w:val="17"/>
        </w:rPr>
        <w:t>Statut publié</w:t>
      </w:r>
    </w:p>
    <w:p>
      <w:pPr>
        <w:pStyle w:val="ListBullet"/>
        <w:numPr>
          <w:ilvl w:val="0"/>
          <w:numId w:val="1"/>
        </w:numPr>
        <w:spacing w:before="0" w:after="20"/>
        <w:ind w:hanging="360" w:start="255"/>
        <w:contextualSpacing/>
        <w:rPr/>
      </w:pPr>
      <w:r>
        <w:rPr>
          <w:sz w:val="17"/>
        </w:rPr>
        <w:t>Accès à la bibliothèque</w:t>
      </w:r>
    </w:p>
    <w:p>
      <w:pPr>
        <w:pStyle w:val="Heading3"/>
        <w:rPr/>
      </w:pPr>
      <w:r>
        <w:rPr/>
        <w:t>Banque de questions-réponses</w:t>
      </w:r>
    </w:p>
    <w:p>
      <w:pPr>
        <w:pStyle w:val="Normal"/>
        <w:keepNext w:val="true"/>
        <w:spacing w:before="40" w:after="0"/>
        <w:ind w:start="68"/>
        <w:rPr/>
      </w:pPr>
      <w:r>
        <w:rPr>
          <w:b/>
          <w:color w:val="0B3D91"/>
          <w:sz w:val="17"/>
        </w:rPr>
        <w:t>Q1. Que signifie ou présente « Documentation associée » ?</w:t>
      </w:r>
    </w:p>
    <w:p>
      <w:pPr>
        <w:pStyle w:val="Normal"/>
        <w:spacing w:before="0" w:after="40"/>
        <w:ind w:start="255"/>
        <w:rPr/>
      </w:pPr>
      <w:r>
        <w:rPr>
          <w:b/>
          <w:color w:val="D4A017"/>
          <w:sz w:val="16"/>
        </w:rPr>
        <w:t xml:space="preserve">Réponse : </w:t>
      </w:r>
      <w:r>
        <w:rPr>
          <w:color w:val="1F2937"/>
          <w:sz w:val="16"/>
        </w:rPr>
        <w:t>La documentation associée regroupe les références publiques utiles pour comprendre et vérifier la veille.</w:t>
      </w:r>
    </w:p>
    <w:p>
      <w:pPr>
        <w:pStyle w:val="Normal"/>
        <w:keepNext w:val="true"/>
        <w:spacing w:before="40" w:after="0"/>
        <w:ind w:start="68"/>
        <w:rPr/>
      </w:pPr>
      <w:r>
        <w:rPr>
          <w:b/>
          <w:color w:val="0B3D91"/>
          <w:sz w:val="17"/>
        </w:rPr>
        <w:t>Q2. Pourquoi « Documentation associée » figure-t-il dans la page de veille officielle ?</w:t>
      </w:r>
    </w:p>
    <w:p>
      <w:pPr>
        <w:pStyle w:val="Normal"/>
        <w:spacing w:before="0" w:after="40"/>
        <w:ind w:start="255"/>
        <w:rPr/>
      </w:pPr>
      <w:r>
        <w:rPr>
          <w:b/>
          <w:color w:val="D4A017"/>
          <w:sz w:val="16"/>
        </w:rPr>
        <w:t xml:space="preserve">Réponse : </w:t>
      </w:r>
      <w:r>
        <w:rPr>
          <w:color w:val="1F2937"/>
          <w:sz w:val="16"/>
        </w:rPr>
        <w:t>Permettre au lecteur de consulter les sources institutionnelles connexes.</w:t>
      </w:r>
    </w:p>
    <w:p>
      <w:pPr>
        <w:pStyle w:val="Normal"/>
        <w:keepNext w:val="true"/>
        <w:spacing w:before="40" w:after="0"/>
        <w:ind w:start="68"/>
        <w:rPr/>
      </w:pPr>
      <w:r>
        <w:rPr>
          <w:b/>
          <w:color w:val="0B3D91"/>
          <w:sz w:val="17"/>
        </w:rPr>
        <w:t>Q3. Quels contenus ou objets sont concernés par « Documentation associée » ?</w:t>
      </w:r>
    </w:p>
    <w:p>
      <w:pPr>
        <w:pStyle w:val="Normal"/>
        <w:spacing w:before="0" w:after="40"/>
        <w:ind w:start="255"/>
        <w:rPr/>
      </w:pPr>
      <w:r>
        <w:rPr>
          <w:b/>
          <w:color w:val="D4A017"/>
          <w:sz w:val="16"/>
        </w:rPr>
        <w:t xml:space="preserve">Réponse : </w:t>
      </w:r>
      <w:r>
        <w:rPr>
          <w:color w:val="1F2937"/>
          <w:sz w:val="16"/>
        </w:rPr>
        <w:t>Documentation publique GSE-PUB-DOC-001 et Assurance qualité GSE-PUB-QUA-001.</w:t>
      </w:r>
    </w:p>
    <w:p>
      <w:pPr>
        <w:pStyle w:val="Normal"/>
        <w:keepNext w:val="true"/>
        <w:spacing w:before="40" w:after="0"/>
        <w:ind w:start="68"/>
        <w:rPr/>
      </w:pPr>
      <w:r>
        <w:rPr>
          <w:b/>
          <w:color w:val="0B3D91"/>
          <w:sz w:val="17"/>
        </w:rPr>
        <w:t>Q4. Quel acteur intervient dans « Documentation associée » ?</w:t>
      </w:r>
    </w:p>
    <w:p>
      <w:pPr>
        <w:pStyle w:val="Normal"/>
        <w:spacing w:before="0" w:after="40"/>
        <w:ind w:start="255"/>
        <w:rPr/>
      </w:pPr>
      <w:r>
        <w:rPr>
          <w:b/>
          <w:color w:val="D4A017"/>
          <w:sz w:val="16"/>
        </w:rPr>
        <w:t xml:space="preserve">Réponse : </w:t>
      </w:r>
      <w:r>
        <w:rPr>
          <w:color w:val="1F2937"/>
          <w:sz w:val="16"/>
        </w:rPr>
        <w:t>Le GSE publie ces liens et indique leur statut et leurs langues.</w:t>
      </w:r>
    </w:p>
    <w:p>
      <w:pPr>
        <w:pStyle w:val="Normal"/>
        <w:keepNext w:val="true"/>
        <w:spacing w:before="40" w:after="0"/>
        <w:ind w:start="68"/>
        <w:rPr/>
      </w:pPr>
      <w:r>
        <w:rPr>
          <w:b/>
          <w:color w:val="0B3D91"/>
          <w:sz w:val="17"/>
        </w:rPr>
        <w:t>Q5. Comment « Documentation associée » est-il mis en œuvre selon le texte publié ?</w:t>
      </w:r>
    </w:p>
    <w:p>
      <w:pPr>
        <w:pStyle w:val="Normal"/>
        <w:spacing w:before="0" w:after="40"/>
        <w:ind w:start="255"/>
        <w:rPr/>
      </w:pPr>
      <w:r>
        <w:rPr>
          <w:b/>
          <w:color w:val="D4A017"/>
          <w:sz w:val="16"/>
        </w:rPr>
        <w:t xml:space="preserve">Réponse : </w:t>
      </w:r>
      <w:r>
        <w:rPr>
          <w:color w:val="1F2937"/>
          <w:sz w:val="16"/>
        </w:rPr>
        <w:t>Le visiteur ouvre les ressources à partir de la section de la page.</w:t>
      </w:r>
    </w:p>
    <w:p>
      <w:pPr>
        <w:pStyle w:val="Normal"/>
        <w:keepNext w:val="true"/>
        <w:spacing w:before="40" w:after="0"/>
        <w:ind w:start="68"/>
        <w:rPr/>
      </w:pPr>
      <w:r>
        <w:rPr>
          <w:b/>
          <w:color w:val="0B3D91"/>
          <w:sz w:val="17"/>
        </w:rPr>
        <w:t>Q6. Quelle trace, référence ou information vérifiable accompagne « Documentation associée » ?</w:t>
      </w:r>
    </w:p>
    <w:p>
      <w:pPr>
        <w:pStyle w:val="Normal"/>
        <w:spacing w:before="0" w:after="40"/>
        <w:ind w:start="255"/>
        <w:rPr/>
      </w:pPr>
      <w:r>
        <w:rPr>
          <w:b/>
          <w:color w:val="D4A017"/>
          <w:sz w:val="16"/>
        </w:rPr>
        <w:t xml:space="preserve">Réponse : </w:t>
      </w:r>
      <w:r>
        <w:rPr>
          <w:color w:val="1F2937"/>
          <w:sz w:val="16"/>
        </w:rPr>
        <w:t>Les codes, statuts et langues affichés constituent des métadonnées vérifiables.</w:t>
      </w:r>
    </w:p>
    <w:p>
      <w:pPr>
        <w:pStyle w:val="Normal"/>
        <w:keepNext w:val="true"/>
        <w:spacing w:before="40" w:after="0"/>
        <w:ind w:start="68"/>
        <w:rPr/>
      </w:pPr>
      <w:r>
        <w:rPr>
          <w:b/>
          <w:color w:val="0B3D91"/>
          <w:sz w:val="17"/>
        </w:rPr>
        <w:t>Q7. Quelle limite ou précaution est associée à « Documentation associée » ?</w:t>
      </w:r>
    </w:p>
    <w:p>
      <w:pPr>
        <w:pStyle w:val="Normal"/>
        <w:spacing w:before="0" w:after="40"/>
        <w:ind w:start="255"/>
        <w:rPr/>
      </w:pPr>
      <w:r>
        <w:rPr>
          <w:b/>
          <w:color w:val="D4A017"/>
          <w:sz w:val="16"/>
        </w:rPr>
        <w:t xml:space="preserve">Réponse : </w:t>
      </w:r>
      <w:r>
        <w:rPr>
          <w:color w:val="1F2937"/>
          <w:sz w:val="16"/>
        </w:rPr>
        <w:t>La section ne donne pas accès aux documents internes ou aux décisions protégées.</w:t>
      </w:r>
    </w:p>
    <w:p>
      <w:pPr>
        <w:pStyle w:val="Normal"/>
        <w:keepNext w:val="true"/>
        <w:spacing w:before="40" w:after="0"/>
        <w:ind w:start="68"/>
        <w:rPr/>
      </w:pPr>
      <w:r>
        <w:rPr>
          <w:b/>
          <w:color w:val="0B3D91"/>
          <w:sz w:val="17"/>
        </w:rPr>
        <w:t>Q8. À qui « Documentation associée » est-il utile ou destiné ?</w:t>
      </w:r>
    </w:p>
    <w:p>
      <w:pPr>
        <w:pStyle w:val="Normal"/>
        <w:spacing w:before="0" w:after="40"/>
        <w:ind w:start="255"/>
        <w:rPr/>
      </w:pPr>
      <w:r>
        <w:rPr>
          <w:b/>
          <w:color w:val="D4A017"/>
          <w:sz w:val="16"/>
        </w:rPr>
        <w:t xml:space="preserve">Réponse : </w:t>
      </w:r>
      <w:r>
        <w:rPr>
          <w:color w:val="1F2937"/>
          <w:sz w:val="16"/>
        </w:rPr>
        <w:t>Lecteurs qui veulent approfondir ou vérifier les références.</w:t>
      </w:r>
    </w:p>
    <w:p>
      <w:pPr>
        <w:pStyle w:val="Normal"/>
        <w:keepNext w:val="true"/>
        <w:spacing w:before="40" w:after="0"/>
        <w:ind w:start="68"/>
        <w:rPr/>
      </w:pPr>
      <w:r>
        <w:rPr>
          <w:b/>
          <w:color w:val="0B3D91"/>
          <w:sz w:val="17"/>
        </w:rPr>
        <w:t>Q9. À quelles autres rubriques ou fonctions « Documentation associée » est-il relié ?</w:t>
      </w:r>
    </w:p>
    <w:p>
      <w:pPr>
        <w:pStyle w:val="Normal"/>
        <w:spacing w:before="0" w:after="40"/>
        <w:ind w:start="255"/>
        <w:rPr/>
      </w:pPr>
      <w:r>
        <w:rPr>
          <w:b/>
          <w:color w:val="D4A017"/>
          <w:sz w:val="16"/>
        </w:rPr>
        <w:t xml:space="preserve">Réponse : </w:t>
      </w:r>
      <w:r>
        <w:rPr>
          <w:color w:val="1F2937"/>
          <w:sz w:val="16"/>
        </w:rPr>
        <w:t>Elle relie la veille à la documentation et au DAQAC.</w:t>
      </w:r>
    </w:p>
    <w:p>
      <w:pPr>
        <w:pStyle w:val="Normal"/>
        <w:keepNext w:val="true"/>
        <w:spacing w:before="40" w:after="0"/>
        <w:ind w:start="68"/>
        <w:rPr/>
      </w:pPr>
      <w:r>
        <w:rPr>
          <w:b/>
          <w:color w:val="0B3D91"/>
          <w:sz w:val="17"/>
        </w:rPr>
        <w:t>Q10. Quelle idée essentielle faut-il retenir de « Documentation associée » ?</w:t>
      </w:r>
    </w:p>
    <w:p>
      <w:pPr>
        <w:pStyle w:val="Normal"/>
        <w:spacing w:before="0" w:after="40"/>
        <w:ind w:start="255"/>
        <w:rPr/>
      </w:pPr>
      <w:r>
        <w:rPr>
          <w:b/>
          <w:color w:val="D4A017"/>
          <w:sz w:val="16"/>
        </w:rPr>
        <w:t xml:space="preserve">Réponse : </w:t>
      </w:r>
      <w:r>
        <w:rPr>
          <w:color w:val="1F2937"/>
          <w:sz w:val="16"/>
        </w:rPr>
        <w:t>Une veille crédible s’appuie sur des références publiques identifiées.</w:t>
      </w:r>
    </w:p>
    <w:p>
      <w:pPr>
        <w:pStyle w:val="Normal"/>
        <w:rPr/>
      </w:pPr>
      <w:r>
        <w:rPr/>
      </w:r>
      <w:r>
        <w:br w:type="page"/>
      </w:r>
    </w:p>
    <w:p>
      <w:pPr>
        <w:pStyle w:val="Heading2"/>
        <w:spacing w:before="0" w:after="80"/>
        <w:rPr/>
      </w:pPr>
      <w:r>
        <w:rPr/>
        <w:t>FICHE 23 — Documentation publique — GSE-PUB-DOC-001</w:t>
      </w:r>
    </w:p>
    <w:p>
      <w:pPr>
        <w:pStyle w:val="Normal"/>
        <w:spacing w:before="20" w:after="80"/>
        <w:rPr/>
      </w:pPr>
      <w:r>
        <w:rPr>
          <w:b/>
          <w:color w:val="0B3D91"/>
          <w:sz w:val="16"/>
        </w:rPr>
        <w:t xml:space="preserve">Source contrôlée : </w:t>
      </w:r>
      <w:r>
        <w:rPr>
          <w:color w:val="555555"/>
          <w:sz w:val="16"/>
        </w:rPr>
        <w:t>Lien documentaire associé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renvoie à « Documentation publique », identifiée par le code GSE-PUB-DOC-001, avec le statut Publié et les langues FR/EN.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identifie la bibliothèque institutionnelle qui rassemble les sources publiques approuvées.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Cette référence soutient la traçabilité et évite les doublons ou versions concurrentes.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la bibliothèque publique, les propriétaires de documents et les réponses d’ÉMINA.</w:t>
            </w:r>
          </w:p>
        </w:tc>
      </w:tr>
    </w:tbl>
    <w:p>
      <w:pPr>
        <w:pStyle w:val="Heading3"/>
        <w:rPr/>
      </w:pPr>
      <w:r>
        <w:rPr/>
        <w:t>Points développés</w:t>
      </w:r>
    </w:p>
    <w:p>
      <w:pPr>
        <w:pStyle w:val="ListBullet"/>
        <w:numPr>
          <w:ilvl w:val="0"/>
          <w:numId w:val="1"/>
        </w:numPr>
        <w:spacing w:before="0" w:after="20"/>
        <w:ind w:hanging="360" w:start="255"/>
        <w:contextualSpacing/>
        <w:rPr/>
      </w:pPr>
      <w:r>
        <w:rPr>
          <w:sz w:val="17"/>
        </w:rPr>
        <w:t>Code GSE-PUB-DOC-001</w:t>
      </w:r>
    </w:p>
    <w:p>
      <w:pPr>
        <w:pStyle w:val="ListBullet"/>
        <w:numPr>
          <w:ilvl w:val="0"/>
          <w:numId w:val="1"/>
        </w:numPr>
        <w:spacing w:before="0" w:after="20"/>
        <w:ind w:hanging="360" w:start="255"/>
        <w:contextualSpacing/>
        <w:rPr/>
      </w:pPr>
      <w:r>
        <w:rPr>
          <w:sz w:val="17"/>
        </w:rPr>
        <w:t>Statut Publié</w:t>
      </w:r>
    </w:p>
    <w:p>
      <w:pPr>
        <w:pStyle w:val="ListBullet"/>
        <w:numPr>
          <w:ilvl w:val="0"/>
          <w:numId w:val="1"/>
        </w:numPr>
        <w:spacing w:before="0" w:after="20"/>
        <w:ind w:hanging="360" w:start="255"/>
        <w:contextualSpacing/>
        <w:rPr/>
      </w:pPr>
      <w:r>
        <w:rPr>
          <w:sz w:val="17"/>
        </w:rPr>
        <w:t>FR/EN</w:t>
      </w:r>
    </w:p>
    <w:p>
      <w:pPr>
        <w:pStyle w:val="ListBullet"/>
        <w:numPr>
          <w:ilvl w:val="0"/>
          <w:numId w:val="1"/>
        </w:numPr>
        <w:spacing w:before="0" w:after="20"/>
        <w:ind w:hanging="360" w:start="255"/>
        <w:contextualSpacing/>
        <w:rPr/>
      </w:pPr>
      <w:r>
        <w:rPr>
          <w:sz w:val="17"/>
        </w:rPr>
        <w:t>Bibliothèque de sources approuvées</w:t>
      </w:r>
    </w:p>
    <w:p>
      <w:pPr>
        <w:pStyle w:val="Heading3"/>
        <w:rPr/>
      </w:pPr>
      <w:r>
        <w:rPr/>
        <w:t>Banque de questions-réponses</w:t>
      </w:r>
    </w:p>
    <w:p>
      <w:pPr>
        <w:pStyle w:val="Normal"/>
        <w:keepNext w:val="true"/>
        <w:spacing w:before="40" w:after="0"/>
        <w:ind w:start="68"/>
        <w:rPr/>
      </w:pPr>
      <w:r>
        <w:rPr>
          <w:b/>
          <w:color w:val="0B3D91"/>
          <w:sz w:val="17"/>
        </w:rPr>
        <w:t>Q1. Que signifie ou présente « Documentation publique — GSE-PUB-DOC-001 » ?</w:t>
      </w:r>
    </w:p>
    <w:p>
      <w:pPr>
        <w:pStyle w:val="Normal"/>
        <w:spacing w:before="0" w:after="40"/>
        <w:ind w:start="255"/>
        <w:rPr/>
      </w:pPr>
      <w:r>
        <w:rPr>
          <w:b/>
          <w:color w:val="D4A017"/>
          <w:sz w:val="16"/>
        </w:rPr>
        <w:t xml:space="preserve">Réponse : </w:t>
      </w:r>
      <w:r>
        <w:rPr>
          <w:color w:val="1F2937"/>
          <w:sz w:val="16"/>
        </w:rPr>
        <w:t>GSE-PUB-DOC-001 est le code public associé à la page de Documentation publique.</w:t>
      </w:r>
    </w:p>
    <w:p>
      <w:pPr>
        <w:pStyle w:val="Normal"/>
        <w:keepNext w:val="true"/>
        <w:spacing w:before="40" w:after="0"/>
        <w:ind w:start="68"/>
        <w:rPr/>
      </w:pPr>
      <w:r>
        <w:rPr>
          <w:b/>
          <w:color w:val="0B3D91"/>
          <w:sz w:val="17"/>
        </w:rPr>
        <w:t>Q2. Pourquoi « Documentation publique — GSE-PUB-DOC-001 » figure-t-il dans la page de veille officielle ?</w:t>
      </w:r>
    </w:p>
    <w:p>
      <w:pPr>
        <w:pStyle w:val="Normal"/>
        <w:spacing w:before="0" w:after="40"/>
        <w:ind w:start="255"/>
        <w:rPr/>
      </w:pPr>
      <w:r>
        <w:rPr>
          <w:b/>
          <w:color w:val="D4A017"/>
          <w:sz w:val="16"/>
        </w:rPr>
        <w:t xml:space="preserve">Réponse : </w:t>
      </w:r>
      <w:r>
        <w:rPr>
          <w:color w:val="1F2937"/>
          <w:sz w:val="16"/>
        </w:rPr>
        <w:t>Fournir un accès central aux références institutionnelles approuvées.</w:t>
      </w:r>
    </w:p>
    <w:p>
      <w:pPr>
        <w:pStyle w:val="Normal"/>
        <w:keepNext w:val="true"/>
        <w:spacing w:before="40" w:after="0"/>
        <w:ind w:start="68"/>
        <w:rPr/>
      </w:pPr>
      <w:r>
        <w:rPr>
          <w:b/>
          <w:color w:val="0B3D91"/>
          <w:sz w:val="17"/>
        </w:rPr>
        <w:t>Q3. Quels contenus ou objets sont concernés par « Documentation publique — GSE-PUB-DOC-001 » ?</w:t>
      </w:r>
    </w:p>
    <w:p>
      <w:pPr>
        <w:pStyle w:val="Normal"/>
        <w:spacing w:before="0" w:after="40"/>
        <w:ind w:start="255"/>
        <w:rPr/>
      </w:pPr>
      <w:r>
        <w:rPr>
          <w:b/>
          <w:color w:val="D4A017"/>
          <w:sz w:val="16"/>
        </w:rPr>
        <w:t xml:space="preserve">Réponse : </w:t>
      </w:r>
      <w:r>
        <w:rPr>
          <w:color w:val="1F2937"/>
          <w:sz w:val="16"/>
        </w:rPr>
        <w:t>Codes, statuts, versions, propriétaires, langues et liens vers les sources actives.</w:t>
      </w:r>
    </w:p>
    <w:p>
      <w:pPr>
        <w:pStyle w:val="Normal"/>
        <w:keepNext w:val="true"/>
        <w:spacing w:before="40" w:after="0"/>
        <w:ind w:start="68"/>
        <w:rPr/>
      </w:pPr>
      <w:r>
        <w:rPr>
          <w:b/>
          <w:color w:val="0B3D91"/>
          <w:sz w:val="17"/>
        </w:rPr>
        <w:t>Q4. Quel acteur intervient dans « Documentation publique — GSE-PUB-DOC-001 » ?</w:t>
      </w:r>
    </w:p>
    <w:p>
      <w:pPr>
        <w:pStyle w:val="Normal"/>
        <w:spacing w:before="0" w:after="40"/>
        <w:ind w:start="255"/>
        <w:rPr/>
      </w:pPr>
      <w:r>
        <w:rPr>
          <w:b/>
          <w:color w:val="D4A017"/>
          <w:sz w:val="16"/>
        </w:rPr>
        <w:t xml:space="preserve">Réponse : </w:t>
      </w:r>
      <w:r>
        <w:rPr>
          <w:color w:val="1F2937"/>
          <w:sz w:val="16"/>
        </w:rPr>
        <w:t>Le GSE gère la bibliothèque et les propriétaires identifiés gèrent leurs contenus.</w:t>
      </w:r>
    </w:p>
    <w:p>
      <w:pPr>
        <w:pStyle w:val="Normal"/>
        <w:keepNext w:val="true"/>
        <w:spacing w:before="40" w:after="0"/>
        <w:ind w:start="68"/>
        <w:rPr/>
      </w:pPr>
      <w:r>
        <w:rPr>
          <w:b/>
          <w:color w:val="0B3D91"/>
          <w:sz w:val="17"/>
        </w:rPr>
        <w:t>Q5. Comment « Documentation publique — GSE-PUB-DOC-001 » est-il mis en œuvre selon le texte publié ?</w:t>
      </w:r>
    </w:p>
    <w:p>
      <w:pPr>
        <w:pStyle w:val="Normal"/>
        <w:spacing w:before="0" w:after="40"/>
        <w:ind w:start="255"/>
        <w:rPr/>
      </w:pPr>
      <w:r>
        <w:rPr>
          <w:b/>
          <w:color w:val="D4A017"/>
          <w:sz w:val="16"/>
        </w:rPr>
        <w:t xml:space="preserve">Réponse : </w:t>
      </w:r>
      <w:r>
        <w:rPr>
          <w:color w:val="1F2937"/>
          <w:sz w:val="16"/>
        </w:rPr>
        <w:t>La version active est proposée dans les réponses courantes d’ÉMINA.</w:t>
      </w:r>
    </w:p>
    <w:p>
      <w:pPr>
        <w:pStyle w:val="Normal"/>
        <w:keepNext w:val="true"/>
        <w:spacing w:before="40" w:after="0"/>
        <w:ind w:start="68"/>
        <w:rPr/>
      </w:pPr>
      <w:r>
        <w:rPr>
          <w:b/>
          <w:color w:val="0B3D91"/>
          <w:sz w:val="17"/>
        </w:rPr>
        <w:t>Q6. Quelle trace, référence ou information vérifiable accompagne « Documentation publique — GSE-PUB-DOC-001 » ?</w:t>
      </w:r>
    </w:p>
    <w:p>
      <w:pPr>
        <w:pStyle w:val="Normal"/>
        <w:spacing w:before="0" w:after="40"/>
        <w:ind w:start="255"/>
        <w:rPr/>
      </w:pPr>
      <w:r>
        <w:rPr>
          <w:b/>
          <w:color w:val="D4A017"/>
          <w:sz w:val="16"/>
        </w:rPr>
        <w:t xml:space="preserve">Réponse : </w:t>
      </w:r>
      <w:r>
        <w:rPr>
          <w:color w:val="1F2937"/>
          <w:sz w:val="16"/>
        </w:rPr>
        <w:t>Le code, le statut Publié et les langues FR/EN sont affichés sur la page de veille.</w:t>
      </w:r>
    </w:p>
    <w:p>
      <w:pPr>
        <w:pStyle w:val="Normal"/>
        <w:keepNext w:val="true"/>
        <w:spacing w:before="40" w:after="0"/>
        <w:ind w:start="68"/>
        <w:rPr/>
      </w:pPr>
      <w:r>
        <w:rPr>
          <w:b/>
          <w:color w:val="0B3D91"/>
          <w:sz w:val="17"/>
        </w:rPr>
        <w:t>Q7. Quelle limite ou précaution est associée à « Documentation publique — GSE-PUB-DOC-001 » ?</w:t>
      </w:r>
    </w:p>
    <w:p>
      <w:pPr>
        <w:pStyle w:val="Normal"/>
        <w:spacing w:before="0" w:after="40"/>
        <w:ind w:start="255"/>
        <w:rPr/>
      </w:pPr>
      <w:r>
        <w:rPr>
          <w:b/>
          <w:color w:val="D4A017"/>
          <w:sz w:val="16"/>
        </w:rPr>
        <w:t xml:space="preserve">Réponse : </w:t>
      </w:r>
      <w:r>
        <w:rPr>
          <w:color w:val="1F2937"/>
          <w:sz w:val="16"/>
        </w:rPr>
        <w:t>Les documents internes et données sensibles sont séparés de cette bibliothèque.</w:t>
      </w:r>
    </w:p>
    <w:p>
      <w:pPr>
        <w:pStyle w:val="Normal"/>
        <w:keepNext w:val="true"/>
        <w:spacing w:before="40" w:after="0"/>
        <w:ind w:start="68"/>
        <w:rPr/>
      </w:pPr>
      <w:r>
        <w:rPr>
          <w:b/>
          <w:color w:val="0B3D91"/>
          <w:sz w:val="17"/>
        </w:rPr>
        <w:t>Q8. À qui « Documentation publique — GSE-PUB-DOC-001 » est-il utile ou destiné ?</w:t>
      </w:r>
    </w:p>
    <w:p>
      <w:pPr>
        <w:pStyle w:val="Normal"/>
        <w:spacing w:before="0" w:after="40"/>
        <w:ind w:start="255"/>
        <w:rPr/>
      </w:pPr>
      <w:r>
        <w:rPr>
          <w:b/>
          <w:color w:val="D4A017"/>
          <w:sz w:val="16"/>
        </w:rPr>
        <w:t xml:space="preserve">Réponse : </w:t>
      </w:r>
      <w:r>
        <w:rPr>
          <w:color w:val="1F2937"/>
          <w:sz w:val="16"/>
        </w:rPr>
        <w:t>Public, ÉMINA, personnels et partenaires.</w:t>
      </w:r>
    </w:p>
    <w:p>
      <w:pPr>
        <w:pStyle w:val="Normal"/>
        <w:keepNext w:val="true"/>
        <w:spacing w:before="40" w:after="0"/>
        <w:ind w:start="68"/>
        <w:rPr/>
      </w:pPr>
      <w:r>
        <w:rPr>
          <w:b/>
          <w:color w:val="0B3D91"/>
          <w:sz w:val="17"/>
        </w:rPr>
        <w:t>Q9. À quelles autres rubriques ou fonctions « Documentation publique — GSE-PUB-DOC-001 » est-il relié ?</w:t>
      </w:r>
    </w:p>
    <w:p>
      <w:pPr>
        <w:pStyle w:val="Normal"/>
        <w:spacing w:before="0" w:after="40"/>
        <w:ind w:start="255"/>
        <w:rPr/>
      </w:pPr>
      <w:r>
        <w:rPr>
          <w:b/>
          <w:color w:val="D4A017"/>
          <w:sz w:val="16"/>
        </w:rPr>
        <w:t xml:space="preserve">Réponse : </w:t>
      </w:r>
      <w:r>
        <w:rPr>
          <w:color w:val="1F2937"/>
          <w:sz w:val="16"/>
        </w:rPr>
        <w:t>Cette référence constitue la base documentaire de la veille publique.</w:t>
      </w:r>
    </w:p>
    <w:p>
      <w:pPr>
        <w:pStyle w:val="Normal"/>
        <w:keepNext w:val="true"/>
        <w:spacing w:before="40" w:after="0"/>
        <w:ind w:start="68"/>
        <w:rPr/>
      </w:pPr>
      <w:r>
        <w:rPr>
          <w:b/>
          <w:color w:val="0B3D91"/>
          <w:sz w:val="17"/>
        </w:rPr>
        <w:t>Q10. Quelle idée essentielle faut-il retenir de « Documentation publique — GSE-PUB-DOC-001 » ?</w:t>
      </w:r>
    </w:p>
    <w:p>
      <w:pPr>
        <w:pStyle w:val="Normal"/>
        <w:spacing w:before="0" w:after="40"/>
        <w:ind w:start="255"/>
        <w:rPr/>
      </w:pPr>
      <w:r>
        <w:rPr>
          <w:b/>
          <w:color w:val="D4A017"/>
          <w:sz w:val="16"/>
        </w:rPr>
        <w:t xml:space="preserve">Réponse : </w:t>
      </w:r>
      <w:r>
        <w:rPr>
          <w:color w:val="1F2937"/>
          <w:sz w:val="16"/>
        </w:rPr>
        <w:t>La veille renvoie vers une bibliothèque approuvée et identifiable par code.</w:t>
      </w:r>
    </w:p>
    <w:p>
      <w:pPr>
        <w:pStyle w:val="Normal"/>
        <w:rPr/>
      </w:pPr>
      <w:r>
        <w:rPr/>
      </w:r>
      <w:r>
        <w:br w:type="page"/>
      </w:r>
    </w:p>
    <w:p>
      <w:pPr>
        <w:pStyle w:val="Heading2"/>
        <w:spacing w:before="0" w:after="80"/>
        <w:rPr/>
      </w:pPr>
      <w:r>
        <w:rPr/>
        <w:t>FICHE 24 — Assurance qualité et amélioration continue — GSE-PUB-QUA-001</w:t>
      </w:r>
    </w:p>
    <w:p>
      <w:pPr>
        <w:pStyle w:val="Normal"/>
        <w:spacing w:before="20" w:after="80"/>
        <w:rPr/>
      </w:pPr>
      <w:r>
        <w:rPr>
          <w:b/>
          <w:color w:val="0B3D91"/>
          <w:sz w:val="16"/>
        </w:rPr>
        <w:t xml:space="preserve">Source contrôlée : </w:t>
      </w:r>
      <w:r>
        <w:rPr>
          <w:color w:val="555555"/>
          <w:sz w:val="16"/>
        </w:rPr>
        <w:t>Lien documentaire associé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renvoie à « Assurance qualité et amélioration continue », code GSE-PUB-QUA-001, statut Publié, langues FR/EN.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relie la veille au système qui mesure les écarts et suit les améliorations.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Cette référence aide à transformer une information de veille en action organisée et vérifiable.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DAQAC, audits, plans d’action, cycle d’amélioration et départements.</w:t>
            </w:r>
          </w:p>
        </w:tc>
      </w:tr>
    </w:tbl>
    <w:p>
      <w:pPr>
        <w:pStyle w:val="Heading3"/>
        <w:rPr/>
      </w:pPr>
      <w:r>
        <w:rPr/>
        <w:t>Points développés</w:t>
      </w:r>
    </w:p>
    <w:p>
      <w:pPr>
        <w:pStyle w:val="ListBullet"/>
        <w:numPr>
          <w:ilvl w:val="0"/>
          <w:numId w:val="1"/>
        </w:numPr>
        <w:spacing w:before="0" w:after="20"/>
        <w:ind w:hanging="360" w:start="255"/>
        <w:contextualSpacing/>
        <w:rPr/>
      </w:pPr>
      <w:r>
        <w:rPr>
          <w:sz w:val="17"/>
        </w:rPr>
        <w:t>Code GSE-PUB-QUA-001</w:t>
      </w:r>
    </w:p>
    <w:p>
      <w:pPr>
        <w:pStyle w:val="ListBullet"/>
        <w:numPr>
          <w:ilvl w:val="0"/>
          <w:numId w:val="1"/>
        </w:numPr>
        <w:spacing w:before="0" w:after="20"/>
        <w:ind w:hanging="360" w:start="255"/>
        <w:contextualSpacing/>
        <w:rPr/>
      </w:pPr>
      <w:r>
        <w:rPr>
          <w:sz w:val="17"/>
        </w:rPr>
        <w:t>DAQAC</w:t>
      </w:r>
    </w:p>
    <w:p>
      <w:pPr>
        <w:pStyle w:val="ListBullet"/>
        <w:numPr>
          <w:ilvl w:val="0"/>
          <w:numId w:val="1"/>
        </w:numPr>
        <w:spacing w:before="0" w:after="20"/>
        <w:ind w:hanging="360" w:start="255"/>
        <w:contextualSpacing/>
        <w:rPr/>
      </w:pPr>
      <w:r>
        <w:rPr>
          <w:sz w:val="17"/>
        </w:rPr>
        <w:t>Cycle d’amélioration</w:t>
      </w:r>
    </w:p>
    <w:p>
      <w:pPr>
        <w:pStyle w:val="ListBullet"/>
        <w:numPr>
          <w:ilvl w:val="0"/>
          <w:numId w:val="1"/>
        </w:numPr>
        <w:spacing w:before="0" w:after="20"/>
        <w:ind w:hanging="360" w:start="255"/>
        <w:contextualSpacing/>
        <w:rPr/>
      </w:pPr>
      <w:r>
        <w:rPr>
          <w:sz w:val="17"/>
        </w:rPr>
        <w:t>Suivi des actions</w:t>
      </w:r>
    </w:p>
    <w:p>
      <w:pPr>
        <w:pStyle w:val="Heading3"/>
        <w:rPr/>
      </w:pPr>
      <w:r>
        <w:rPr/>
        <w:t>Banque de questions-réponses</w:t>
      </w:r>
    </w:p>
    <w:p>
      <w:pPr>
        <w:pStyle w:val="Normal"/>
        <w:keepNext w:val="true"/>
        <w:spacing w:before="40" w:after="0"/>
        <w:ind w:start="68"/>
        <w:rPr/>
      </w:pPr>
      <w:r>
        <w:rPr>
          <w:b/>
          <w:color w:val="0B3D91"/>
          <w:sz w:val="17"/>
        </w:rPr>
        <w:t>Q1. Que signifie ou présente « Assurance qualité et amélioration continue — GSE-PUB-QUA-001 » ?</w:t>
      </w:r>
    </w:p>
    <w:p>
      <w:pPr>
        <w:pStyle w:val="Normal"/>
        <w:spacing w:before="0" w:after="40"/>
        <w:ind w:start="255"/>
        <w:rPr/>
      </w:pPr>
      <w:r>
        <w:rPr>
          <w:b/>
          <w:color w:val="D4A017"/>
          <w:sz w:val="16"/>
        </w:rPr>
        <w:t xml:space="preserve">Réponse : </w:t>
      </w:r>
      <w:r>
        <w:rPr>
          <w:color w:val="1F2937"/>
          <w:sz w:val="16"/>
        </w:rPr>
        <w:t>GSE-PUB-QUA-001 est le code public de la page d’assurance qualité.</w:t>
      </w:r>
    </w:p>
    <w:p>
      <w:pPr>
        <w:pStyle w:val="Normal"/>
        <w:keepNext w:val="true"/>
        <w:spacing w:before="40" w:after="0"/>
        <w:ind w:start="68"/>
        <w:rPr/>
      </w:pPr>
      <w:r>
        <w:rPr>
          <w:b/>
          <w:color w:val="0B3D91"/>
          <w:sz w:val="17"/>
        </w:rPr>
        <w:t>Q2. Pourquoi « Assurance qualité et amélioration continue — GSE-PUB-QUA-001 » figure-t-il dans la page de veille officielle ?</w:t>
      </w:r>
    </w:p>
    <w:p>
      <w:pPr>
        <w:pStyle w:val="Normal"/>
        <w:spacing w:before="0" w:after="40"/>
        <w:ind w:start="255"/>
        <w:rPr/>
      </w:pPr>
      <w:r>
        <w:rPr>
          <w:b/>
          <w:color w:val="D4A017"/>
          <w:sz w:val="16"/>
        </w:rPr>
        <w:t xml:space="preserve">Réponse : </w:t>
      </w:r>
      <w:r>
        <w:rPr>
          <w:color w:val="1F2937"/>
          <w:sz w:val="16"/>
        </w:rPr>
        <w:t>Présenter le cadre institutionnel dans lequel les impacts peuvent être examinés et suivis.</w:t>
      </w:r>
    </w:p>
    <w:p>
      <w:pPr>
        <w:pStyle w:val="Normal"/>
        <w:keepNext w:val="true"/>
        <w:spacing w:before="40" w:after="0"/>
        <w:ind w:start="68"/>
        <w:rPr/>
      </w:pPr>
      <w:r>
        <w:rPr>
          <w:b/>
          <w:color w:val="0B3D91"/>
          <w:sz w:val="17"/>
        </w:rPr>
        <w:t>Q3. Quels contenus ou objets sont concernés par « Assurance qualité et amélioration continue — GSE-PUB-QUA-001 » ?</w:t>
      </w:r>
    </w:p>
    <w:p>
      <w:pPr>
        <w:pStyle w:val="Normal"/>
        <w:spacing w:before="0" w:after="40"/>
        <w:ind w:start="255"/>
        <w:rPr/>
      </w:pPr>
      <w:r>
        <w:rPr>
          <w:b/>
          <w:color w:val="D4A017"/>
          <w:sz w:val="16"/>
        </w:rPr>
        <w:t xml:space="preserve">Réponse : </w:t>
      </w:r>
      <w:r>
        <w:rPr>
          <w:color w:val="1F2937"/>
          <w:sz w:val="16"/>
        </w:rPr>
        <w:t>Domaines qualité, cycle d’amélioration, écoute et limites de diffusion.</w:t>
      </w:r>
    </w:p>
    <w:p>
      <w:pPr>
        <w:pStyle w:val="Normal"/>
        <w:keepNext w:val="true"/>
        <w:spacing w:before="40" w:after="0"/>
        <w:ind w:start="68"/>
        <w:rPr/>
      </w:pPr>
      <w:r>
        <w:rPr>
          <w:b/>
          <w:color w:val="0B3D91"/>
          <w:sz w:val="17"/>
        </w:rPr>
        <w:t>Q4. Quel acteur intervient dans « Assurance qualité et amélioration continue — GSE-PUB-QUA-001 » ?</w:t>
      </w:r>
    </w:p>
    <w:p>
      <w:pPr>
        <w:pStyle w:val="Normal"/>
        <w:spacing w:before="0" w:after="40"/>
        <w:ind w:start="255"/>
        <w:rPr/>
      </w:pPr>
      <w:r>
        <w:rPr>
          <w:b/>
          <w:color w:val="D4A017"/>
          <w:sz w:val="16"/>
        </w:rPr>
        <w:t xml:space="preserve">Réponse : </w:t>
      </w:r>
      <w:r>
        <w:rPr>
          <w:color w:val="1F2937"/>
          <w:sz w:val="16"/>
        </w:rPr>
        <w:t>Le DAQAC coordonne le référentiel, les audits, les plans d’action et le suivi.</w:t>
      </w:r>
    </w:p>
    <w:p>
      <w:pPr>
        <w:pStyle w:val="Normal"/>
        <w:keepNext w:val="true"/>
        <w:spacing w:before="40" w:after="0"/>
        <w:ind w:start="68"/>
        <w:rPr/>
      </w:pPr>
      <w:r>
        <w:rPr>
          <w:b/>
          <w:color w:val="0B3D91"/>
          <w:sz w:val="17"/>
        </w:rPr>
        <w:t>Q5. Comment « Assurance qualité et amélioration continue — GSE-PUB-QUA-001 » est-il mis en œuvre selon le texte publié ?</w:t>
      </w:r>
    </w:p>
    <w:p>
      <w:pPr>
        <w:pStyle w:val="Normal"/>
        <w:spacing w:before="0" w:after="40"/>
        <w:ind w:start="255"/>
        <w:rPr/>
      </w:pPr>
      <w:r>
        <w:rPr>
          <w:b/>
          <w:color w:val="D4A017"/>
          <w:sz w:val="16"/>
        </w:rPr>
        <w:t xml:space="preserve">Réponse : </w:t>
      </w:r>
      <w:r>
        <w:rPr>
          <w:color w:val="1F2937"/>
          <w:sz w:val="16"/>
        </w:rPr>
        <w:t>Les impacts validés peuvent être intégrés à des actions et suivis dans le cycle qualité.</w:t>
      </w:r>
    </w:p>
    <w:p>
      <w:pPr>
        <w:pStyle w:val="Normal"/>
        <w:keepNext w:val="true"/>
        <w:spacing w:before="40" w:after="0"/>
        <w:ind w:start="68"/>
        <w:rPr/>
      </w:pPr>
      <w:r>
        <w:rPr>
          <w:b/>
          <w:color w:val="0B3D91"/>
          <w:sz w:val="17"/>
        </w:rPr>
        <w:t>Q6. Quelle trace, référence ou information vérifiable accompagne « Assurance qualité et amélioration continue — GSE-PUB-QUA-001 » ?</w:t>
      </w:r>
    </w:p>
    <w:p>
      <w:pPr>
        <w:pStyle w:val="Normal"/>
        <w:spacing w:before="0" w:after="40"/>
        <w:ind w:start="255"/>
        <w:rPr/>
      </w:pPr>
      <w:r>
        <w:rPr>
          <w:b/>
          <w:color w:val="D4A017"/>
          <w:sz w:val="16"/>
        </w:rPr>
        <w:t xml:space="preserve">Réponse : </w:t>
      </w:r>
      <w:r>
        <w:rPr>
          <w:color w:val="1F2937"/>
          <w:sz w:val="16"/>
        </w:rPr>
        <w:t>Le code, le statut Publié et les langues FR/EN sont visibles dans la documentation associée.</w:t>
      </w:r>
    </w:p>
    <w:p>
      <w:pPr>
        <w:pStyle w:val="Normal"/>
        <w:keepNext w:val="true"/>
        <w:spacing w:before="40" w:after="0"/>
        <w:ind w:start="68"/>
        <w:rPr/>
      </w:pPr>
      <w:r>
        <w:rPr>
          <w:b/>
          <w:color w:val="0B3D91"/>
          <w:sz w:val="17"/>
        </w:rPr>
        <w:t>Q7. Quelle limite ou précaution est associée à « Assurance qualité et amélioration continue — GSE-PUB-QUA-001 » ?</w:t>
      </w:r>
    </w:p>
    <w:p>
      <w:pPr>
        <w:pStyle w:val="Normal"/>
        <w:spacing w:before="0" w:after="40"/>
        <w:ind w:start="255"/>
        <w:rPr/>
      </w:pPr>
      <w:r>
        <w:rPr>
          <w:b/>
          <w:color w:val="D4A017"/>
          <w:sz w:val="16"/>
        </w:rPr>
        <w:t xml:space="preserve">Réponse : </w:t>
      </w:r>
      <w:r>
        <w:rPr>
          <w:color w:val="1F2937"/>
          <w:sz w:val="16"/>
        </w:rPr>
        <w:t>Le DAQAC ne se substitue pas aux responsables opérationnels.</w:t>
      </w:r>
    </w:p>
    <w:p>
      <w:pPr>
        <w:pStyle w:val="Normal"/>
        <w:keepNext w:val="true"/>
        <w:spacing w:before="40" w:after="0"/>
        <w:ind w:start="68"/>
        <w:rPr/>
      </w:pPr>
      <w:r>
        <w:rPr>
          <w:b/>
          <w:color w:val="0B3D91"/>
          <w:sz w:val="17"/>
        </w:rPr>
        <w:t>Q8. À qui « Assurance qualité et amélioration continue — GSE-PUB-QUA-001 » est-il utile ou destiné ?</w:t>
      </w:r>
    </w:p>
    <w:p>
      <w:pPr>
        <w:pStyle w:val="Normal"/>
        <w:spacing w:before="0" w:after="40"/>
        <w:ind w:start="255"/>
        <w:rPr/>
      </w:pPr>
      <w:r>
        <w:rPr>
          <w:b/>
          <w:color w:val="D4A017"/>
          <w:sz w:val="16"/>
        </w:rPr>
        <w:t xml:space="preserve">Réponse : </w:t>
      </w:r>
      <w:r>
        <w:rPr>
          <w:color w:val="1F2937"/>
          <w:sz w:val="16"/>
        </w:rPr>
        <w:t>Direction, DAQAC, départements, familles et partenaires.</w:t>
      </w:r>
    </w:p>
    <w:p>
      <w:pPr>
        <w:pStyle w:val="Normal"/>
        <w:keepNext w:val="true"/>
        <w:spacing w:before="40" w:after="0"/>
        <w:ind w:start="68"/>
        <w:rPr/>
      </w:pPr>
      <w:r>
        <w:rPr>
          <w:b/>
          <w:color w:val="0B3D91"/>
          <w:sz w:val="17"/>
        </w:rPr>
        <w:t>Q9. À quelles autres rubriques ou fonctions « Assurance qualité et amélioration continue — GSE-PUB-QUA-001 » est-il relié ?</w:t>
      </w:r>
    </w:p>
    <w:p>
      <w:pPr>
        <w:pStyle w:val="Normal"/>
        <w:spacing w:before="0" w:after="40"/>
        <w:ind w:start="255"/>
        <w:rPr/>
      </w:pPr>
      <w:r>
        <w:rPr>
          <w:b/>
          <w:color w:val="D4A017"/>
          <w:sz w:val="16"/>
        </w:rPr>
        <w:t xml:space="preserve">Réponse : </w:t>
      </w:r>
      <w:r>
        <w:rPr>
          <w:color w:val="1F2937"/>
          <w:sz w:val="16"/>
        </w:rPr>
        <w:t>La veille détecte ; l’assurance qualité aide à vérifier et suivre les améliorations.</w:t>
      </w:r>
    </w:p>
    <w:p>
      <w:pPr>
        <w:pStyle w:val="Normal"/>
        <w:keepNext w:val="true"/>
        <w:spacing w:before="40" w:after="0"/>
        <w:ind w:start="68"/>
        <w:rPr/>
      </w:pPr>
      <w:r>
        <w:rPr>
          <w:b/>
          <w:color w:val="0B3D91"/>
          <w:sz w:val="17"/>
        </w:rPr>
        <w:t>Q10. Quelle idée essentielle faut-il retenir de « Assurance qualité et amélioration continue — GSE-PUB-QUA-001 » ?</w:t>
      </w:r>
    </w:p>
    <w:p>
      <w:pPr>
        <w:pStyle w:val="Normal"/>
        <w:spacing w:before="0" w:after="40"/>
        <w:ind w:start="255"/>
        <w:rPr/>
      </w:pPr>
      <w:r>
        <w:rPr>
          <w:b/>
          <w:color w:val="D4A017"/>
          <w:sz w:val="16"/>
        </w:rPr>
        <w:t xml:space="preserve">Réponse : </w:t>
      </w:r>
      <w:r>
        <w:rPr>
          <w:color w:val="1F2937"/>
          <w:sz w:val="16"/>
        </w:rPr>
        <w:t>La veille et la qualité forment une chaîne d’anticipation, de contrôle et d’amélioration.</w:t>
      </w:r>
    </w:p>
    <w:p>
      <w:pPr>
        <w:pStyle w:val="Normal"/>
        <w:rPr/>
      </w:pPr>
      <w:r>
        <w:rPr/>
      </w:r>
      <w:r>
        <w:br w:type="page"/>
      </w:r>
    </w:p>
    <w:p>
      <w:pPr>
        <w:pStyle w:val="Heading2"/>
        <w:spacing w:before="0" w:after="80"/>
        <w:rPr/>
      </w:pPr>
      <w:r>
        <w:rPr/>
        <w:t>FICHE 25 — Bibliothèque de documentation publique</w:t>
      </w:r>
    </w:p>
    <w:p>
      <w:pPr>
        <w:pStyle w:val="Normal"/>
        <w:spacing w:before="20" w:after="80"/>
        <w:rPr/>
      </w:pPr>
      <w:r>
        <w:rPr>
          <w:b/>
          <w:color w:val="0B3D91"/>
          <w:sz w:val="16"/>
        </w:rPr>
        <w:t xml:space="preserve">Source contrôlée : </w:t>
      </w:r>
      <w:r>
        <w:rPr>
          <w:color w:val="555555"/>
          <w:sz w:val="16"/>
        </w:rPr>
        <w:t>Bouton de redirection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propose de consulter la bibliothèque de documentation publique.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offre un accès direct à l’ensemble des sources publiques approuvées.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facilite la vérification des codes, statuts, versions, propriétaires et langues.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Documentation publique, ÉMINA, qualité, agrément, admissions et confidentialité.</w:t>
            </w:r>
          </w:p>
        </w:tc>
      </w:tr>
    </w:tbl>
    <w:p>
      <w:pPr>
        <w:pStyle w:val="Heading3"/>
        <w:rPr/>
      </w:pPr>
      <w:r>
        <w:rPr/>
        <w:t>Points développés</w:t>
      </w:r>
    </w:p>
    <w:p>
      <w:pPr>
        <w:pStyle w:val="ListBullet"/>
        <w:numPr>
          <w:ilvl w:val="0"/>
          <w:numId w:val="1"/>
        </w:numPr>
        <w:spacing w:before="0" w:after="20"/>
        <w:ind w:hanging="360" w:start="255"/>
        <w:contextualSpacing/>
        <w:rPr/>
      </w:pPr>
      <w:r>
        <w:rPr>
          <w:sz w:val="17"/>
        </w:rPr>
        <w:t>Accès central</w:t>
      </w:r>
    </w:p>
    <w:p>
      <w:pPr>
        <w:pStyle w:val="ListBullet"/>
        <w:numPr>
          <w:ilvl w:val="0"/>
          <w:numId w:val="1"/>
        </w:numPr>
        <w:spacing w:before="0" w:after="20"/>
        <w:ind w:hanging="360" w:start="255"/>
        <w:contextualSpacing/>
        <w:rPr/>
      </w:pPr>
      <w:r>
        <w:rPr>
          <w:sz w:val="17"/>
        </w:rPr>
        <w:t>Version active</w:t>
      </w:r>
    </w:p>
    <w:p>
      <w:pPr>
        <w:pStyle w:val="ListBullet"/>
        <w:numPr>
          <w:ilvl w:val="0"/>
          <w:numId w:val="1"/>
        </w:numPr>
        <w:spacing w:before="0" w:after="20"/>
        <w:ind w:hanging="360" w:start="255"/>
        <w:contextualSpacing/>
        <w:rPr/>
      </w:pPr>
      <w:r>
        <w:rPr>
          <w:sz w:val="17"/>
        </w:rPr>
        <w:t>Métadonnées</w:t>
      </w:r>
    </w:p>
    <w:p>
      <w:pPr>
        <w:pStyle w:val="ListBullet"/>
        <w:numPr>
          <w:ilvl w:val="0"/>
          <w:numId w:val="1"/>
        </w:numPr>
        <w:spacing w:before="0" w:after="20"/>
        <w:ind w:hanging="360" w:start="255"/>
        <w:contextualSpacing/>
        <w:rPr/>
      </w:pPr>
      <w:r>
        <w:rPr>
          <w:sz w:val="17"/>
        </w:rPr>
        <w:t>Séparation public/interne</w:t>
      </w:r>
    </w:p>
    <w:p>
      <w:pPr>
        <w:pStyle w:val="Heading3"/>
        <w:rPr/>
      </w:pPr>
      <w:r>
        <w:rPr/>
        <w:t>Banque de questions-réponses</w:t>
      </w:r>
    </w:p>
    <w:p>
      <w:pPr>
        <w:pStyle w:val="Normal"/>
        <w:keepNext w:val="true"/>
        <w:spacing w:before="40" w:after="0"/>
        <w:ind w:start="68"/>
        <w:rPr/>
      </w:pPr>
      <w:r>
        <w:rPr>
          <w:b/>
          <w:color w:val="0B3D91"/>
          <w:sz w:val="17"/>
        </w:rPr>
        <w:t>Q1. Que signifie ou présente « Bibliothèque de documentation publique » ?</w:t>
      </w:r>
    </w:p>
    <w:p>
      <w:pPr>
        <w:pStyle w:val="Normal"/>
        <w:spacing w:before="0" w:after="40"/>
        <w:ind w:start="255"/>
        <w:rPr/>
      </w:pPr>
      <w:r>
        <w:rPr>
          <w:b/>
          <w:color w:val="D4A017"/>
          <w:sz w:val="16"/>
        </w:rPr>
        <w:t xml:space="preserve">Réponse : </w:t>
      </w:r>
      <w:r>
        <w:rPr>
          <w:color w:val="1F2937"/>
          <w:sz w:val="16"/>
        </w:rPr>
        <w:t>La bibliothèque est l’espace public où les références institutionnelles approuvées sont regroupées.</w:t>
      </w:r>
    </w:p>
    <w:p>
      <w:pPr>
        <w:pStyle w:val="Normal"/>
        <w:keepNext w:val="true"/>
        <w:spacing w:before="40" w:after="0"/>
        <w:ind w:start="68"/>
        <w:rPr/>
      </w:pPr>
      <w:r>
        <w:rPr>
          <w:b/>
          <w:color w:val="0B3D91"/>
          <w:sz w:val="17"/>
        </w:rPr>
        <w:t>Q2. Pourquoi « Bibliothèque de documentation publique » figure-t-il dans la page de veille officielle ?</w:t>
      </w:r>
    </w:p>
    <w:p>
      <w:pPr>
        <w:pStyle w:val="Normal"/>
        <w:spacing w:before="0" w:after="40"/>
        <w:ind w:start="255"/>
        <w:rPr/>
      </w:pPr>
      <w:r>
        <w:rPr>
          <w:b/>
          <w:color w:val="D4A017"/>
          <w:sz w:val="16"/>
        </w:rPr>
        <w:t xml:space="preserve">Réponse : </w:t>
      </w:r>
      <w:r>
        <w:rPr>
          <w:color w:val="1F2937"/>
          <w:sz w:val="16"/>
        </w:rPr>
        <w:t>Permettre au lecteur de retrouver la version officielle et active d’une source.</w:t>
      </w:r>
    </w:p>
    <w:p>
      <w:pPr>
        <w:pStyle w:val="Normal"/>
        <w:keepNext w:val="true"/>
        <w:spacing w:before="40" w:after="0"/>
        <w:ind w:start="68"/>
        <w:rPr/>
      </w:pPr>
      <w:r>
        <w:rPr>
          <w:b/>
          <w:color w:val="0B3D91"/>
          <w:sz w:val="17"/>
        </w:rPr>
        <w:t>Q3. Quels contenus ou objets sont concernés par « Bibliothèque de documentation publique » ?</w:t>
      </w:r>
    </w:p>
    <w:p>
      <w:pPr>
        <w:pStyle w:val="Normal"/>
        <w:spacing w:before="0" w:after="40"/>
        <w:ind w:start="255"/>
        <w:rPr/>
      </w:pPr>
      <w:r>
        <w:rPr>
          <w:b/>
          <w:color w:val="D4A017"/>
          <w:sz w:val="16"/>
        </w:rPr>
        <w:t xml:space="preserve">Réponse : </w:t>
      </w:r>
      <w:r>
        <w:rPr>
          <w:color w:val="1F2937"/>
          <w:sz w:val="16"/>
        </w:rPr>
        <w:t>Documents publics classés avec leurs métadonnées.</w:t>
      </w:r>
    </w:p>
    <w:p>
      <w:pPr>
        <w:pStyle w:val="Normal"/>
        <w:keepNext w:val="true"/>
        <w:spacing w:before="40" w:after="0"/>
        <w:ind w:start="68"/>
        <w:rPr/>
      </w:pPr>
      <w:r>
        <w:rPr>
          <w:b/>
          <w:color w:val="0B3D91"/>
          <w:sz w:val="17"/>
        </w:rPr>
        <w:t>Q4. Quel acteur intervient dans « Bibliothèque de documentation publique » ?</w:t>
      </w:r>
    </w:p>
    <w:p>
      <w:pPr>
        <w:pStyle w:val="Normal"/>
        <w:spacing w:before="0" w:after="40"/>
        <w:ind w:start="255"/>
        <w:rPr/>
      </w:pPr>
      <w:r>
        <w:rPr>
          <w:b/>
          <w:color w:val="D4A017"/>
          <w:sz w:val="16"/>
        </w:rPr>
        <w:t xml:space="preserve">Réponse : </w:t>
      </w:r>
      <w:r>
        <w:rPr>
          <w:color w:val="1F2937"/>
          <w:sz w:val="16"/>
        </w:rPr>
        <w:t>Le GSE et les propriétaires documentaires assurent la publication et la mise à jour.</w:t>
      </w:r>
    </w:p>
    <w:p>
      <w:pPr>
        <w:pStyle w:val="Normal"/>
        <w:keepNext w:val="true"/>
        <w:spacing w:before="40" w:after="0"/>
        <w:ind w:start="68"/>
        <w:rPr/>
      </w:pPr>
      <w:r>
        <w:rPr>
          <w:b/>
          <w:color w:val="0B3D91"/>
          <w:sz w:val="17"/>
        </w:rPr>
        <w:t>Q5. Comment « Bibliothèque de documentation publique » est-il mis en œuvre selon le texte publié ?</w:t>
      </w:r>
    </w:p>
    <w:p>
      <w:pPr>
        <w:pStyle w:val="Normal"/>
        <w:spacing w:before="0" w:after="40"/>
        <w:ind w:start="255"/>
        <w:rPr/>
      </w:pPr>
      <w:r>
        <w:rPr>
          <w:b/>
          <w:color w:val="D4A017"/>
          <w:sz w:val="16"/>
        </w:rPr>
        <w:t xml:space="preserve">Réponse : </w:t>
      </w:r>
      <w:r>
        <w:rPr>
          <w:color w:val="1F2937"/>
          <w:sz w:val="16"/>
        </w:rPr>
        <w:t>Le visiteur utilise le lien depuis la page de veille pour consulter les références.</w:t>
      </w:r>
    </w:p>
    <w:p>
      <w:pPr>
        <w:pStyle w:val="Normal"/>
        <w:keepNext w:val="true"/>
        <w:spacing w:before="40" w:after="0"/>
        <w:ind w:start="68"/>
        <w:rPr/>
      </w:pPr>
      <w:r>
        <w:rPr>
          <w:b/>
          <w:color w:val="0B3D91"/>
          <w:sz w:val="17"/>
        </w:rPr>
        <w:t>Q6. Quelle trace, référence ou information vérifiable accompagne « Bibliothèque de documentation publique » ?</w:t>
      </w:r>
    </w:p>
    <w:p>
      <w:pPr>
        <w:pStyle w:val="Normal"/>
        <w:spacing w:before="0" w:after="40"/>
        <w:ind w:start="255"/>
        <w:rPr/>
      </w:pPr>
      <w:r>
        <w:rPr>
          <w:b/>
          <w:color w:val="D4A017"/>
          <w:sz w:val="16"/>
        </w:rPr>
        <w:t xml:space="preserve">Réponse : </w:t>
      </w:r>
      <w:r>
        <w:rPr>
          <w:color w:val="1F2937"/>
          <w:sz w:val="16"/>
        </w:rPr>
        <w:t>Chaque ressource publiée porte un code, un statut, une version et un propriétaire.</w:t>
      </w:r>
    </w:p>
    <w:p>
      <w:pPr>
        <w:pStyle w:val="Normal"/>
        <w:keepNext w:val="true"/>
        <w:spacing w:before="40" w:after="0"/>
        <w:ind w:start="68"/>
        <w:rPr/>
      </w:pPr>
      <w:r>
        <w:rPr>
          <w:b/>
          <w:color w:val="0B3D91"/>
          <w:sz w:val="17"/>
        </w:rPr>
        <w:t>Q7. Quelle limite ou précaution est associée à « Bibliothèque de documentation publique » ?</w:t>
      </w:r>
    </w:p>
    <w:p>
      <w:pPr>
        <w:pStyle w:val="Normal"/>
        <w:spacing w:before="0" w:after="40"/>
        <w:ind w:start="255"/>
        <w:rPr/>
      </w:pPr>
      <w:r>
        <w:rPr>
          <w:b/>
          <w:color w:val="D4A017"/>
          <w:sz w:val="16"/>
        </w:rPr>
        <w:t xml:space="preserve">Réponse : </w:t>
      </w:r>
      <w:r>
        <w:rPr>
          <w:color w:val="1F2937"/>
          <w:sz w:val="16"/>
        </w:rPr>
        <w:t>Les dossiers internes et données sensibles n’y sont pas accessibles.</w:t>
      </w:r>
    </w:p>
    <w:p>
      <w:pPr>
        <w:pStyle w:val="Normal"/>
        <w:keepNext w:val="true"/>
        <w:spacing w:before="40" w:after="0"/>
        <w:ind w:start="68"/>
        <w:rPr/>
      </w:pPr>
      <w:r>
        <w:rPr>
          <w:b/>
          <w:color w:val="0B3D91"/>
          <w:sz w:val="17"/>
        </w:rPr>
        <w:t>Q8. À qui « Bibliothèque de documentation publique » est-il utile ou destiné ?</w:t>
      </w:r>
    </w:p>
    <w:p>
      <w:pPr>
        <w:pStyle w:val="Normal"/>
        <w:spacing w:before="0" w:after="40"/>
        <w:ind w:start="255"/>
        <w:rPr/>
      </w:pPr>
      <w:r>
        <w:rPr>
          <w:b/>
          <w:color w:val="D4A017"/>
          <w:sz w:val="16"/>
        </w:rPr>
        <w:t xml:space="preserve">Réponse : </w:t>
      </w:r>
      <w:r>
        <w:rPr>
          <w:color w:val="1F2937"/>
          <w:sz w:val="16"/>
        </w:rPr>
        <w:t>Familles, partenaires, personnels et ÉMINA.</w:t>
      </w:r>
    </w:p>
    <w:p>
      <w:pPr>
        <w:pStyle w:val="Normal"/>
        <w:keepNext w:val="true"/>
        <w:spacing w:before="40" w:after="0"/>
        <w:ind w:start="68"/>
        <w:rPr/>
      </w:pPr>
      <w:r>
        <w:rPr>
          <w:b/>
          <w:color w:val="0B3D91"/>
          <w:sz w:val="17"/>
        </w:rPr>
        <w:t>Q9. À quelles autres rubriques ou fonctions « Bibliothèque de documentation publique » est-il relié ?</w:t>
      </w:r>
    </w:p>
    <w:p>
      <w:pPr>
        <w:pStyle w:val="Normal"/>
        <w:spacing w:before="0" w:after="40"/>
        <w:ind w:start="255"/>
        <w:rPr/>
      </w:pPr>
      <w:r>
        <w:rPr>
          <w:b/>
          <w:color w:val="D4A017"/>
          <w:sz w:val="16"/>
        </w:rPr>
        <w:t xml:space="preserve">Réponse : </w:t>
      </w:r>
      <w:r>
        <w:rPr>
          <w:color w:val="1F2937"/>
          <w:sz w:val="16"/>
        </w:rPr>
        <w:t>La bibliothèque soutient la règle des sources officielles vérifiées.</w:t>
      </w:r>
    </w:p>
    <w:p>
      <w:pPr>
        <w:pStyle w:val="Normal"/>
        <w:keepNext w:val="true"/>
        <w:spacing w:before="40" w:after="0"/>
        <w:ind w:start="68"/>
        <w:rPr/>
      </w:pPr>
      <w:r>
        <w:rPr>
          <w:b/>
          <w:color w:val="0B3D91"/>
          <w:sz w:val="17"/>
        </w:rPr>
        <w:t>Q10. Quelle idée essentielle faut-il retenir de « Bibliothèque de documentation publique » ?</w:t>
      </w:r>
    </w:p>
    <w:p>
      <w:pPr>
        <w:pStyle w:val="Normal"/>
        <w:spacing w:before="0" w:after="40"/>
        <w:ind w:start="255"/>
        <w:rPr/>
      </w:pPr>
      <w:r>
        <w:rPr>
          <w:b/>
          <w:color w:val="D4A017"/>
          <w:sz w:val="16"/>
        </w:rPr>
        <w:t xml:space="preserve">Réponse : </w:t>
      </w:r>
      <w:r>
        <w:rPr>
          <w:color w:val="1F2937"/>
          <w:sz w:val="16"/>
        </w:rPr>
        <w:t>Le lecteur peut remonter de l’analyse de veille vers la source institutionnelle approuvée.</w:t>
      </w:r>
    </w:p>
    <w:p>
      <w:pPr>
        <w:pStyle w:val="Normal"/>
        <w:rPr/>
      </w:pPr>
      <w:r>
        <w:rPr/>
      </w:r>
      <w:r>
        <w:br w:type="page"/>
      </w:r>
    </w:p>
    <w:p>
      <w:pPr>
        <w:pStyle w:val="Heading2"/>
        <w:spacing w:before="0" w:after="80"/>
        <w:rPr/>
      </w:pPr>
      <w:r>
        <w:rPr/>
        <w:t>FICHE 26 — Veille officielle et système d’alerte gradué — GSE-PUB-VEI-001</w:t>
      </w:r>
    </w:p>
    <w:p>
      <w:pPr>
        <w:pStyle w:val="Normal"/>
        <w:spacing w:before="20" w:after="80"/>
        <w:rPr/>
      </w:pPr>
      <w:r>
        <w:rPr>
          <w:b/>
          <w:color w:val="0B3D91"/>
          <w:sz w:val="16"/>
        </w:rPr>
        <w:t xml:space="preserve">Source contrôlée : </w:t>
      </w:r>
      <w:r>
        <w:rPr>
          <w:color w:val="555555"/>
          <w:sz w:val="16"/>
        </w:rPr>
        <w:t>Fiche de Documentation publique — https://test.gsleseminents.com/documentation/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bibliothèque publique identifie la ressource « Veille officielle et système d’alerte gradué » par le code GSE-PUB-VEI-001.</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documentaire formalise la page de veille comme source publique approuvée.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rend la ressource identifiable, versionnée et attribuée à un propriétaire.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la page Veille officielle, Direction, DAQAC et Documentation publique.</w:t>
            </w:r>
          </w:p>
        </w:tc>
      </w:tr>
    </w:tbl>
    <w:p>
      <w:pPr>
        <w:pStyle w:val="Heading3"/>
        <w:rPr/>
      </w:pPr>
      <w:r>
        <w:rPr/>
        <w:t>Points développés</w:t>
      </w:r>
    </w:p>
    <w:p>
      <w:pPr>
        <w:pStyle w:val="ListBullet"/>
        <w:numPr>
          <w:ilvl w:val="0"/>
          <w:numId w:val="1"/>
        </w:numPr>
        <w:spacing w:before="0" w:after="20"/>
        <w:ind w:hanging="360" w:start="255"/>
        <w:contextualSpacing/>
        <w:rPr/>
      </w:pPr>
      <w:r>
        <w:rPr>
          <w:sz w:val="17"/>
        </w:rPr>
        <w:t>Code GSE-PUB-VEI-001</w:t>
      </w:r>
    </w:p>
    <w:p>
      <w:pPr>
        <w:pStyle w:val="ListBullet"/>
        <w:numPr>
          <w:ilvl w:val="0"/>
          <w:numId w:val="1"/>
        </w:numPr>
        <w:spacing w:before="0" w:after="20"/>
        <w:ind w:hanging="360" w:start="255"/>
        <w:contextualSpacing/>
        <w:rPr/>
      </w:pPr>
      <w:r>
        <w:rPr>
          <w:sz w:val="17"/>
        </w:rPr>
        <w:t>Système d’alerte gradué</w:t>
      </w:r>
    </w:p>
    <w:p>
      <w:pPr>
        <w:pStyle w:val="ListBullet"/>
        <w:numPr>
          <w:ilvl w:val="0"/>
          <w:numId w:val="1"/>
        </w:numPr>
        <w:spacing w:before="0" w:after="20"/>
        <w:ind w:hanging="360" w:start="255"/>
        <w:contextualSpacing/>
        <w:rPr/>
      </w:pPr>
      <w:r>
        <w:rPr>
          <w:sz w:val="17"/>
        </w:rPr>
        <w:t>Version 1.0</w:t>
      </w:r>
    </w:p>
    <w:p>
      <w:pPr>
        <w:pStyle w:val="ListBullet"/>
        <w:numPr>
          <w:ilvl w:val="0"/>
          <w:numId w:val="1"/>
        </w:numPr>
        <w:spacing w:before="0" w:after="20"/>
        <w:ind w:hanging="360" w:start="255"/>
        <w:contextualSpacing/>
        <w:rPr/>
      </w:pPr>
      <w:r>
        <w:rPr>
          <w:sz w:val="17"/>
        </w:rPr>
        <w:t>Source publique approuvée</w:t>
      </w:r>
    </w:p>
    <w:p>
      <w:pPr>
        <w:pStyle w:val="Heading3"/>
        <w:rPr/>
      </w:pPr>
      <w:r>
        <w:rPr/>
        <w:t>Banque de questions-réponses</w:t>
      </w:r>
    </w:p>
    <w:p>
      <w:pPr>
        <w:pStyle w:val="Normal"/>
        <w:keepNext w:val="true"/>
        <w:spacing w:before="40" w:after="0"/>
        <w:ind w:start="68"/>
        <w:rPr/>
      </w:pPr>
      <w:r>
        <w:rPr>
          <w:b/>
          <w:color w:val="0B3D91"/>
          <w:sz w:val="17"/>
        </w:rPr>
        <w:t>Q1. Que signifie ou présente « Veille officielle et système d’alerte gradué — GSE-PUB-VEI-001 » ?</w:t>
      </w:r>
    </w:p>
    <w:p>
      <w:pPr>
        <w:pStyle w:val="Normal"/>
        <w:spacing w:before="0" w:after="40"/>
        <w:ind w:start="255"/>
        <w:rPr/>
      </w:pPr>
      <w:r>
        <w:rPr>
          <w:b/>
          <w:color w:val="D4A017"/>
          <w:sz w:val="16"/>
        </w:rPr>
        <w:t xml:space="preserve">Réponse : </w:t>
      </w:r>
      <w:r>
        <w:rPr>
          <w:color w:val="1F2937"/>
          <w:sz w:val="16"/>
        </w:rPr>
        <w:t>GSE-PUB-VEI-001 est le code public de la ressource consacrée à la veille officielle et aux alertes graduées.</w:t>
      </w:r>
    </w:p>
    <w:p>
      <w:pPr>
        <w:pStyle w:val="Normal"/>
        <w:keepNext w:val="true"/>
        <w:spacing w:before="40" w:after="0"/>
        <w:ind w:start="68"/>
        <w:rPr/>
      </w:pPr>
      <w:r>
        <w:rPr>
          <w:b/>
          <w:color w:val="0B3D91"/>
          <w:sz w:val="17"/>
        </w:rPr>
        <w:t>Q2. Pourquoi « Veille officielle et système d’alerte gradué — GSE-PUB-VEI-001 » figure-t-il dans la page de veille officielle ?</w:t>
      </w:r>
    </w:p>
    <w:p>
      <w:pPr>
        <w:pStyle w:val="Normal"/>
        <w:spacing w:before="0" w:after="40"/>
        <w:ind w:start="255"/>
        <w:rPr/>
      </w:pPr>
      <w:r>
        <w:rPr>
          <w:b/>
          <w:color w:val="D4A017"/>
          <w:sz w:val="16"/>
        </w:rPr>
        <w:t xml:space="preserve">Réponse : </w:t>
      </w:r>
      <w:r>
        <w:rPr>
          <w:color w:val="1F2937"/>
          <w:sz w:val="16"/>
        </w:rPr>
        <w:t>Identifier sans ambiguïté la source publique de référence sur la veille.</w:t>
      </w:r>
    </w:p>
    <w:p>
      <w:pPr>
        <w:pStyle w:val="Normal"/>
        <w:keepNext w:val="true"/>
        <w:spacing w:before="40" w:after="0"/>
        <w:ind w:start="68"/>
        <w:rPr/>
      </w:pPr>
      <w:r>
        <w:rPr>
          <w:b/>
          <w:color w:val="0B3D91"/>
          <w:sz w:val="17"/>
        </w:rPr>
        <w:t>Q3. Quels contenus ou objets sont concernés par « Veille officielle et système d’alerte gradué — GSE-PUB-VEI-001 » ?</w:t>
      </w:r>
    </w:p>
    <w:p>
      <w:pPr>
        <w:pStyle w:val="Normal"/>
        <w:spacing w:before="0" w:after="40"/>
        <w:ind w:start="255"/>
        <w:rPr/>
      </w:pPr>
      <w:r>
        <w:rPr>
          <w:b/>
          <w:color w:val="D4A017"/>
          <w:sz w:val="16"/>
        </w:rPr>
        <w:t xml:space="preserve">Réponse : </w:t>
      </w:r>
      <w:r>
        <w:rPr>
          <w:color w:val="1F2937"/>
          <w:sz w:val="16"/>
        </w:rPr>
        <w:t>Sources institutionnelles, analyse d’impact, alertes graduées et validation humaine.</w:t>
      </w:r>
    </w:p>
    <w:p>
      <w:pPr>
        <w:pStyle w:val="Normal"/>
        <w:keepNext w:val="true"/>
        <w:spacing w:before="40" w:after="0"/>
        <w:ind w:start="68"/>
        <w:rPr/>
      </w:pPr>
      <w:r>
        <w:rPr>
          <w:b/>
          <w:color w:val="0B3D91"/>
          <w:sz w:val="17"/>
        </w:rPr>
        <w:t>Q4. Quel acteur intervient dans « Veille officielle et système d’alerte gradué — GSE-PUB-VEI-001 » ?</w:t>
      </w:r>
    </w:p>
    <w:p>
      <w:pPr>
        <w:pStyle w:val="Normal"/>
        <w:spacing w:before="0" w:after="40"/>
        <w:ind w:start="255"/>
        <w:rPr/>
      </w:pPr>
      <w:r>
        <w:rPr>
          <w:b/>
          <w:color w:val="D4A017"/>
          <w:sz w:val="16"/>
        </w:rPr>
        <w:t xml:space="preserve">Réponse : </w:t>
      </w:r>
      <w:r>
        <w:rPr>
          <w:color w:val="1F2937"/>
          <w:sz w:val="16"/>
        </w:rPr>
        <w:t>La fiche indique comme propriétaire « Direction / DAQAC ».</w:t>
      </w:r>
    </w:p>
    <w:p>
      <w:pPr>
        <w:pStyle w:val="Normal"/>
        <w:keepNext w:val="true"/>
        <w:spacing w:before="40" w:after="0"/>
        <w:ind w:start="68"/>
        <w:rPr/>
      </w:pPr>
      <w:r>
        <w:rPr>
          <w:b/>
          <w:color w:val="0B3D91"/>
          <w:sz w:val="17"/>
        </w:rPr>
        <w:t>Q5. Comment « Veille officielle et système d’alerte gradué — GSE-PUB-VEI-001 » est-il mis en œuvre selon le texte publié ?</w:t>
      </w:r>
    </w:p>
    <w:p>
      <w:pPr>
        <w:pStyle w:val="Normal"/>
        <w:spacing w:before="0" w:after="40"/>
        <w:ind w:start="255"/>
        <w:rPr/>
      </w:pPr>
      <w:r>
        <w:rPr>
          <w:b/>
          <w:color w:val="D4A017"/>
          <w:sz w:val="16"/>
        </w:rPr>
        <w:t xml:space="preserve">Réponse : </w:t>
      </w:r>
      <w:r>
        <w:rPr>
          <w:color w:val="1F2937"/>
          <w:sz w:val="16"/>
        </w:rPr>
        <w:t>La ressource est publiée dans la bibliothèque et renvoie à la page de veille.</w:t>
      </w:r>
    </w:p>
    <w:p>
      <w:pPr>
        <w:pStyle w:val="Normal"/>
        <w:keepNext w:val="true"/>
        <w:spacing w:before="40" w:after="0"/>
        <w:ind w:start="68"/>
        <w:rPr/>
      </w:pPr>
      <w:r>
        <w:rPr>
          <w:b/>
          <w:color w:val="0B3D91"/>
          <w:sz w:val="17"/>
        </w:rPr>
        <w:t>Q6. Quelle trace, référence ou information vérifiable accompagne « Veille officielle et système d’alerte gradué — GSE-PUB-VEI-001 » ?</w:t>
      </w:r>
    </w:p>
    <w:p>
      <w:pPr>
        <w:pStyle w:val="Normal"/>
        <w:spacing w:before="0" w:after="40"/>
        <w:ind w:start="255"/>
        <w:rPr/>
      </w:pPr>
      <w:r>
        <w:rPr>
          <w:b/>
          <w:color w:val="D4A017"/>
          <w:sz w:val="16"/>
        </w:rPr>
        <w:t xml:space="preserve">Réponse : </w:t>
      </w:r>
      <w:r>
        <w:rPr>
          <w:color w:val="1F2937"/>
          <w:sz w:val="16"/>
        </w:rPr>
        <w:t>Code GSE-PUB-VEI-001, version 1.0, statut Publié, propriétaire et langues FR/EN.</w:t>
      </w:r>
    </w:p>
    <w:p>
      <w:pPr>
        <w:pStyle w:val="Normal"/>
        <w:keepNext w:val="true"/>
        <w:spacing w:before="40" w:after="0"/>
        <w:ind w:start="68"/>
        <w:rPr/>
      </w:pPr>
      <w:r>
        <w:rPr>
          <w:b/>
          <w:color w:val="0B3D91"/>
          <w:sz w:val="17"/>
        </w:rPr>
        <w:t>Q7. Quelle limite ou précaution est associée à « Veille officielle et système d’alerte gradué — GSE-PUB-VEI-001 » ?</w:t>
      </w:r>
    </w:p>
    <w:p>
      <w:pPr>
        <w:pStyle w:val="Normal"/>
        <w:spacing w:before="0" w:after="40"/>
        <w:ind w:start="255"/>
        <w:rPr/>
      </w:pPr>
      <w:r>
        <w:rPr>
          <w:b/>
          <w:color w:val="D4A017"/>
          <w:sz w:val="16"/>
        </w:rPr>
        <w:t xml:space="preserve">Réponse : </w:t>
      </w:r>
      <w:r>
        <w:rPr>
          <w:color w:val="1F2937"/>
          <w:sz w:val="16"/>
        </w:rPr>
        <w:t>Le code documentaire ne remplace pas les validations humaines prévues par le contenu.</w:t>
      </w:r>
    </w:p>
    <w:p>
      <w:pPr>
        <w:pStyle w:val="Normal"/>
        <w:keepNext w:val="true"/>
        <w:spacing w:before="40" w:after="0"/>
        <w:ind w:start="68"/>
        <w:rPr/>
      </w:pPr>
      <w:r>
        <w:rPr>
          <w:b/>
          <w:color w:val="0B3D91"/>
          <w:sz w:val="17"/>
        </w:rPr>
        <w:t>Q8. À qui « Veille officielle et système d’alerte gradué — GSE-PUB-VEI-001 » est-il utile ou destiné ?</w:t>
      </w:r>
    </w:p>
    <w:p>
      <w:pPr>
        <w:pStyle w:val="Normal"/>
        <w:spacing w:before="0" w:after="40"/>
        <w:ind w:start="255"/>
        <w:rPr/>
      </w:pPr>
      <w:r>
        <w:rPr>
          <w:b/>
          <w:color w:val="D4A017"/>
          <w:sz w:val="16"/>
        </w:rPr>
        <w:t xml:space="preserve">Réponse : </w:t>
      </w:r>
      <w:r>
        <w:rPr>
          <w:color w:val="1F2937"/>
          <w:sz w:val="16"/>
        </w:rPr>
        <w:t>Public, ÉMINA, Direction, DAQAC et départements.</w:t>
      </w:r>
    </w:p>
    <w:p>
      <w:pPr>
        <w:pStyle w:val="Normal"/>
        <w:keepNext w:val="true"/>
        <w:spacing w:before="40" w:after="0"/>
        <w:ind w:start="68"/>
        <w:rPr/>
      </w:pPr>
      <w:r>
        <w:rPr>
          <w:b/>
          <w:color w:val="0B3D91"/>
          <w:sz w:val="17"/>
        </w:rPr>
        <w:t>Q9. À quelles autres rubriques ou fonctions « Veille officielle et système d’alerte gradué — GSE-PUB-VEI-001 » est-il relié ?</w:t>
      </w:r>
    </w:p>
    <w:p>
      <w:pPr>
        <w:pStyle w:val="Normal"/>
        <w:spacing w:before="0" w:after="40"/>
        <w:ind w:start="255"/>
        <w:rPr/>
      </w:pPr>
      <w:r>
        <w:rPr>
          <w:b/>
          <w:color w:val="D4A017"/>
          <w:sz w:val="16"/>
        </w:rPr>
        <w:t xml:space="preserve">Réponse : </w:t>
      </w:r>
      <w:r>
        <w:rPr>
          <w:color w:val="1F2937"/>
          <w:sz w:val="16"/>
        </w:rPr>
        <w:t>La fiche relie la page de veille à la gouvernance documentaire du GSE.</w:t>
      </w:r>
    </w:p>
    <w:p>
      <w:pPr>
        <w:pStyle w:val="Normal"/>
        <w:keepNext w:val="true"/>
        <w:spacing w:before="40" w:after="0"/>
        <w:ind w:start="68"/>
        <w:rPr/>
      </w:pPr>
      <w:r>
        <w:rPr>
          <w:b/>
          <w:color w:val="0B3D91"/>
          <w:sz w:val="17"/>
        </w:rPr>
        <w:t>Q10. Quelle idée essentielle faut-il retenir de « Veille officielle et système d’alerte gradué — GSE-PUB-VEI-001 » ?</w:t>
      </w:r>
    </w:p>
    <w:p>
      <w:pPr>
        <w:pStyle w:val="Normal"/>
        <w:spacing w:before="0" w:after="40"/>
        <w:ind w:start="255"/>
        <w:rPr/>
      </w:pPr>
      <w:r>
        <w:rPr>
          <w:b/>
          <w:color w:val="D4A017"/>
          <w:sz w:val="16"/>
        </w:rPr>
        <w:t xml:space="preserve">Réponse : </w:t>
      </w:r>
      <w:r>
        <w:rPr>
          <w:color w:val="1F2937"/>
          <w:sz w:val="16"/>
        </w:rPr>
        <w:t>La veille officielle possède une référence publique précise et versionnée.</w:t>
      </w:r>
    </w:p>
    <w:p>
      <w:pPr>
        <w:pStyle w:val="Normal"/>
        <w:rPr/>
      </w:pPr>
      <w:r>
        <w:rPr/>
      </w:r>
      <w:r>
        <w:br w:type="page"/>
      </w:r>
    </w:p>
    <w:p>
      <w:pPr>
        <w:pStyle w:val="Heading2"/>
        <w:spacing w:before="0" w:after="80"/>
        <w:rPr/>
      </w:pPr>
      <w:r>
        <w:rPr/>
        <w:t>FICHE 27 — Statut, version, propriétaire et langues de la ressource</w:t>
      </w:r>
    </w:p>
    <w:p>
      <w:pPr>
        <w:pStyle w:val="Normal"/>
        <w:spacing w:before="20" w:after="80"/>
        <w:rPr/>
      </w:pPr>
      <w:r>
        <w:rPr>
          <w:b/>
          <w:color w:val="0B3D91"/>
          <w:sz w:val="16"/>
        </w:rPr>
        <w:t xml:space="preserve">Source contrôlée : </w:t>
      </w:r>
      <w:r>
        <w:rPr>
          <w:color w:val="555555"/>
          <w:sz w:val="16"/>
        </w:rPr>
        <w:t>Fiche de Documentation publique — https://test.gsleseminents.com/documentation/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fiche de la veille indique : statut Publié, version 1.0, propriétaire Direction / DAQAC et langues FR / EN.</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rassemble les métadonnées qui permettent d’identifier la ressource active et responsable.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Ces informations facilitent la traçabilité, la maintenance et l’usage correct par ÉMINA et le public.</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gestion documentaire, contrôle des versions et responsabilité institutionnelle.</w:t>
            </w:r>
          </w:p>
        </w:tc>
      </w:tr>
    </w:tbl>
    <w:p>
      <w:pPr>
        <w:pStyle w:val="Heading3"/>
        <w:rPr/>
      </w:pPr>
      <w:r>
        <w:rPr/>
        <w:t>Points développés</w:t>
      </w:r>
    </w:p>
    <w:p>
      <w:pPr>
        <w:pStyle w:val="ListBullet"/>
        <w:numPr>
          <w:ilvl w:val="0"/>
          <w:numId w:val="1"/>
        </w:numPr>
        <w:spacing w:before="0" w:after="20"/>
        <w:ind w:hanging="360" w:start="255"/>
        <w:contextualSpacing/>
        <w:rPr/>
      </w:pPr>
      <w:r>
        <w:rPr>
          <w:sz w:val="17"/>
        </w:rPr>
        <w:t>Publié</w:t>
      </w:r>
    </w:p>
    <w:p>
      <w:pPr>
        <w:pStyle w:val="ListBullet"/>
        <w:numPr>
          <w:ilvl w:val="0"/>
          <w:numId w:val="1"/>
        </w:numPr>
        <w:spacing w:before="0" w:after="20"/>
        <w:ind w:hanging="360" w:start="255"/>
        <w:contextualSpacing/>
        <w:rPr/>
      </w:pPr>
      <w:r>
        <w:rPr>
          <w:sz w:val="17"/>
        </w:rPr>
        <w:t>Version 1.0</w:t>
      </w:r>
    </w:p>
    <w:p>
      <w:pPr>
        <w:pStyle w:val="ListBullet"/>
        <w:numPr>
          <w:ilvl w:val="0"/>
          <w:numId w:val="1"/>
        </w:numPr>
        <w:spacing w:before="0" w:after="20"/>
        <w:ind w:hanging="360" w:start="255"/>
        <w:contextualSpacing/>
        <w:rPr/>
      </w:pPr>
      <w:r>
        <w:rPr>
          <w:sz w:val="17"/>
        </w:rPr>
        <w:t>Direction / DAQAC</w:t>
      </w:r>
    </w:p>
    <w:p>
      <w:pPr>
        <w:pStyle w:val="ListBullet"/>
        <w:numPr>
          <w:ilvl w:val="0"/>
          <w:numId w:val="1"/>
        </w:numPr>
        <w:spacing w:before="0" w:after="20"/>
        <w:ind w:hanging="360" w:start="255"/>
        <w:contextualSpacing/>
        <w:rPr/>
      </w:pPr>
      <w:r>
        <w:rPr>
          <w:sz w:val="17"/>
        </w:rPr>
        <w:t>FR / EN</w:t>
      </w:r>
    </w:p>
    <w:p>
      <w:pPr>
        <w:pStyle w:val="Heading3"/>
        <w:rPr/>
      </w:pPr>
      <w:r>
        <w:rPr/>
        <w:t>Banque de questions-réponses</w:t>
      </w:r>
    </w:p>
    <w:p>
      <w:pPr>
        <w:pStyle w:val="Normal"/>
        <w:keepNext w:val="true"/>
        <w:spacing w:before="40" w:after="0"/>
        <w:ind w:start="68"/>
        <w:rPr/>
      </w:pPr>
      <w:r>
        <w:rPr>
          <w:b/>
          <w:color w:val="0B3D91"/>
          <w:sz w:val="17"/>
        </w:rPr>
        <w:t>Q1. Que signifie ou présente « Statut, version, propriétaire et langues de la ressource » ?</w:t>
      </w:r>
    </w:p>
    <w:p>
      <w:pPr>
        <w:pStyle w:val="Normal"/>
        <w:spacing w:before="0" w:after="40"/>
        <w:ind w:start="255"/>
        <w:rPr/>
      </w:pPr>
      <w:r>
        <w:rPr>
          <w:b/>
          <w:color w:val="D4A017"/>
          <w:sz w:val="16"/>
        </w:rPr>
        <w:t xml:space="preserve">Réponse : </w:t>
      </w:r>
      <w:r>
        <w:rPr>
          <w:color w:val="1F2937"/>
          <w:sz w:val="16"/>
        </w:rPr>
        <w:t>Les métadonnées décrivent l’état, l’édition, le responsable et les langues disponibles de la ressource.</w:t>
      </w:r>
    </w:p>
    <w:p>
      <w:pPr>
        <w:pStyle w:val="Normal"/>
        <w:keepNext w:val="true"/>
        <w:spacing w:before="40" w:after="0"/>
        <w:ind w:start="68"/>
        <w:rPr/>
      </w:pPr>
      <w:r>
        <w:rPr>
          <w:b/>
          <w:color w:val="0B3D91"/>
          <w:sz w:val="17"/>
        </w:rPr>
        <w:t>Q2. Pourquoi « Statut, version, propriétaire et langues de la ressource » figure-t-il dans la page de veille officielle ?</w:t>
      </w:r>
    </w:p>
    <w:p>
      <w:pPr>
        <w:pStyle w:val="Normal"/>
        <w:spacing w:before="0" w:after="40"/>
        <w:ind w:start="255"/>
        <w:rPr/>
      </w:pPr>
      <w:r>
        <w:rPr>
          <w:b/>
          <w:color w:val="D4A017"/>
          <w:sz w:val="16"/>
        </w:rPr>
        <w:t xml:space="preserve">Réponse : </w:t>
      </w:r>
      <w:r>
        <w:rPr>
          <w:color w:val="1F2937"/>
          <w:sz w:val="16"/>
        </w:rPr>
        <w:t>Éviter l’utilisation d’une version inconnue, ancienne ou sans propriétaire.</w:t>
      </w:r>
    </w:p>
    <w:p>
      <w:pPr>
        <w:pStyle w:val="Normal"/>
        <w:keepNext w:val="true"/>
        <w:spacing w:before="40" w:after="0"/>
        <w:ind w:start="68"/>
        <w:rPr/>
      </w:pPr>
      <w:r>
        <w:rPr>
          <w:b/>
          <w:color w:val="0B3D91"/>
          <w:sz w:val="17"/>
        </w:rPr>
        <w:t>Q3. Quels contenus ou objets sont concernés par « Statut, version, propriétaire et langues de la ressource » ?</w:t>
      </w:r>
    </w:p>
    <w:p>
      <w:pPr>
        <w:pStyle w:val="Normal"/>
        <w:spacing w:before="0" w:after="40"/>
        <w:ind w:start="255"/>
        <w:rPr/>
      </w:pPr>
      <w:r>
        <w:rPr>
          <w:b/>
          <w:color w:val="D4A017"/>
          <w:sz w:val="16"/>
        </w:rPr>
        <w:t xml:space="preserve">Réponse : </w:t>
      </w:r>
      <w:r>
        <w:rPr>
          <w:color w:val="1F2937"/>
          <w:sz w:val="16"/>
        </w:rPr>
        <w:t>Statut Publié, version 1.0, Direction / DAQAC, FR / EN.</w:t>
      </w:r>
    </w:p>
    <w:p>
      <w:pPr>
        <w:pStyle w:val="Normal"/>
        <w:keepNext w:val="true"/>
        <w:spacing w:before="40" w:after="0"/>
        <w:ind w:start="68"/>
        <w:rPr/>
      </w:pPr>
      <w:r>
        <w:rPr>
          <w:b/>
          <w:color w:val="0B3D91"/>
          <w:sz w:val="17"/>
        </w:rPr>
        <w:t>Q4. Quel acteur intervient dans « Statut, version, propriétaire et langues de la ressource » ?</w:t>
      </w:r>
    </w:p>
    <w:p>
      <w:pPr>
        <w:pStyle w:val="Normal"/>
        <w:spacing w:before="0" w:after="40"/>
        <w:ind w:start="255"/>
        <w:rPr/>
      </w:pPr>
      <w:r>
        <w:rPr>
          <w:b/>
          <w:color w:val="D4A017"/>
          <w:sz w:val="16"/>
        </w:rPr>
        <w:t xml:space="preserve">Réponse : </w:t>
      </w:r>
      <w:r>
        <w:rPr>
          <w:color w:val="1F2937"/>
          <w:sz w:val="16"/>
        </w:rPr>
        <w:t>La Direction et le DAQAC sont identifiés comme propriétaires de la ressource.</w:t>
      </w:r>
    </w:p>
    <w:p>
      <w:pPr>
        <w:pStyle w:val="Normal"/>
        <w:keepNext w:val="true"/>
        <w:spacing w:before="40" w:after="0"/>
        <w:ind w:start="68"/>
        <w:rPr/>
      </w:pPr>
      <w:r>
        <w:rPr>
          <w:b/>
          <w:color w:val="0B3D91"/>
          <w:sz w:val="17"/>
        </w:rPr>
        <w:t>Q5. Comment « Statut, version, propriétaire et langues de la ressource » est-il mis en œuvre selon le texte publié ?</w:t>
      </w:r>
    </w:p>
    <w:p>
      <w:pPr>
        <w:pStyle w:val="Normal"/>
        <w:spacing w:before="0" w:after="40"/>
        <w:ind w:start="255"/>
        <w:rPr/>
      </w:pPr>
      <w:r>
        <w:rPr>
          <w:b/>
          <w:color w:val="D4A017"/>
          <w:sz w:val="16"/>
        </w:rPr>
        <w:t xml:space="preserve">Réponse : </w:t>
      </w:r>
      <w:r>
        <w:rPr>
          <w:color w:val="1F2937"/>
          <w:sz w:val="16"/>
        </w:rPr>
        <w:t>La bibliothèque affiche les métadonnées avec le lien vers la source approuvée.</w:t>
      </w:r>
    </w:p>
    <w:p>
      <w:pPr>
        <w:pStyle w:val="Normal"/>
        <w:keepNext w:val="true"/>
        <w:spacing w:before="40" w:after="0"/>
        <w:ind w:start="68"/>
        <w:rPr/>
      </w:pPr>
      <w:r>
        <w:rPr>
          <w:b/>
          <w:color w:val="0B3D91"/>
          <w:sz w:val="17"/>
        </w:rPr>
        <w:t>Q6. Quelle trace, référence ou information vérifiable accompagne « Statut, version, propriétaire et langues de la ressource » ?</w:t>
      </w:r>
    </w:p>
    <w:p>
      <w:pPr>
        <w:pStyle w:val="Normal"/>
        <w:spacing w:before="0" w:after="40"/>
        <w:ind w:start="255"/>
        <w:rPr/>
      </w:pPr>
      <w:r>
        <w:rPr>
          <w:b/>
          <w:color w:val="D4A017"/>
          <w:sz w:val="16"/>
        </w:rPr>
        <w:t xml:space="preserve">Réponse : </w:t>
      </w:r>
      <w:r>
        <w:rPr>
          <w:color w:val="1F2937"/>
          <w:sz w:val="16"/>
        </w:rPr>
        <w:t>Ces quatre champs constituent une trace publique de gouvernance documentaire.</w:t>
      </w:r>
    </w:p>
    <w:p>
      <w:pPr>
        <w:pStyle w:val="Normal"/>
        <w:keepNext w:val="true"/>
        <w:spacing w:before="40" w:after="0"/>
        <w:ind w:start="68"/>
        <w:rPr/>
      </w:pPr>
      <w:r>
        <w:rPr>
          <w:b/>
          <w:color w:val="0B3D91"/>
          <w:sz w:val="17"/>
        </w:rPr>
        <w:t>Q7. Quelle limite ou précaution est associée à « Statut, version, propriétaire et langues de la ressource » ?</w:t>
      </w:r>
    </w:p>
    <w:p>
      <w:pPr>
        <w:pStyle w:val="Normal"/>
        <w:spacing w:before="0" w:after="40"/>
        <w:ind w:start="255"/>
        <w:rPr/>
      </w:pPr>
      <w:r>
        <w:rPr>
          <w:b/>
          <w:color w:val="D4A017"/>
          <w:sz w:val="16"/>
        </w:rPr>
        <w:t xml:space="preserve">Réponse : </w:t>
      </w:r>
      <w:r>
        <w:rPr>
          <w:color w:val="1F2937"/>
          <w:sz w:val="16"/>
        </w:rPr>
        <w:t>Une métadonnée n’autorise pas à inventer des langues ou versions non publiées.</w:t>
      </w:r>
    </w:p>
    <w:p>
      <w:pPr>
        <w:pStyle w:val="Normal"/>
        <w:keepNext w:val="true"/>
        <w:spacing w:before="40" w:after="0"/>
        <w:ind w:start="68"/>
        <w:rPr/>
      </w:pPr>
      <w:r>
        <w:rPr>
          <w:b/>
          <w:color w:val="0B3D91"/>
          <w:sz w:val="17"/>
        </w:rPr>
        <w:t>Q8. À qui « Statut, version, propriétaire et langues de la ressource » est-il utile ou destiné ?</w:t>
      </w:r>
    </w:p>
    <w:p>
      <w:pPr>
        <w:pStyle w:val="Normal"/>
        <w:spacing w:before="0" w:after="40"/>
        <w:ind w:start="255"/>
        <w:rPr/>
      </w:pPr>
      <w:r>
        <w:rPr>
          <w:b/>
          <w:color w:val="D4A017"/>
          <w:sz w:val="16"/>
        </w:rPr>
        <w:t xml:space="preserve">Réponse : </w:t>
      </w:r>
      <w:r>
        <w:rPr>
          <w:color w:val="1F2937"/>
          <w:sz w:val="16"/>
        </w:rPr>
        <w:t>Lecteurs, administrateurs du site, ÉMINA et responsables documentaires.</w:t>
      </w:r>
    </w:p>
    <w:p>
      <w:pPr>
        <w:pStyle w:val="Normal"/>
        <w:keepNext w:val="true"/>
        <w:spacing w:before="40" w:after="0"/>
        <w:ind w:start="68"/>
        <w:rPr/>
      </w:pPr>
      <w:r>
        <w:rPr>
          <w:b/>
          <w:color w:val="0B3D91"/>
          <w:sz w:val="17"/>
        </w:rPr>
        <w:t>Q9. À quelles autres rubriques ou fonctions « Statut, version, propriétaire et langues de la ressource » est-il relié ?</w:t>
      </w:r>
    </w:p>
    <w:p>
      <w:pPr>
        <w:pStyle w:val="Normal"/>
        <w:spacing w:before="0" w:after="40"/>
        <w:ind w:start="255"/>
        <w:rPr/>
      </w:pPr>
      <w:r>
        <w:rPr>
          <w:b/>
          <w:color w:val="D4A017"/>
          <w:sz w:val="16"/>
        </w:rPr>
        <w:t xml:space="preserve">Réponse : </w:t>
      </w:r>
      <w:r>
        <w:rPr>
          <w:color w:val="1F2937"/>
          <w:sz w:val="16"/>
        </w:rPr>
        <w:t>Ces données relient la veille à la documentation publique et à l’assurance qualité.</w:t>
      </w:r>
    </w:p>
    <w:p>
      <w:pPr>
        <w:pStyle w:val="Normal"/>
        <w:keepNext w:val="true"/>
        <w:spacing w:before="40" w:after="0"/>
        <w:ind w:start="68"/>
        <w:rPr/>
      </w:pPr>
      <w:r>
        <w:rPr>
          <w:b/>
          <w:color w:val="0B3D91"/>
          <w:sz w:val="17"/>
        </w:rPr>
        <w:t>Q10. Quelle idée essentielle faut-il retenir de « Statut, version, propriétaire et langues de la ressource » ?</w:t>
      </w:r>
    </w:p>
    <w:p>
      <w:pPr>
        <w:pStyle w:val="Normal"/>
        <w:spacing w:before="0" w:after="40"/>
        <w:ind w:start="255"/>
        <w:rPr/>
      </w:pPr>
      <w:r>
        <w:rPr>
          <w:b/>
          <w:color w:val="D4A017"/>
          <w:sz w:val="16"/>
        </w:rPr>
        <w:t xml:space="preserve">Réponse : </w:t>
      </w:r>
      <w:r>
        <w:rPr>
          <w:color w:val="1F2937"/>
          <w:sz w:val="16"/>
        </w:rPr>
        <w:t>Une source fiable doit être identifiable par son statut, sa version, son propriétaire et sa langue.</w:t>
      </w:r>
    </w:p>
    <w:p>
      <w:pPr>
        <w:pStyle w:val="Normal"/>
        <w:rPr/>
      </w:pPr>
      <w:r>
        <w:rPr/>
      </w:r>
      <w:r>
        <w:br w:type="page"/>
      </w:r>
    </w:p>
    <w:p>
      <w:pPr>
        <w:pStyle w:val="Normal"/>
        <w:spacing w:before="0" w:after="60"/>
        <w:jc w:val="center"/>
        <w:rPr/>
      </w:pPr>
      <w:r>
        <w:rPr>
          <w:b/>
          <w:color w:val="D4A017"/>
          <w:sz w:val="28"/>
        </w:rPr>
        <w:t>PARTIE V</w:t>
      </w:r>
    </w:p>
    <w:p>
      <w:pPr>
        <w:pStyle w:val="Normal"/>
        <w:jc w:val="center"/>
        <w:rPr/>
      </w:pPr>
      <w:r>
        <w:rPr>
          <w:b/>
          <w:color w:val="0B3D91"/>
          <w:sz w:val="42"/>
        </w:rPr>
        <w:t>INTÉGRATION INSTITUTIONNELLE ET USAGES</w:t>
      </w:r>
    </w:p>
    <w:p>
      <w:pPr>
        <w:pStyle w:val="Normal"/>
        <w:jc w:val="center"/>
        <w:rPr/>
      </w:pPr>
      <w:r>
        <w:rPr>
          <w:i/>
          <w:sz w:val="20"/>
        </w:rPr>
        <w:t>Relevé • Raison • Importance • Liens • Questions-réponses</w:t>
      </w:r>
    </w:p>
    <w:p>
      <w:pPr>
        <w:pStyle w:val="Normal"/>
        <w:rPr/>
      </w:pPr>
      <w:r>
        <w:rPr/>
      </w:r>
      <w:r>
        <w:br w:type="page"/>
      </w:r>
    </w:p>
    <w:p>
      <w:pPr>
        <w:pStyle w:val="Heading2"/>
        <w:spacing w:before="0" w:after="80"/>
        <w:rPr/>
      </w:pPr>
      <w:r>
        <w:rPr/>
        <w:t>FICHE 28 — Départements concernés</w:t>
      </w:r>
    </w:p>
    <w:p>
      <w:pPr>
        <w:pStyle w:val="Normal"/>
        <w:spacing w:before="20" w:after="80"/>
        <w:rPr/>
      </w:pPr>
      <w:r>
        <w:rPr>
          <w:b/>
          <w:color w:val="0B3D91"/>
          <w:sz w:val="16"/>
        </w:rPr>
        <w:t xml:space="preserve">Source contrôlée : </w:t>
      </w:r>
      <w:r>
        <w:rPr>
          <w:color w:val="555555"/>
          <w:sz w:val="16"/>
        </w:rPr>
        <w:t>Corps de section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Les impacts possibles sont transmis aux départements concernés.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rappelle que chaque impact doit être examiné par le service compétent.</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répartit correctement les responsabilités et évite une centralisation imprécise.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Départements institutionnels, DAQAC, Direction et gouvernance.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Compétence opérationnelle</w:t>
      </w:r>
    </w:p>
    <w:p>
      <w:pPr>
        <w:pStyle w:val="ListBullet"/>
        <w:numPr>
          <w:ilvl w:val="0"/>
          <w:numId w:val="1"/>
        </w:numPr>
        <w:spacing w:before="0" w:after="20"/>
        <w:ind w:hanging="360" w:start="255"/>
        <w:contextualSpacing/>
        <w:rPr/>
      </w:pPr>
      <w:r>
        <w:rPr>
          <w:sz w:val="17"/>
        </w:rPr>
        <w:t>Transmission</w:t>
      </w:r>
    </w:p>
    <w:p>
      <w:pPr>
        <w:pStyle w:val="ListBullet"/>
        <w:numPr>
          <w:ilvl w:val="0"/>
          <w:numId w:val="1"/>
        </w:numPr>
        <w:spacing w:before="0" w:after="20"/>
        <w:ind w:hanging="360" w:start="255"/>
        <w:contextualSpacing/>
        <w:rPr/>
      </w:pPr>
      <w:r>
        <w:rPr>
          <w:sz w:val="17"/>
        </w:rPr>
        <w:t>Examen départemental</w:t>
      </w:r>
    </w:p>
    <w:p>
      <w:pPr>
        <w:pStyle w:val="ListBullet"/>
        <w:numPr>
          <w:ilvl w:val="0"/>
          <w:numId w:val="1"/>
        </w:numPr>
        <w:spacing w:before="0" w:after="20"/>
        <w:ind w:hanging="360" w:start="255"/>
        <w:contextualSpacing/>
        <w:rPr/>
      </w:pPr>
      <w:r>
        <w:rPr>
          <w:sz w:val="17"/>
        </w:rPr>
        <w:t>Responsabilité</w:t>
      </w:r>
    </w:p>
    <w:p>
      <w:pPr>
        <w:pStyle w:val="Heading3"/>
        <w:rPr/>
      </w:pPr>
      <w:r>
        <w:rPr/>
        <w:t>Banque de questions-réponses</w:t>
      </w:r>
    </w:p>
    <w:p>
      <w:pPr>
        <w:pStyle w:val="Normal"/>
        <w:keepNext w:val="true"/>
        <w:spacing w:before="40" w:after="0"/>
        <w:ind w:start="68"/>
        <w:rPr/>
      </w:pPr>
      <w:r>
        <w:rPr>
          <w:b/>
          <w:color w:val="0B3D91"/>
          <w:sz w:val="17"/>
        </w:rPr>
        <w:t>Q1. Que signifie ou présente « Départements concernés » ?</w:t>
      </w:r>
    </w:p>
    <w:p>
      <w:pPr>
        <w:pStyle w:val="Normal"/>
        <w:spacing w:before="0" w:after="40"/>
        <w:ind w:start="255"/>
        <w:rPr/>
      </w:pPr>
      <w:r>
        <w:rPr>
          <w:b/>
          <w:color w:val="D4A017"/>
          <w:sz w:val="16"/>
        </w:rPr>
        <w:t xml:space="preserve">Réponse : </w:t>
      </w:r>
      <w:r>
        <w:rPr>
          <w:color w:val="1F2937"/>
          <w:sz w:val="16"/>
        </w:rPr>
        <w:t>Les départements concernés sont ceux dont les missions pourraient être affectées par la publication.</w:t>
      </w:r>
    </w:p>
    <w:p>
      <w:pPr>
        <w:pStyle w:val="Normal"/>
        <w:keepNext w:val="true"/>
        <w:spacing w:before="40" w:after="0"/>
        <w:ind w:start="68"/>
        <w:rPr/>
      </w:pPr>
      <w:r>
        <w:rPr>
          <w:b/>
          <w:color w:val="0B3D91"/>
          <w:sz w:val="17"/>
        </w:rPr>
        <w:t>Q2. Pourquoi « Départements concernés » figure-t-il dans la page de veille officielle ?</w:t>
      </w:r>
    </w:p>
    <w:p>
      <w:pPr>
        <w:pStyle w:val="Normal"/>
        <w:spacing w:before="0" w:after="40"/>
        <w:ind w:start="255"/>
        <w:rPr/>
      </w:pPr>
      <w:r>
        <w:rPr>
          <w:b/>
          <w:color w:val="D4A017"/>
          <w:sz w:val="16"/>
        </w:rPr>
        <w:t xml:space="preserve">Réponse : </w:t>
      </w:r>
      <w:r>
        <w:rPr>
          <w:color w:val="1F2937"/>
          <w:sz w:val="16"/>
        </w:rPr>
        <w:t>Associer l’analyse à la compétence opérationnelle appropriée.</w:t>
      </w:r>
    </w:p>
    <w:p>
      <w:pPr>
        <w:pStyle w:val="Normal"/>
        <w:keepNext w:val="true"/>
        <w:spacing w:before="40" w:after="0"/>
        <w:ind w:start="68"/>
        <w:rPr/>
      </w:pPr>
      <w:r>
        <w:rPr>
          <w:b/>
          <w:color w:val="0B3D91"/>
          <w:sz w:val="17"/>
        </w:rPr>
        <w:t>Q3. Quels contenus ou objets sont concernés par « Départements concernés » ?</w:t>
      </w:r>
    </w:p>
    <w:p>
      <w:pPr>
        <w:pStyle w:val="Normal"/>
        <w:spacing w:before="0" w:after="40"/>
        <w:ind w:start="255"/>
        <w:rPr/>
      </w:pPr>
      <w:r>
        <w:rPr>
          <w:b/>
          <w:color w:val="D4A017"/>
          <w:sz w:val="16"/>
        </w:rPr>
        <w:t xml:space="preserve">Réponse : </w:t>
      </w:r>
      <w:r>
        <w:rPr>
          <w:color w:val="1F2937"/>
          <w:sz w:val="16"/>
        </w:rPr>
        <w:t>Impacts possibles sur les programmes, la protection, les RH, l’administration, la logistique, le numérique ou d’autres fonctions.</w:t>
      </w:r>
    </w:p>
    <w:p>
      <w:pPr>
        <w:pStyle w:val="Normal"/>
        <w:keepNext w:val="true"/>
        <w:spacing w:before="40" w:after="0"/>
        <w:ind w:start="68"/>
        <w:rPr/>
      </w:pPr>
      <w:r>
        <w:rPr>
          <w:b/>
          <w:color w:val="0B3D91"/>
          <w:sz w:val="17"/>
        </w:rPr>
        <w:t>Q4. Quel acteur intervient dans « Départements concernés » ?</w:t>
      </w:r>
    </w:p>
    <w:p>
      <w:pPr>
        <w:pStyle w:val="Normal"/>
        <w:spacing w:before="0" w:after="40"/>
        <w:ind w:start="255"/>
        <w:rPr/>
      </w:pPr>
      <w:r>
        <w:rPr>
          <w:b/>
          <w:color w:val="D4A017"/>
          <w:sz w:val="16"/>
        </w:rPr>
        <w:t xml:space="preserve">Réponse : </w:t>
      </w:r>
      <w:r>
        <w:rPr>
          <w:color w:val="1F2937"/>
          <w:sz w:val="16"/>
        </w:rPr>
        <w:t>La veille transmet ; le département examine dans son périmètre.</w:t>
      </w:r>
    </w:p>
    <w:p>
      <w:pPr>
        <w:pStyle w:val="Normal"/>
        <w:keepNext w:val="true"/>
        <w:spacing w:before="40" w:after="0"/>
        <w:ind w:start="68"/>
        <w:rPr/>
      </w:pPr>
      <w:r>
        <w:rPr>
          <w:b/>
          <w:color w:val="0B3D91"/>
          <w:sz w:val="17"/>
        </w:rPr>
        <w:t>Q5. Comment « Départements concernés » est-il mis en œuvre selon le texte publié ?</w:t>
      </w:r>
    </w:p>
    <w:p>
      <w:pPr>
        <w:pStyle w:val="Normal"/>
        <w:spacing w:before="0" w:after="40"/>
        <w:ind w:start="255"/>
        <w:rPr/>
      </w:pPr>
      <w:r>
        <w:rPr>
          <w:b/>
          <w:color w:val="D4A017"/>
          <w:sz w:val="16"/>
        </w:rPr>
        <w:t xml:space="preserve">Réponse : </w:t>
      </w:r>
      <w:r>
        <w:rPr>
          <w:color w:val="1F2937"/>
          <w:sz w:val="16"/>
        </w:rPr>
        <w:t>Le destinataire est choisi en fonction de la portée et de l’impact potentiel.</w:t>
      </w:r>
    </w:p>
    <w:p>
      <w:pPr>
        <w:pStyle w:val="Normal"/>
        <w:keepNext w:val="true"/>
        <w:spacing w:before="40" w:after="0"/>
        <w:ind w:start="68"/>
        <w:rPr/>
      </w:pPr>
      <w:r>
        <w:rPr>
          <w:b/>
          <w:color w:val="0B3D91"/>
          <w:sz w:val="17"/>
        </w:rPr>
        <w:t>Q6. Quelle trace, référence ou information vérifiable accompagne « Départements concernés » ?</w:t>
      </w:r>
    </w:p>
    <w:p>
      <w:pPr>
        <w:pStyle w:val="Normal"/>
        <w:spacing w:before="0" w:after="40"/>
        <w:ind w:start="255"/>
        <w:rPr/>
      </w:pPr>
      <w:r>
        <w:rPr>
          <w:b/>
          <w:color w:val="D4A017"/>
          <w:sz w:val="16"/>
        </w:rPr>
        <w:t xml:space="preserve">Réponse : </w:t>
      </w:r>
      <w:r>
        <w:rPr>
          <w:color w:val="1F2937"/>
          <w:sz w:val="16"/>
        </w:rPr>
        <w:t>La transmission et l’identification du service constituent des traces possibles.</w:t>
      </w:r>
    </w:p>
    <w:p>
      <w:pPr>
        <w:pStyle w:val="Normal"/>
        <w:keepNext w:val="true"/>
        <w:spacing w:before="40" w:after="0"/>
        <w:ind w:start="68"/>
        <w:rPr/>
      </w:pPr>
      <w:r>
        <w:rPr>
          <w:b/>
          <w:color w:val="0B3D91"/>
          <w:sz w:val="17"/>
        </w:rPr>
        <w:t>Q7. Quelle limite ou précaution est associée à « Départements concernés » ?</w:t>
      </w:r>
    </w:p>
    <w:p>
      <w:pPr>
        <w:pStyle w:val="Normal"/>
        <w:spacing w:before="0" w:after="40"/>
        <w:ind w:start="255"/>
        <w:rPr/>
      </w:pPr>
      <w:r>
        <w:rPr>
          <w:b/>
          <w:color w:val="D4A017"/>
          <w:sz w:val="16"/>
        </w:rPr>
        <w:t xml:space="preserve">Réponse : </w:t>
      </w:r>
      <w:r>
        <w:rPr>
          <w:color w:val="1F2937"/>
          <w:sz w:val="16"/>
        </w:rPr>
        <w:t>La transmission ne vaut pas ordre d’application.</w:t>
      </w:r>
    </w:p>
    <w:p>
      <w:pPr>
        <w:pStyle w:val="Normal"/>
        <w:keepNext w:val="true"/>
        <w:spacing w:before="40" w:after="0"/>
        <w:ind w:start="68"/>
        <w:rPr/>
      </w:pPr>
      <w:r>
        <w:rPr>
          <w:b/>
          <w:color w:val="0B3D91"/>
          <w:sz w:val="17"/>
        </w:rPr>
        <w:t>Q8. À qui « Départements concernés » est-il utile ou destiné ?</w:t>
      </w:r>
    </w:p>
    <w:p>
      <w:pPr>
        <w:pStyle w:val="Normal"/>
        <w:spacing w:before="0" w:after="40"/>
        <w:ind w:start="255"/>
        <w:rPr/>
      </w:pPr>
      <w:r>
        <w:rPr>
          <w:b/>
          <w:color w:val="D4A017"/>
          <w:sz w:val="16"/>
        </w:rPr>
        <w:t xml:space="preserve">Réponse : </w:t>
      </w:r>
      <w:r>
        <w:rPr>
          <w:color w:val="1F2937"/>
          <w:sz w:val="16"/>
        </w:rPr>
        <w:t>Responsables départementaux et Direction.</w:t>
      </w:r>
    </w:p>
    <w:p>
      <w:pPr>
        <w:pStyle w:val="Normal"/>
        <w:keepNext w:val="true"/>
        <w:spacing w:before="40" w:after="0"/>
        <w:ind w:start="68"/>
        <w:rPr/>
      </w:pPr>
      <w:r>
        <w:rPr>
          <w:b/>
          <w:color w:val="0B3D91"/>
          <w:sz w:val="17"/>
        </w:rPr>
        <w:t>Q9. À quelles autres rubriques ou fonctions « Départements concernés » est-il relié ?</w:t>
      </w:r>
    </w:p>
    <w:p>
      <w:pPr>
        <w:pStyle w:val="Normal"/>
        <w:spacing w:before="0" w:after="40"/>
        <w:ind w:start="255"/>
        <w:rPr/>
      </w:pPr>
      <w:r>
        <w:rPr>
          <w:b/>
          <w:color w:val="D4A017"/>
          <w:sz w:val="16"/>
        </w:rPr>
        <w:t xml:space="preserve">Réponse : </w:t>
      </w:r>
      <w:r>
        <w:rPr>
          <w:color w:val="1F2937"/>
          <w:sz w:val="16"/>
        </w:rPr>
        <w:t>Les départements fournissent l’expertise pratique nécessaire à la validation.</w:t>
      </w:r>
    </w:p>
    <w:p>
      <w:pPr>
        <w:pStyle w:val="Normal"/>
        <w:keepNext w:val="true"/>
        <w:spacing w:before="40" w:after="0"/>
        <w:ind w:start="68"/>
        <w:rPr/>
      </w:pPr>
      <w:r>
        <w:rPr>
          <w:b/>
          <w:color w:val="0B3D91"/>
          <w:sz w:val="17"/>
        </w:rPr>
        <w:t>Q10. Quelle idée essentielle faut-il retenir de « Départements concernés » ?</w:t>
      </w:r>
    </w:p>
    <w:p>
      <w:pPr>
        <w:pStyle w:val="Normal"/>
        <w:spacing w:before="0" w:after="40"/>
        <w:ind w:start="255"/>
        <w:rPr/>
      </w:pPr>
      <w:r>
        <w:rPr>
          <w:b/>
          <w:color w:val="D4A017"/>
          <w:sz w:val="16"/>
        </w:rPr>
        <w:t xml:space="preserve">Réponse : </w:t>
      </w:r>
      <w:r>
        <w:rPr>
          <w:color w:val="1F2937"/>
          <w:sz w:val="16"/>
        </w:rPr>
        <w:t>L’impact doit être examiné par le responsable qui connaît réellement le domaine.</w:t>
      </w:r>
    </w:p>
    <w:p>
      <w:pPr>
        <w:pStyle w:val="Normal"/>
        <w:rPr/>
      </w:pPr>
      <w:r>
        <w:rPr/>
      </w:r>
      <w:r>
        <w:br w:type="page"/>
      </w:r>
    </w:p>
    <w:p>
      <w:pPr>
        <w:pStyle w:val="Heading2"/>
        <w:spacing w:before="0" w:after="80"/>
        <w:rPr/>
      </w:pPr>
      <w:r>
        <w:rPr/>
        <w:t>FICHE 29 — Chaîne de décision humaine</w:t>
      </w:r>
    </w:p>
    <w:p>
      <w:pPr>
        <w:pStyle w:val="Normal"/>
        <w:spacing w:before="20" w:after="80"/>
        <w:rPr/>
      </w:pPr>
      <w:r>
        <w:rPr>
          <w:b/>
          <w:color w:val="0B3D91"/>
          <w:sz w:val="16"/>
        </w:rPr>
        <w:t xml:space="preserve">Source contrôlée : </w:t>
      </w:r>
      <w:r>
        <w:rPr>
          <w:color w:val="555555"/>
          <w:sz w:val="16"/>
        </w:rPr>
        <w:t>Synthèse transversale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distingue la collecte et l’analyse de la décision : les publications sont suivies, analysées et soumises à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met en évidence l’enchaînement entre information, expertise et autorité.</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garantit que les décisions sensibles restent attribuables et responsables.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ÉMINA, départements, DAQAC, Direction et propriétaires de documents.</w:t>
            </w:r>
          </w:p>
        </w:tc>
      </w:tr>
    </w:tbl>
    <w:p>
      <w:pPr>
        <w:pStyle w:val="Heading3"/>
        <w:rPr/>
      </w:pPr>
      <w:r>
        <w:rPr/>
        <w:t>Points développés</w:t>
      </w:r>
    </w:p>
    <w:p>
      <w:pPr>
        <w:pStyle w:val="ListBullet"/>
        <w:numPr>
          <w:ilvl w:val="0"/>
          <w:numId w:val="1"/>
        </w:numPr>
        <w:spacing w:before="0" w:after="20"/>
        <w:ind w:hanging="360" w:start="255"/>
        <w:contextualSpacing/>
        <w:rPr/>
      </w:pPr>
      <w:r>
        <w:rPr>
          <w:sz w:val="17"/>
        </w:rPr>
        <w:t>Information</w:t>
      </w:r>
    </w:p>
    <w:p>
      <w:pPr>
        <w:pStyle w:val="ListBullet"/>
        <w:numPr>
          <w:ilvl w:val="0"/>
          <w:numId w:val="1"/>
        </w:numPr>
        <w:spacing w:before="0" w:after="20"/>
        <w:ind w:hanging="360" w:start="255"/>
        <w:contextualSpacing/>
        <w:rPr/>
      </w:pPr>
      <w:r>
        <w:rPr>
          <w:sz w:val="17"/>
        </w:rPr>
        <w:t>Analyse</w:t>
      </w:r>
    </w:p>
    <w:p>
      <w:pPr>
        <w:pStyle w:val="ListBullet"/>
        <w:numPr>
          <w:ilvl w:val="0"/>
          <w:numId w:val="1"/>
        </w:numPr>
        <w:spacing w:before="0" w:after="20"/>
        <w:ind w:hanging="360" w:start="255"/>
        <w:contextualSpacing/>
        <w:rPr/>
      </w:pPr>
      <w:r>
        <w:rPr>
          <w:sz w:val="17"/>
        </w:rPr>
        <w:t>Expertise</w:t>
      </w:r>
    </w:p>
    <w:p>
      <w:pPr>
        <w:pStyle w:val="ListBullet"/>
        <w:numPr>
          <w:ilvl w:val="0"/>
          <w:numId w:val="1"/>
        </w:numPr>
        <w:spacing w:before="0" w:after="20"/>
        <w:ind w:hanging="360" w:start="255"/>
        <w:contextualSpacing/>
        <w:rPr/>
      </w:pPr>
      <w:r>
        <w:rPr>
          <w:sz w:val="17"/>
        </w:rPr>
        <w:t>Validation humaine</w:t>
      </w:r>
    </w:p>
    <w:p>
      <w:pPr>
        <w:pStyle w:val="Heading3"/>
        <w:rPr/>
      </w:pPr>
      <w:r>
        <w:rPr/>
        <w:t>Banque de questions-réponses</w:t>
      </w:r>
    </w:p>
    <w:p>
      <w:pPr>
        <w:pStyle w:val="Normal"/>
        <w:keepNext w:val="true"/>
        <w:spacing w:before="40" w:after="0"/>
        <w:ind w:start="68"/>
        <w:rPr/>
      </w:pPr>
      <w:r>
        <w:rPr>
          <w:b/>
          <w:color w:val="0B3D91"/>
          <w:sz w:val="17"/>
        </w:rPr>
        <w:t>Q1. Que signifie ou présente « Chaîne de décision humaine » ?</w:t>
      </w:r>
    </w:p>
    <w:p>
      <w:pPr>
        <w:pStyle w:val="Normal"/>
        <w:spacing w:before="0" w:after="40"/>
        <w:ind w:start="255"/>
        <w:rPr/>
      </w:pPr>
      <w:r>
        <w:rPr>
          <w:b/>
          <w:color w:val="D4A017"/>
          <w:sz w:val="16"/>
        </w:rPr>
        <w:t xml:space="preserve">Réponse : </w:t>
      </w:r>
      <w:r>
        <w:rPr>
          <w:color w:val="1F2937"/>
          <w:sz w:val="16"/>
        </w:rPr>
        <w:t>La chaîne de décision humaine est le parcours qui conduit une analyse vers la personne ou l’instance habilitée.</w:t>
      </w:r>
    </w:p>
    <w:p>
      <w:pPr>
        <w:pStyle w:val="Normal"/>
        <w:keepNext w:val="true"/>
        <w:spacing w:before="40" w:after="0"/>
        <w:ind w:start="68"/>
        <w:rPr/>
      </w:pPr>
      <w:r>
        <w:rPr>
          <w:b/>
          <w:color w:val="0B3D91"/>
          <w:sz w:val="17"/>
        </w:rPr>
        <w:t>Q2. Pourquoi « Chaîne de décision humaine » figure-t-il dans la page de veille officielle ?</w:t>
      </w:r>
    </w:p>
    <w:p>
      <w:pPr>
        <w:pStyle w:val="Normal"/>
        <w:spacing w:before="0" w:after="40"/>
        <w:ind w:start="255"/>
        <w:rPr/>
      </w:pPr>
      <w:r>
        <w:rPr>
          <w:b/>
          <w:color w:val="D4A017"/>
          <w:sz w:val="16"/>
        </w:rPr>
        <w:t xml:space="preserve">Réponse : </w:t>
      </w:r>
      <w:r>
        <w:rPr>
          <w:color w:val="1F2937"/>
          <w:sz w:val="16"/>
        </w:rPr>
        <w:t>S’assurer que les propositions ne deviennent pas automatiquement des décisions.</w:t>
      </w:r>
    </w:p>
    <w:p>
      <w:pPr>
        <w:pStyle w:val="Normal"/>
        <w:keepNext w:val="true"/>
        <w:spacing w:before="40" w:after="0"/>
        <w:ind w:start="68"/>
        <w:rPr/>
      </w:pPr>
      <w:r>
        <w:rPr>
          <w:b/>
          <w:color w:val="0B3D91"/>
          <w:sz w:val="17"/>
        </w:rPr>
        <w:t>Q3. Quels contenus ou objets sont concernés par « Chaîne de décision humaine » ?</w:t>
      </w:r>
    </w:p>
    <w:p>
      <w:pPr>
        <w:pStyle w:val="Normal"/>
        <w:spacing w:before="0" w:after="40"/>
        <w:ind w:start="255"/>
        <w:rPr/>
      </w:pPr>
      <w:r>
        <w:rPr>
          <w:b/>
          <w:color w:val="D4A017"/>
          <w:sz w:val="16"/>
        </w:rPr>
        <w:t xml:space="preserve">Réponse : </w:t>
      </w:r>
      <w:r>
        <w:rPr>
          <w:color w:val="1F2937"/>
          <w:sz w:val="16"/>
        </w:rPr>
        <w:t>Source, date, portée, impact, avis du département et validation.</w:t>
      </w:r>
    </w:p>
    <w:p>
      <w:pPr>
        <w:pStyle w:val="Normal"/>
        <w:keepNext w:val="true"/>
        <w:spacing w:before="40" w:after="0"/>
        <w:ind w:start="68"/>
        <w:rPr/>
      </w:pPr>
      <w:r>
        <w:rPr>
          <w:b/>
          <w:color w:val="0B3D91"/>
          <w:sz w:val="17"/>
        </w:rPr>
        <w:t>Q4. Quel acteur intervient dans « Chaîne de décision humaine » ?</w:t>
      </w:r>
    </w:p>
    <w:p>
      <w:pPr>
        <w:pStyle w:val="Normal"/>
        <w:spacing w:before="0" w:after="40"/>
        <w:ind w:start="255"/>
        <w:rPr/>
      </w:pPr>
      <w:r>
        <w:rPr>
          <w:b/>
          <w:color w:val="D4A017"/>
          <w:sz w:val="16"/>
        </w:rPr>
        <w:t xml:space="preserve">Réponse : </w:t>
      </w:r>
      <w:r>
        <w:rPr>
          <w:color w:val="1F2937"/>
          <w:sz w:val="16"/>
        </w:rPr>
        <w:t>Chaque acteur intervient selon son rôle, la décision finale restant humaine.</w:t>
      </w:r>
    </w:p>
    <w:p>
      <w:pPr>
        <w:pStyle w:val="Normal"/>
        <w:keepNext w:val="true"/>
        <w:spacing w:before="40" w:after="0"/>
        <w:ind w:start="68"/>
        <w:rPr/>
      </w:pPr>
      <w:r>
        <w:rPr>
          <w:b/>
          <w:color w:val="0B3D91"/>
          <w:sz w:val="17"/>
        </w:rPr>
        <w:t>Q5. Comment « Chaîne de décision humaine » est-il mis en œuvre selon le texte publié ?</w:t>
      </w:r>
    </w:p>
    <w:p>
      <w:pPr>
        <w:pStyle w:val="Normal"/>
        <w:spacing w:before="0" w:after="40"/>
        <w:ind w:start="255"/>
        <w:rPr/>
      </w:pPr>
      <w:r>
        <w:rPr>
          <w:b/>
          <w:color w:val="D4A017"/>
          <w:sz w:val="16"/>
        </w:rPr>
        <w:t xml:space="preserve">Réponse : </w:t>
      </w:r>
      <w:r>
        <w:rPr>
          <w:color w:val="1F2937"/>
          <w:sz w:val="16"/>
        </w:rPr>
        <w:t>La veille prépare, ÉMINA peut proposer, le département examine et l’autorité valide.</w:t>
      </w:r>
    </w:p>
    <w:p>
      <w:pPr>
        <w:pStyle w:val="Normal"/>
        <w:keepNext w:val="true"/>
        <w:spacing w:before="40" w:after="0"/>
        <w:ind w:start="68"/>
        <w:rPr/>
      </w:pPr>
      <w:r>
        <w:rPr>
          <w:b/>
          <w:color w:val="0B3D91"/>
          <w:sz w:val="17"/>
        </w:rPr>
        <w:t>Q6. Quelle trace, référence ou information vérifiable accompagne « Chaîne de décision humaine » ?</w:t>
      </w:r>
    </w:p>
    <w:p>
      <w:pPr>
        <w:pStyle w:val="Normal"/>
        <w:spacing w:before="0" w:after="40"/>
        <w:ind w:start="255"/>
        <w:rPr/>
      </w:pPr>
      <w:r>
        <w:rPr>
          <w:b/>
          <w:color w:val="D4A017"/>
          <w:sz w:val="16"/>
        </w:rPr>
        <w:t xml:space="preserve">Réponse : </w:t>
      </w:r>
      <w:r>
        <w:rPr>
          <w:color w:val="1F2937"/>
          <w:sz w:val="16"/>
        </w:rPr>
        <w:t>Les sources et documents associés permettent de retracer la décision.</w:t>
      </w:r>
    </w:p>
    <w:p>
      <w:pPr>
        <w:pStyle w:val="Normal"/>
        <w:keepNext w:val="true"/>
        <w:spacing w:before="40" w:after="0"/>
        <w:ind w:start="68"/>
        <w:rPr/>
      </w:pPr>
      <w:r>
        <w:rPr>
          <w:b/>
          <w:color w:val="0B3D91"/>
          <w:sz w:val="17"/>
        </w:rPr>
        <w:t>Q7. Quelle limite ou précaution est associée à « Chaîne de décision humaine » ?</w:t>
      </w:r>
    </w:p>
    <w:p>
      <w:pPr>
        <w:pStyle w:val="Normal"/>
        <w:spacing w:before="0" w:after="40"/>
        <w:ind w:start="255"/>
        <w:rPr/>
      </w:pPr>
      <w:r>
        <w:rPr>
          <w:b/>
          <w:color w:val="D4A017"/>
          <w:sz w:val="16"/>
        </w:rPr>
        <w:t xml:space="preserve">Réponse : </w:t>
      </w:r>
      <w:r>
        <w:rPr>
          <w:color w:val="1F2937"/>
          <w:sz w:val="16"/>
        </w:rPr>
        <w:t>Aucun outil ou classement ne peut se substituer à l’autorité habilitée.</w:t>
      </w:r>
    </w:p>
    <w:p>
      <w:pPr>
        <w:pStyle w:val="Normal"/>
        <w:keepNext w:val="true"/>
        <w:spacing w:before="40" w:after="0"/>
        <w:ind w:start="68"/>
        <w:rPr/>
      </w:pPr>
      <w:r>
        <w:rPr>
          <w:b/>
          <w:color w:val="0B3D91"/>
          <w:sz w:val="17"/>
        </w:rPr>
        <w:t>Q8. À qui « Chaîne de décision humaine » est-il utile ou destiné ?</w:t>
      </w:r>
    </w:p>
    <w:p>
      <w:pPr>
        <w:pStyle w:val="Normal"/>
        <w:spacing w:before="0" w:after="40"/>
        <w:ind w:start="255"/>
        <w:rPr/>
      </w:pPr>
      <w:r>
        <w:rPr>
          <w:b/>
          <w:color w:val="D4A017"/>
          <w:sz w:val="16"/>
        </w:rPr>
        <w:t xml:space="preserve">Réponse : </w:t>
      </w:r>
      <w:r>
        <w:rPr>
          <w:color w:val="1F2937"/>
          <w:sz w:val="16"/>
        </w:rPr>
        <w:t>Responsables du GSE et utilisateurs des informations de veille.</w:t>
      </w:r>
    </w:p>
    <w:p>
      <w:pPr>
        <w:pStyle w:val="Normal"/>
        <w:keepNext w:val="true"/>
        <w:spacing w:before="40" w:after="0"/>
        <w:ind w:start="68"/>
        <w:rPr/>
      </w:pPr>
      <w:r>
        <w:rPr>
          <w:b/>
          <w:color w:val="0B3D91"/>
          <w:sz w:val="17"/>
        </w:rPr>
        <w:t>Q9. À quelles autres rubriques ou fonctions « Chaîne de décision humaine » est-il relié ?</w:t>
      </w:r>
    </w:p>
    <w:p>
      <w:pPr>
        <w:pStyle w:val="Normal"/>
        <w:spacing w:before="0" w:after="40"/>
        <w:ind w:start="255"/>
        <w:rPr/>
      </w:pPr>
      <w:r>
        <w:rPr>
          <w:b/>
          <w:color w:val="D4A017"/>
          <w:sz w:val="16"/>
        </w:rPr>
        <w:t xml:space="preserve">Réponse : </w:t>
      </w:r>
      <w:r>
        <w:rPr>
          <w:color w:val="1F2937"/>
          <w:sz w:val="16"/>
        </w:rPr>
        <w:t>Cette chaîne relie la veille à la gouvernance et à l’assurance qualité.</w:t>
      </w:r>
    </w:p>
    <w:p>
      <w:pPr>
        <w:pStyle w:val="Normal"/>
        <w:keepNext w:val="true"/>
        <w:spacing w:before="40" w:after="0"/>
        <w:ind w:start="68"/>
        <w:rPr/>
      </w:pPr>
      <w:r>
        <w:rPr>
          <w:b/>
          <w:color w:val="0B3D91"/>
          <w:sz w:val="17"/>
        </w:rPr>
        <w:t>Q10. Quelle idée essentielle faut-il retenir de « Chaîne de décision humaine » ?</w:t>
      </w:r>
    </w:p>
    <w:p>
      <w:pPr>
        <w:pStyle w:val="Normal"/>
        <w:spacing w:before="0" w:after="40"/>
        <w:ind w:start="255"/>
        <w:rPr/>
      </w:pPr>
      <w:r>
        <w:rPr>
          <w:b/>
          <w:color w:val="D4A017"/>
          <w:sz w:val="16"/>
        </w:rPr>
        <w:t xml:space="preserve">Réponse : </w:t>
      </w:r>
      <w:r>
        <w:rPr>
          <w:color w:val="1F2937"/>
          <w:sz w:val="16"/>
        </w:rPr>
        <w:t>La responsabilité d’une décision doit toujours pouvoir être attribuée à une personne ou instance habilitée.</w:t>
      </w:r>
    </w:p>
    <w:p>
      <w:pPr>
        <w:pStyle w:val="Normal"/>
        <w:rPr/>
      </w:pPr>
      <w:r>
        <w:rPr/>
      </w:r>
      <w:r>
        <w:br w:type="page"/>
      </w:r>
    </w:p>
    <w:p>
      <w:pPr>
        <w:pStyle w:val="Heading2"/>
        <w:spacing w:before="0" w:after="80"/>
        <w:rPr/>
      </w:pPr>
      <w:r>
        <w:rPr/>
        <w:t>FICHE 30 — Traçabilité de la veille</w:t>
      </w:r>
    </w:p>
    <w:p>
      <w:pPr>
        <w:pStyle w:val="Normal"/>
        <w:spacing w:before="20" w:after="80"/>
        <w:rPr/>
      </w:pPr>
      <w:r>
        <w:rPr>
          <w:b/>
          <w:color w:val="0B3D91"/>
          <w:sz w:val="16"/>
        </w:rPr>
        <w:t xml:space="preserve">Source contrôlée : </w:t>
      </w:r>
      <w:r>
        <w:rPr>
          <w:color w:val="555555"/>
          <w:sz w:val="16"/>
        </w:rPr>
        <w:t>Synthèse transversale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prévoit l’enregistrement de la date et de la portée, l’identification des sources et la transmission des impacts possibles.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rassemble les éléments qui permettent de reconstituer le traitement d’une publication.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La traçabilité soutient le contrôle, la cohérence, la responsabilité et l’amélioration continue.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documentation publique, codes, version, propriétaire, DAQAC et Direction.</w:t>
            </w:r>
          </w:p>
        </w:tc>
      </w:tr>
    </w:tbl>
    <w:p>
      <w:pPr>
        <w:pStyle w:val="Heading3"/>
        <w:rPr/>
      </w:pPr>
      <w:r>
        <w:rPr/>
        <w:t>Points développés</w:t>
      </w:r>
    </w:p>
    <w:p>
      <w:pPr>
        <w:pStyle w:val="ListBullet"/>
        <w:numPr>
          <w:ilvl w:val="0"/>
          <w:numId w:val="1"/>
        </w:numPr>
        <w:spacing w:before="0" w:after="20"/>
        <w:ind w:hanging="360" w:start="255"/>
        <w:contextualSpacing/>
        <w:rPr/>
      </w:pPr>
      <w:r>
        <w:rPr>
          <w:sz w:val="17"/>
        </w:rPr>
        <w:t>Source</w:t>
      </w:r>
    </w:p>
    <w:p>
      <w:pPr>
        <w:pStyle w:val="ListBullet"/>
        <w:numPr>
          <w:ilvl w:val="0"/>
          <w:numId w:val="1"/>
        </w:numPr>
        <w:spacing w:before="0" w:after="20"/>
        <w:ind w:hanging="360" w:start="255"/>
        <w:contextualSpacing/>
        <w:rPr/>
      </w:pPr>
      <w:r>
        <w:rPr>
          <w:sz w:val="17"/>
        </w:rPr>
        <w:t>Date</w:t>
      </w:r>
    </w:p>
    <w:p>
      <w:pPr>
        <w:pStyle w:val="ListBullet"/>
        <w:numPr>
          <w:ilvl w:val="0"/>
          <w:numId w:val="1"/>
        </w:numPr>
        <w:spacing w:before="0" w:after="20"/>
        <w:ind w:hanging="360" w:start="255"/>
        <w:contextualSpacing/>
        <w:rPr/>
      </w:pPr>
      <w:r>
        <w:rPr>
          <w:sz w:val="17"/>
        </w:rPr>
        <w:t>Portée</w:t>
      </w:r>
    </w:p>
    <w:p>
      <w:pPr>
        <w:pStyle w:val="ListBullet"/>
        <w:numPr>
          <w:ilvl w:val="0"/>
          <w:numId w:val="1"/>
        </w:numPr>
        <w:spacing w:before="0" w:after="20"/>
        <w:ind w:hanging="360" w:start="255"/>
        <w:contextualSpacing/>
        <w:rPr/>
      </w:pPr>
      <w:r>
        <w:rPr>
          <w:sz w:val="17"/>
        </w:rPr>
        <w:t>Destinataire</w:t>
      </w:r>
    </w:p>
    <w:p>
      <w:pPr>
        <w:pStyle w:val="ListBullet"/>
        <w:numPr>
          <w:ilvl w:val="0"/>
          <w:numId w:val="1"/>
        </w:numPr>
        <w:spacing w:before="0" w:after="20"/>
        <w:ind w:hanging="360" w:start="255"/>
        <w:contextualSpacing/>
        <w:rPr/>
      </w:pPr>
      <w:r>
        <w:rPr>
          <w:sz w:val="17"/>
        </w:rPr>
        <w:t>Historique</w:t>
      </w:r>
    </w:p>
    <w:p>
      <w:pPr>
        <w:pStyle w:val="Heading3"/>
        <w:rPr/>
      </w:pPr>
      <w:r>
        <w:rPr/>
        <w:t>Banque de questions-réponses</w:t>
      </w:r>
    </w:p>
    <w:p>
      <w:pPr>
        <w:pStyle w:val="Normal"/>
        <w:keepNext w:val="true"/>
        <w:spacing w:before="40" w:after="0"/>
        <w:ind w:start="68"/>
        <w:rPr/>
      </w:pPr>
      <w:r>
        <w:rPr>
          <w:b/>
          <w:color w:val="0B3D91"/>
          <w:sz w:val="17"/>
        </w:rPr>
        <w:t>Q1. Que signifie ou présente « Traçabilité de la veille » ?</w:t>
      </w:r>
    </w:p>
    <w:p>
      <w:pPr>
        <w:pStyle w:val="Normal"/>
        <w:spacing w:before="0" w:after="40"/>
        <w:ind w:start="255"/>
        <w:rPr/>
      </w:pPr>
      <w:r>
        <w:rPr>
          <w:b/>
          <w:color w:val="D4A017"/>
          <w:sz w:val="16"/>
        </w:rPr>
        <w:t xml:space="preserve">Réponse : </w:t>
      </w:r>
      <w:r>
        <w:rPr>
          <w:color w:val="1F2937"/>
          <w:sz w:val="16"/>
        </w:rPr>
        <w:t>La traçabilité est la capacité de retrouver la source, la date, la portée, l’analyse et les destinataires.</w:t>
      </w:r>
    </w:p>
    <w:p>
      <w:pPr>
        <w:pStyle w:val="Normal"/>
        <w:keepNext w:val="true"/>
        <w:spacing w:before="40" w:after="0"/>
        <w:ind w:start="68"/>
        <w:rPr/>
      </w:pPr>
      <w:r>
        <w:rPr>
          <w:b/>
          <w:color w:val="0B3D91"/>
          <w:sz w:val="17"/>
        </w:rPr>
        <w:t>Q2. Pourquoi « Traçabilité de la veille » figure-t-il dans la page de veille officielle ?</w:t>
      </w:r>
    </w:p>
    <w:p>
      <w:pPr>
        <w:pStyle w:val="Normal"/>
        <w:spacing w:before="0" w:after="40"/>
        <w:ind w:start="255"/>
        <w:rPr/>
      </w:pPr>
      <w:r>
        <w:rPr>
          <w:b/>
          <w:color w:val="D4A017"/>
          <w:sz w:val="16"/>
        </w:rPr>
        <w:t xml:space="preserve">Réponse : </w:t>
      </w:r>
      <w:r>
        <w:rPr>
          <w:color w:val="1F2937"/>
          <w:sz w:val="16"/>
        </w:rPr>
        <w:t>Rendre le processus vérifiable et éviter les décisions sans base identifiable.</w:t>
      </w:r>
    </w:p>
    <w:p>
      <w:pPr>
        <w:pStyle w:val="Normal"/>
        <w:keepNext w:val="true"/>
        <w:spacing w:before="40" w:after="0"/>
        <w:ind w:start="68"/>
        <w:rPr/>
      </w:pPr>
      <w:r>
        <w:rPr>
          <w:b/>
          <w:color w:val="0B3D91"/>
          <w:sz w:val="17"/>
        </w:rPr>
        <w:t>Q3. Quels contenus ou objets sont concernés par « Traçabilité de la veille » ?</w:t>
      </w:r>
    </w:p>
    <w:p>
      <w:pPr>
        <w:pStyle w:val="Normal"/>
        <w:spacing w:before="0" w:after="40"/>
        <w:ind w:start="255"/>
        <w:rPr/>
      </w:pPr>
      <w:r>
        <w:rPr>
          <w:b/>
          <w:color w:val="D4A017"/>
          <w:sz w:val="16"/>
        </w:rPr>
        <w:t xml:space="preserve">Réponse : </w:t>
      </w:r>
      <w:r>
        <w:rPr>
          <w:color w:val="1F2937"/>
          <w:sz w:val="16"/>
        </w:rPr>
        <w:t>Source originale, date, portée, impact possible, classement, note et transmission.</w:t>
      </w:r>
    </w:p>
    <w:p>
      <w:pPr>
        <w:pStyle w:val="Normal"/>
        <w:keepNext w:val="true"/>
        <w:spacing w:before="40" w:after="0"/>
        <w:ind w:start="68"/>
        <w:rPr/>
      </w:pPr>
      <w:r>
        <w:rPr>
          <w:b/>
          <w:color w:val="0B3D91"/>
          <w:sz w:val="17"/>
        </w:rPr>
        <w:t>Q4. Quel acteur intervient dans « Traçabilité de la veille » ?</w:t>
      </w:r>
    </w:p>
    <w:p>
      <w:pPr>
        <w:pStyle w:val="Normal"/>
        <w:spacing w:before="0" w:after="40"/>
        <w:ind w:start="255"/>
        <w:rPr/>
      </w:pPr>
      <w:r>
        <w:rPr>
          <w:b/>
          <w:color w:val="D4A017"/>
          <w:sz w:val="16"/>
        </w:rPr>
        <w:t xml:space="preserve">Réponse : </w:t>
      </w:r>
      <w:r>
        <w:rPr>
          <w:color w:val="1F2937"/>
          <w:sz w:val="16"/>
        </w:rPr>
        <w:t>Le dispositif conserve les repères utiles au suivi.</w:t>
      </w:r>
    </w:p>
    <w:p>
      <w:pPr>
        <w:pStyle w:val="Normal"/>
        <w:keepNext w:val="true"/>
        <w:spacing w:before="40" w:after="0"/>
        <w:ind w:start="68"/>
        <w:rPr/>
      </w:pPr>
      <w:r>
        <w:rPr>
          <w:b/>
          <w:color w:val="0B3D91"/>
          <w:sz w:val="17"/>
        </w:rPr>
        <w:t>Q5. Comment « Traçabilité de la veille » est-il mis en œuvre selon le texte publié ?</w:t>
      </w:r>
    </w:p>
    <w:p>
      <w:pPr>
        <w:pStyle w:val="Normal"/>
        <w:spacing w:before="0" w:after="40"/>
        <w:ind w:start="255"/>
        <w:rPr/>
      </w:pPr>
      <w:r>
        <w:rPr>
          <w:b/>
          <w:color w:val="D4A017"/>
          <w:sz w:val="16"/>
        </w:rPr>
        <w:t xml:space="preserve">Réponse : </w:t>
      </w:r>
      <w:r>
        <w:rPr>
          <w:color w:val="1F2937"/>
          <w:sz w:val="16"/>
        </w:rPr>
        <w:t>Les éléments sont enregistrés au fur et à mesure du traitement.</w:t>
      </w:r>
    </w:p>
    <w:p>
      <w:pPr>
        <w:pStyle w:val="Normal"/>
        <w:keepNext w:val="true"/>
        <w:spacing w:before="40" w:after="0"/>
        <w:ind w:start="68"/>
        <w:rPr/>
      </w:pPr>
      <w:r>
        <w:rPr>
          <w:b/>
          <w:color w:val="0B3D91"/>
          <w:sz w:val="17"/>
        </w:rPr>
        <w:t>Q6. Quelle trace, référence ou information vérifiable accompagne « Traçabilité de la veille » ?</w:t>
      </w:r>
    </w:p>
    <w:p>
      <w:pPr>
        <w:pStyle w:val="Normal"/>
        <w:spacing w:before="0" w:after="40"/>
        <w:ind w:start="255"/>
        <w:rPr/>
      </w:pPr>
      <w:r>
        <w:rPr>
          <w:b/>
          <w:color w:val="D4A017"/>
          <w:sz w:val="16"/>
        </w:rPr>
        <w:t xml:space="preserve">Réponse : </w:t>
      </w:r>
      <w:r>
        <w:rPr>
          <w:color w:val="1F2937"/>
          <w:sz w:val="16"/>
        </w:rPr>
        <w:t>Les métadonnées documentaires et informations de veille fournissent les traces.</w:t>
      </w:r>
    </w:p>
    <w:p>
      <w:pPr>
        <w:pStyle w:val="Normal"/>
        <w:keepNext w:val="true"/>
        <w:spacing w:before="40" w:after="0"/>
        <w:ind w:start="68"/>
        <w:rPr/>
      </w:pPr>
      <w:r>
        <w:rPr>
          <w:b/>
          <w:color w:val="0B3D91"/>
          <w:sz w:val="17"/>
        </w:rPr>
        <w:t>Q7. Quelle limite ou précaution est associée à « Traçabilité de la veille » ?</w:t>
      </w:r>
    </w:p>
    <w:p>
      <w:pPr>
        <w:pStyle w:val="Normal"/>
        <w:spacing w:before="0" w:after="40"/>
        <w:ind w:start="255"/>
        <w:rPr/>
      </w:pPr>
      <w:r>
        <w:rPr>
          <w:b/>
          <w:color w:val="D4A017"/>
          <w:sz w:val="16"/>
        </w:rPr>
        <w:t xml:space="preserve">Réponse : </w:t>
      </w:r>
      <w:r>
        <w:rPr>
          <w:color w:val="1F2937"/>
          <w:sz w:val="16"/>
        </w:rPr>
        <w:t>La traçabilité doit respecter la séparation entre informations publiques et données internes protégées.</w:t>
      </w:r>
    </w:p>
    <w:p>
      <w:pPr>
        <w:pStyle w:val="Normal"/>
        <w:keepNext w:val="true"/>
        <w:spacing w:before="40" w:after="0"/>
        <w:ind w:start="68"/>
        <w:rPr/>
      </w:pPr>
      <w:r>
        <w:rPr>
          <w:b/>
          <w:color w:val="0B3D91"/>
          <w:sz w:val="17"/>
        </w:rPr>
        <w:t>Q8. À qui « Traçabilité de la veille » est-il utile ou destiné ?</w:t>
      </w:r>
    </w:p>
    <w:p>
      <w:pPr>
        <w:pStyle w:val="Normal"/>
        <w:spacing w:before="0" w:after="40"/>
        <w:ind w:start="255"/>
        <w:rPr/>
      </w:pPr>
      <w:r>
        <w:rPr>
          <w:b/>
          <w:color w:val="D4A017"/>
          <w:sz w:val="16"/>
        </w:rPr>
        <w:t xml:space="preserve">Réponse : </w:t>
      </w:r>
      <w:r>
        <w:rPr>
          <w:color w:val="1F2937"/>
          <w:sz w:val="16"/>
        </w:rPr>
        <w:t>Auditeurs, Direction, DAQAC, départements et utilisateurs autorisés.</w:t>
      </w:r>
    </w:p>
    <w:p>
      <w:pPr>
        <w:pStyle w:val="Normal"/>
        <w:keepNext w:val="true"/>
        <w:spacing w:before="40" w:after="0"/>
        <w:ind w:start="68"/>
        <w:rPr/>
      </w:pPr>
      <w:r>
        <w:rPr>
          <w:b/>
          <w:color w:val="0B3D91"/>
          <w:sz w:val="17"/>
        </w:rPr>
        <w:t>Q9. À quelles autres rubriques ou fonctions « Traçabilité de la veille » est-il relié ?</w:t>
      </w:r>
    </w:p>
    <w:p>
      <w:pPr>
        <w:pStyle w:val="Normal"/>
        <w:spacing w:before="0" w:after="40"/>
        <w:ind w:start="255"/>
        <w:rPr/>
      </w:pPr>
      <w:r>
        <w:rPr>
          <w:b/>
          <w:color w:val="D4A017"/>
          <w:sz w:val="16"/>
        </w:rPr>
        <w:t xml:space="preserve">Réponse : </w:t>
      </w:r>
      <w:r>
        <w:rPr>
          <w:color w:val="1F2937"/>
          <w:sz w:val="16"/>
        </w:rPr>
        <w:t>Elle permet de relier la veille au cycle d’amélioration et à la gestion documentaire.</w:t>
      </w:r>
    </w:p>
    <w:p>
      <w:pPr>
        <w:pStyle w:val="Normal"/>
        <w:keepNext w:val="true"/>
        <w:spacing w:before="40" w:after="0"/>
        <w:ind w:start="68"/>
        <w:rPr/>
      </w:pPr>
      <w:r>
        <w:rPr>
          <w:b/>
          <w:color w:val="0B3D91"/>
          <w:sz w:val="17"/>
        </w:rPr>
        <w:t>Q10. Quelle idée essentielle faut-il retenir de « Traçabilité de la veille » ?</w:t>
      </w:r>
    </w:p>
    <w:p>
      <w:pPr>
        <w:pStyle w:val="Normal"/>
        <w:spacing w:before="0" w:after="40"/>
        <w:ind w:start="255"/>
        <w:rPr/>
      </w:pPr>
      <w:r>
        <w:rPr>
          <w:b/>
          <w:color w:val="D4A017"/>
          <w:sz w:val="16"/>
        </w:rPr>
        <w:t xml:space="preserve">Réponse : </w:t>
      </w:r>
      <w:r>
        <w:rPr>
          <w:color w:val="1F2937"/>
          <w:sz w:val="16"/>
        </w:rPr>
        <w:t>Une veille fiable doit pouvoir expliquer d’où vient l’information et comment elle a été traitée.</w:t>
      </w:r>
    </w:p>
    <w:p>
      <w:pPr>
        <w:pStyle w:val="Normal"/>
        <w:rPr/>
      </w:pPr>
      <w:r>
        <w:rPr/>
      </w:r>
      <w:r>
        <w:br w:type="page"/>
      </w:r>
    </w:p>
    <w:p>
      <w:pPr>
        <w:pStyle w:val="Heading2"/>
        <w:spacing w:before="0" w:after="80"/>
        <w:rPr/>
      </w:pPr>
      <w:r>
        <w:rPr/>
        <w:t>FICHE 31 — Séparation entre information publique et décision interne</w:t>
      </w:r>
    </w:p>
    <w:p>
      <w:pPr>
        <w:pStyle w:val="Normal"/>
        <w:spacing w:before="20" w:after="80"/>
        <w:rPr/>
      </w:pPr>
      <w:r>
        <w:rPr>
          <w:b/>
          <w:color w:val="0B3D91"/>
          <w:sz w:val="16"/>
        </w:rPr>
        <w:t xml:space="preserve">Source contrôlée : </w:t>
      </w:r>
      <w:r>
        <w:rPr>
          <w:color w:val="555555"/>
          <w:sz w:val="16"/>
        </w:rPr>
        <w:t>Synthèse transversale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page rend publics les principes de veille et les références associées, mais réserve les décisions sensibles à la validation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distingue la transparence publique de la gouvernance interne.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protège les données, responsabilités et procédures tout en permettant au public de comprendre les principes.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Documentation publique, confidentialité, ÉMINA et Direction.</w:t>
            </w:r>
          </w:p>
        </w:tc>
      </w:tr>
    </w:tbl>
    <w:p>
      <w:pPr>
        <w:pStyle w:val="Heading3"/>
        <w:rPr/>
      </w:pPr>
      <w:r>
        <w:rPr/>
        <w:t>Points développés</w:t>
      </w:r>
    </w:p>
    <w:p>
      <w:pPr>
        <w:pStyle w:val="ListBullet"/>
        <w:numPr>
          <w:ilvl w:val="0"/>
          <w:numId w:val="1"/>
        </w:numPr>
        <w:spacing w:before="0" w:after="20"/>
        <w:ind w:hanging="360" w:start="255"/>
        <w:contextualSpacing/>
        <w:rPr/>
      </w:pPr>
      <w:r>
        <w:rPr>
          <w:sz w:val="17"/>
        </w:rPr>
        <w:t>Transparence</w:t>
      </w:r>
    </w:p>
    <w:p>
      <w:pPr>
        <w:pStyle w:val="ListBullet"/>
        <w:numPr>
          <w:ilvl w:val="0"/>
          <w:numId w:val="1"/>
        </w:numPr>
        <w:spacing w:before="0" w:after="20"/>
        <w:ind w:hanging="360" w:start="255"/>
        <w:contextualSpacing/>
        <w:rPr/>
      </w:pPr>
      <w:r>
        <w:rPr>
          <w:sz w:val="17"/>
        </w:rPr>
        <w:t>Confidentialité</w:t>
      </w:r>
    </w:p>
    <w:p>
      <w:pPr>
        <w:pStyle w:val="ListBullet"/>
        <w:numPr>
          <w:ilvl w:val="0"/>
          <w:numId w:val="1"/>
        </w:numPr>
        <w:spacing w:before="0" w:after="20"/>
        <w:ind w:hanging="360" w:start="255"/>
        <w:contextualSpacing/>
        <w:rPr/>
      </w:pPr>
      <w:r>
        <w:rPr>
          <w:sz w:val="17"/>
        </w:rPr>
        <w:t>Décision interne</w:t>
      </w:r>
    </w:p>
    <w:p>
      <w:pPr>
        <w:pStyle w:val="ListBullet"/>
        <w:numPr>
          <w:ilvl w:val="0"/>
          <w:numId w:val="1"/>
        </w:numPr>
        <w:spacing w:before="0" w:after="20"/>
        <w:ind w:hanging="360" w:start="255"/>
        <w:contextualSpacing/>
        <w:rPr/>
      </w:pPr>
      <w:r>
        <w:rPr>
          <w:sz w:val="17"/>
        </w:rPr>
        <w:t>Accès public</w:t>
      </w:r>
    </w:p>
    <w:p>
      <w:pPr>
        <w:pStyle w:val="Heading3"/>
        <w:rPr/>
      </w:pPr>
      <w:r>
        <w:rPr/>
        <w:t>Banque de questions-réponses</w:t>
      </w:r>
    </w:p>
    <w:p>
      <w:pPr>
        <w:pStyle w:val="Normal"/>
        <w:keepNext w:val="true"/>
        <w:spacing w:before="40" w:after="0"/>
        <w:ind w:start="68"/>
        <w:rPr/>
      </w:pPr>
      <w:r>
        <w:rPr>
          <w:b/>
          <w:color w:val="0B3D91"/>
          <w:sz w:val="17"/>
        </w:rPr>
        <w:t>Q1. Que signifie ou présente « Séparation entre information publique et décision interne » ?</w:t>
      </w:r>
    </w:p>
    <w:p>
      <w:pPr>
        <w:pStyle w:val="Normal"/>
        <w:spacing w:before="0" w:after="40"/>
        <w:ind w:start="255"/>
        <w:rPr/>
      </w:pPr>
      <w:r>
        <w:rPr>
          <w:b/>
          <w:color w:val="D4A017"/>
          <w:sz w:val="16"/>
        </w:rPr>
        <w:t xml:space="preserve">Réponse : </w:t>
      </w:r>
      <w:r>
        <w:rPr>
          <w:color w:val="1F2937"/>
          <w:sz w:val="16"/>
        </w:rPr>
        <w:t>L’information publique explique le dispositif ; la décision interne applique les règles d’autorisation du GSE.</w:t>
      </w:r>
    </w:p>
    <w:p>
      <w:pPr>
        <w:pStyle w:val="Normal"/>
        <w:keepNext w:val="true"/>
        <w:spacing w:before="40" w:after="0"/>
        <w:ind w:start="68"/>
        <w:rPr/>
      </w:pPr>
      <w:r>
        <w:rPr>
          <w:b/>
          <w:color w:val="0B3D91"/>
          <w:sz w:val="17"/>
        </w:rPr>
        <w:t>Q2. Pourquoi « Séparation entre information publique et décision interne » figure-t-il dans la page de veille officielle ?</w:t>
      </w:r>
    </w:p>
    <w:p>
      <w:pPr>
        <w:pStyle w:val="Normal"/>
        <w:spacing w:before="0" w:after="40"/>
        <w:ind w:start="255"/>
        <w:rPr/>
      </w:pPr>
      <w:r>
        <w:rPr>
          <w:b/>
          <w:color w:val="D4A017"/>
          <w:sz w:val="16"/>
        </w:rPr>
        <w:t xml:space="preserve">Réponse : </w:t>
      </w:r>
      <w:r>
        <w:rPr>
          <w:color w:val="1F2937"/>
          <w:sz w:val="16"/>
        </w:rPr>
        <w:t>Rendre la méthode compréhensible sans exposer des informations ou délibérations protégées.</w:t>
      </w:r>
    </w:p>
    <w:p>
      <w:pPr>
        <w:pStyle w:val="Normal"/>
        <w:keepNext w:val="true"/>
        <w:spacing w:before="40" w:after="0"/>
        <w:ind w:start="68"/>
        <w:rPr/>
      </w:pPr>
      <w:r>
        <w:rPr>
          <w:b/>
          <w:color w:val="0B3D91"/>
          <w:sz w:val="17"/>
        </w:rPr>
        <w:t>Q3. Quels contenus ou objets sont concernés par « Séparation entre information publique et décision interne » ?</w:t>
      </w:r>
    </w:p>
    <w:p>
      <w:pPr>
        <w:pStyle w:val="Normal"/>
        <w:spacing w:before="0" w:after="40"/>
        <w:ind w:start="255"/>
        <w:rPr/>
      </w:pPr>
      <w:r>
        <w:rPr>
          <w:b/>
          <w:color w:val="D4A017"/>
          <w:sz w:val="16"/>
        </w:rPr>
        <w:t xml:space="preserve">Réponse : </w:t>
      </w:r>
      <w:r>
        <w:rPr>
          <w:color w:val="1F2937"/>
          <w:sz w:val="16"/>
        </w:rPr>
        <w:t>Principes publics, codes documentaires et liens, d’un côté ; décisions et procédures internes, de l’autre.</w:t>
      </w:r>
    </w:p>
    <w:p>
      <w:pPr>
        <w:pStyle w:val="Normal"/>
        <w:keepNext w:val="true"/>
        <w:spacing w:before="40" w:after="0"/>
        <w:ind w:start="68"/>
        <w:rPr/>
      </w:pPr>
      <w:r>
        <w:rPr>
          <w:b/>
          <w:color w:val="0B3D91"/>
          <w:sz w:val="17"/>
        </w:rPr>
        <w:t>Q4. Quel acteur intervient dans « Séparation entre information publique et décision interne » ?</w:t>
      </w:r>
    </w:p>
    <w:p>
      <w:pPr>
        <w:pStyle w:val="Normal"/>
        <w:spacing w:before="0" w:after="40"/>
        <w:ind w:start="255"/>
        <w:rPr/>
      </w:pPr>
      <w:r>
        <w:rPr>
          <w:b/>
          <w:color w:val="D4A017"/>
          <w:sz w:val="16"/>
        </w:rPr>
        <w:t xml:space="preserve">Réponse : </w:t>
      </w:r>
      <w:r>
        <w:rPr>
          <w:color w:val="1F2937"/>
          <w:sz w:val="16"/>
        </w:rPr>
        <w:t>Le GSE publie les principes et confie la décision aux personnes habilitées.</w:t>
      </w:r>
    </w:p>
    <w:p>
      <w:pPr>
        <w:pStyle w:val="Normal"/>
        <w:keepNext w:val="true"/>
        <w:spacing w:before="40" w:after="0"/>
        <w:ind w:start="68"/>
        <w:rPr/>
      </w:pPr>
      <w:r>
        <w:rPr>
          <w:b/>
          <w:color w:val="0B3D91"/>
          <w:sz w:val="17"/>
        </w:rPr>
        <w:t>Q5. Comment « Séparation entre information publique et décision interne » est-il mis en œuvre selon le texte publié ?</w:t>
      </w:r>
    </w:p>
    <w:p>
      <w:pPr>
        <w:pStyle w:val="Normal"/>
        <w:spacing w:before="0" w:after="40"/>
        <w:ind w:start="255"/>
        <w:rPr/>
      </w:pPr>
      <w:r>
        <w:rPr>
          <w:b/>
          <w:color w:val="D4A017"/>
          <w:sz w:val="16"/>
        </w:rPr>
        <w:t xml:space="preserve">Réponse : </w:t>
      </w:r>
      <w:r>
        <w:rPr>
          <w:color w:val="1F2937"/>
          <w:sz w:val="16"/>
        </w:rPr>
        <w:t>Le public consulte la page ; les responsables traitent les suites dans les circuits appropriés.</w:t>
      </w:r>
    </w:p>
    <w:p>
      <w:pPr>
        <w:pStyle w:val="Normal"/>
        <w:keepNext w:val="true"/>
        <w:spacing w:before="40" w:after="0"/>
        <w:ind w:start="68"/>
        <w:rPr/>
      </w:pPr>
      <w:r>
        <w:rPr>
          <w:b/>
          <w:color w:val="0B3D91"/>
          <w:sz w:val="17"/>
        </w:rPr>
        <w:t>Q6. Quelle trace, référence ou information vérifiable accompagne « Séparation entre information publique et décision interne » ?</w:t>
      </w:r>
    </w:p>
    <w:p>
      <w:pPr>
        <w:pStyle w:val="Normal"/>
        <w:spacing w:before="0" w:after="40"/>
        <w:ind w:start="255"/>
        <w:rPr/>
      </w:pPr>
      <w:r>
        <w:rPr>
          <w:b/>
          <w:color w:val="D4A017"/>
          <w:sz w:val="16"/>
        </w:rPr>
        <w:t xml:space="preserve">Réponse : </w:t>
      </w:r>
      <w:r>
        <w:rPr>
          <w:color w:val="1F2937"/>
          <w:sz w:val="16"/>
        </w:rPr>
        <w:t>Les pages publiques et les documents approuvés servent de traces ouvertes.</w:t>
      </w:r>
    </w:p>
    <w:p>
      <w:pPr>
        <w:pStyle w:val="Normal"/>
        <w:keepNext w:val="true"/>
        <w:spacing w:before="40" w:after="0"/>
        <w:ind w:start="68"/>
        <w:rPr/>
      </w:pPr>
      <w:r>
        <w:rPr>
          <w:b/>
          <w:color w:val="0B3D91"/>
          <w:sz w:val="17"/>
        </w:rPr>
        <w:t>Q7. Quelle limite ou précaution est associée à « Séparation entre information publique et décision interne » ?</w:t>
      </w:r>
    </w:p>
    <w:p>
      <w:pPr>
        <w:pStyle w:val="Normal"/>
        <w:spacing w:before="0" w:after="40"/>
        <w:ind w:start="255"/>
        <w:rPr/>
      </w:pPr>
      <w:r>
        <w:rPr>
          <w:b/>
          <w:color w:val="D4A017"/>
          <w:sz w:val="16"/>
        </w:rPr>
        <w:t xml:space="preserve">Réponse : </w:t>
      </w:r>
      <w:r>
        <w:rPr>
          <w:color w:val="1F2937"/>
          <w:sz w:val="16"/>
        </w:rPr>
        <w:t>La publication des principes ne signifie pas publication de toutes les analyses ou décisions internes.</w:t>
      </w:r>
    </w:p>
    <w:p>
      <w:pPr>
        <w:pStyle w:val="Normal"/>
        <w:keepNext w:val="true"/>
        <w:spacing w:before="40" w:after="0"/>
        <w:ind w:start="68"/>
        <w:rPr/>
      </w:pPr>
      <w:r>
        <w:rPr>
          <w:b/>
          <w:color w:val="0B3D91"/>
          <w:sz w:val="17"/>
        </w:rPr>
        <w:t>Q8. À qui « Séparation entre information publique et décision interne » est-il utile ou destiné ?</w:t>
      </w:r>
    </w:p>
    <w:p>
      <w:pPr>
        <w:pStyle w:val="Normal"/>
        <w:spacing w:before="0" w:after="40"/>
        <w:ind w:start="255"/>
        <w:rPr/>
      </w:pPr>
      <w:r>
        <w:rPr>
          <w:b/>
          <w:color w:val="D4A017"/>
          <w:sz w:val="16"/>
        </w:rPr>
        <w:t xml:space="preserve">Réponse : </w:t>
      </w:r>
      <w:r>
        <w:rPr>
          <w:color w:val="1F2937"/>
          <w:sz w:val="16"/>
        </w:rPr>
        <w:t>Public, familles, partenaires et personnel autorisé.</w:t>
      </w:r>
    </w:p>
    <w:p>
      <w:pPr>
        <w:pStyle w:val="Normal"/>
        <w:keepNext w:val="true"/>
        <w:spacing w:before="40" w:after="0"/>
        <w:ind w:start="68"/>
        <w:rPr/>
      </w:pPr>
      <w:r>
        <w:rPr>
          <w:b/>
          <w:color w:val="0B3D91"/>
          <w:sz w:val="17"/>
        </w:rPr>
        <w:t>Q9. À quelles autres rubriques ou fonctions « Séparation entre information publique et décision interne » est-il relié ?</w:t>
      </w:r>
    </w:p>
    <w:p>
      <w:pPr>
        <w:pStyle w:val="Normal"/>
        <w:spacing w:before="0" w:after="40"/>
        <w:ind w:start="255"/>
        <w:rPr/>
      </w:pPr>
      <w:r>
        <w:rPr>
          <w:b/>
          <w:color w:val="D4A017"/>
          <w:sz w:val="16"/>
        </w:rPr>
        <w:t xml:space="preserve">Réponse : </w:t>
      </w:r>
      <w:r>
        <w:rPr>
          <w:color w:val="1F2937"/>
          <w:sz w:val="16"/>
        </w:rPr>
        <w:t>Cette séparation est cohérente avec la bibliothèque publique qui exclut les données sensibles.</w:t>
      </w:r>
    </w:p>
    <w:p>
      <w:pPr>
        <w:pStyle w:val="Normal"/>
        <w:keepNext w:val="true"/>
        <w:spacing w:before="40" w:after="0"/>
        <w:ind w:start="68"/>
        <w:rPr/>
      </w:pPr>
      <w:r>
        <w:rPr>
          <w:b/>
          <w:color w:val="0B3D91"/>
          <w:sz w:val="17"/>
        </w:rPr>
        <w:t>Q10. Quelle idée essentielle faut-il retenir de « Séparation entre information publique et décision interne » ?</w:t>
      </w:r>
    </w:p>
    <w:p>
      <w:pPr>
        <w:pStyle w:val="Normal"/>
        <w:spacing w:before="0" w:after="40"/>
        <w:ind w:start="255"/>
        <w:rPr/>
      </w:pPr>
      <w:r>
        <w:rPr>
          <w:b/>
          <w:color w:val="D4A017"/>
          <w:sz w:val="16"/>
        </w:rPr>
        <w:t xml:space="preserve">Réponse : </w:t>
      </w:r>
      <w:r>
        <w:rPr>
          <w:color w:val="1F2937"/>
          <w:sz w:val="16"/>
        </w:rPr>
        <w:t>La transparence porte sur les principes et références, non sur toutes les décisions internes.</w:t>
      </w:r>
    </w:p>
    <w:p>
      <w:pPr>
        <w:pStyle w:val="Normal"/>
        <w:rPr/>
      </w:pPr>
      <w:r>
        <w:rPr/>
      </w:r>
      <w:r>
        <w:br w:type="page"/>
      </w:r>
    </w:p>
    <w:p>
      <w:pPr>
        <w:pStyle w:val="Heading2"/>
        <w:spacing w:before="0" w:after="80"/>
        <w:rPr/>
      </w:pPr>
      <w:r>
        <w:rPr/>
        <w:t>FICHE 32 — Lien entre Veille officielle, DAQAC, Direction et ÉMINA</w:t>
      </w:r>
    </w:p>
    <w:p>
      <w:pPr>
        <w:pStyle w:val="Normal"/>
        <w:spacing w:before="20" w:after="80"/>
        <w:rPr/>
      </w:pPr>
      <w:r>
        <w:rPr>
          <w:b/>
          <w:color w:val="0B3D91"/>
          <w:sz w:val="16"/>
        </w:rPr>
        <w:t xml:space="preserve">Source contrôlée : </w:t>
      </w:r>
      <w:r>
        <w:rPr>
          <w:color w:val="555555"/>
          <w:sz w:val="16"/>
        </w:rPr>
        <w:t>Synthèse transversale — https://test.gsleseminents.com/veille-officielle/ — relevé du 2 juillet 2026</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w:t>
            </w:r>
            <w:r>
              <w:rPr>
                <w:color w:val="1F2937"/>
                <w:sz w:val="17"/>
              </w:rPr>
              <w:t>La veille suit et analyse ; ÉMINA peut proposer un classement ou une note d’impact ; la Direction et le DAQAC sont propriétaires de la ressource publique ; la validation sensible reste humaine.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Raison du titre ou de la section : </w:t>
            </w:r>
            <w:r>
              <w:rPr>
                <w:color w:val="1F2937"/>
                <w:sz w:val="17"/>
              </w:rPr>
              <w:t>Le titre montre la complémentarité entre outil d’assistance, fonction qualité et autorité décisionnelle.</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Importance dans le projet : </w:t>
            </w:r>
            <w:r>
              <w:rPr>
                <w:color w:val="1F2937"/>
                <w:sz w:val="17"/>
              </w:rPr>
              <w:t>Il clarifie les responsabilités et limite les chevauchements.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Liens avec les autres sections : </w:t>
            </w:r>
            <w:r>
              <w:rPr>
                <w:color w:val="1F2937"/>
                <w:sz w:val="17"/>
              </w:rPr>
              <w:t>Liens avec Assurance qualité, Documentation publique, Départements et gouvernance.</w:t>
            </w:r>
          </w:p>
        </w:tc>
      </w:tr>
    </w:tbl>
    <w:p>
      <w:pPr>
        <w:pStyle w:val="Heading3"/>
        <w:rPr/>
      </w:pPr>
      <w:r>
        <w:rPr/>
        <w:t>Points développés</w:t>
      </w:r>
    </w:p>
    <w:p>
      <w:pPr>
        <w:pStyle w:val="ListBullet"/>
        <w:numPr>
          <w:ilvl w:val="0"/>
          <w:numId w:val="1"/>
        </w:numPr>
        <w:spacing w:before="0" w:after="20"/>
        <w:ind w:hanging="360" w:start="255"/>
        <w:contextualSpacing/>
        <w:rPr/>
      </w:pPr>
      <w:r>
        <w:rPr>
          <w:sz w:val="17"/>
        </w:rPr>
        <w:t>ÉMINA propose</w:t>
      </w:r>
    </w:p>
    <w:p>
      <w:pPr>
        <w:pStyle w:val="ListBullet"/>
        <w:numPr>
          <w:ilvl w:val="0"/>
          <w:numId w:val="1"/>
        </w:numPr>
        <w:spacing w:before="0" w:after="20"/>
        <w:ind w:hanging="360" w:start="255"/>
        <w:contextualSpacing/>
        <w:rPr/>
      </w:pPr>
      <w:r>
        <w:rPr>
          <w:sz w:val="17"/>
        </w:rPr>
        <w:t>DAQAC coordonne</w:t>
      </w:r>
    </w:p>
    <w:p>
      <w:pPr>
        <w:pStyle w:val="ListBullet"/>
        <w:numPr>
          <w:ilvl w:val="0"/>
          <w:numId w:val="1"/>
        </w:numPr>
        <w:spacing w:before="0" w:after="20"/>
        <w:ind w:hanging="360" w:start="255"/>
        <w:contextualSpacing/>
        <w:rPr/>
      </w:pPr>
      <w:r>
        <w:rPr>
          <w:sz w:val="17"/>
        </w:rPr>
        <w:t>Direction valide</w:t>
      </w:r>
    </w:p>
    <w:p>
      <w:pPr>
        <w:pStyle w:val="ListBullet"/>
        <w:numPr>
          <w:ilvl w:val="0"/>
          <w:numId w:val="1"/>
        </w:numPr>
        <w:spacing w:before="0" w:after="20"/>
        <w:ind w:hanging="360" w:start="255"/>
        <w:contextualSpacing/>
        <w:rPr/>
      </w:pPr>
      <w:r>
        <w:rPr>
          <w:sz w:val="17"/>
        </w:rPr>
        <w:t>Départements examinent</w:t>
      </w:r>
    </w:p>
    <w:p>
      <w:pPr>
        <w:pStyle w:val="Heading3"/>
        <w:rPr/>
      </w:pPr>
      <w:r>
        <w:rPr/>
        <w:t>Banque de questions-réponses</w:t>
      </w:r>
    </w:p>
    <w:p>
      <w:pPr>
        <w:pStyle w:val="Normal"/>
        <w:keepNext w:val="true"/>
        <w:spacing w:before="40" w:after="0"/>
        <w:ind w:start="68"/>
        <w:rPr/>
      </w:pPr>
      <w:r>
        <w:rPr>
          <w:b/>
          <w:color w:val="0B3D91"/>
          <w:sz w:val="17"/>
        </w:rPr>
        <w:t>Q1. Que signifie ou présente « Lien entre Veille officielle, DAQAC, Direction et ÉMINA » ?</w:t>
      </w:r>
    </w:p>
    <w:p>
      <w:pPr>
        <w:pStyle w:val="Normal"/>
        <w:spacing w:before="0" w:after="40"/>
        <w:ind w:start="255"/>
        <w:rPr/>
      </w:pPr>
      <w:r>
        <w:rPr>
          <w:b/>
          <w:color w:val="D4A017"/>
          <w:sz w:val="16"/>
        </w:rPr>
        <w:t xml:space="preserve">Réponse : </w:t>
      </w:r>
      <w:r>
        <w:rPr>
          <w:color w:val="1F2937"/>
          <w:sz w:val="16"/>
        </w:rPr>
        <w:t>Chaque acteur contribue selon un rôle distinct : information, analyse, coordination ou décision.</w:t>
      </w:r>
    </w:p>
    <w:p>
      <w:pPr>
        <w:pStyle w:val="Normal"/>
        <w:keepNext w:val="true"/>
        <w:spacing w:before="40" w:after="0"/>
        <w:ind w:start="68"/>
        <w:rPr/>
      </w:pPr>
      <w:r>
        <w:rPr>
          <w:b/>
          <w:color w:val="0B3D91"/>
          <w:sz w:val="17"/>
        </w:rPr>
        <w:t>Q2. Pourquoi « Lien entre Veille officielle, DAQAC, Direction et ÉMINA » figure-t-il dans la page de veille officielle ?</w:t>
      </w:r>
    </w:p>
    <w:p>
      <w:pPr>
        <w:pStyle w:val="Normal"/>
        <w:spacing w:before="0" w:after="40"/>
        <w:ind w:start="255"/>
        <w:rPr/>
      </w:pPr>
      <w:r>
        <w:rPr>
          <w:b/>
          <w:color w:val="D4A017"/>
          <w:sz w:val="16"/>
        </w:rPr>
        <w:t xml:space="preserve">Réponse : </w:t>
      </w:r>
      <w:r>
        <w:rPr>
          <w:color w:val="1F2937"/>
          <w:sz w:val="16"/>
        </w:rPr>
        <w:t>Organiser une veille utile sans déléguer la décision à l’assistante.</w:t>
      </w:r>
    </w:p>
    <w:p>
      <w:pPr>
        <w:pStyle w:val="Normal"/>
        <w:keepNext w:val="true"/>
        <w:spacing w:before="40" w:after="0"/>
        <w:ind w:start="68"/>
        <w:rPr/>
      </w:pPr>
      <w:r>
        <w:rPr>
          <w:b/>
          <w:color w:val="0B3D91"/>
          <w:sz w:val="17"/>
        </w:rPr>
        <w:t>Q3. Quels contenus ou objets sont concernés par « Lien entre Veille officielle, DAQAC, Direction et ÉMINA » ?</w:t>
      </w:r>
    </w:p>
    <w:p>
      <w:pPr>
        <w:pStyle w:val="Normal"/>
        <w:spacing w:before="0" w:after="40"/>
        <w:ind w:start="255"/>
        <w:rPr/>
      </w:pPr>
      <w:r>
        <w:rPr>
          <w:b/>
          <w:color w:val="D4A017"/>
          <w:sz w:val="16"/>
        </w:rPr>
        <w:t xml:space="preserve">Réponse : </w:t>
      </w:r>
      <w:r>
        <w:rPr>
          <w:color w:val="1F2937"/>
          <w:sz w:val="16"/>
        </w:rPr>
        <w:t>Suivi des sources, notes d’impact, contrôle qualité, propriété documentaire et validation.</w:t>
      </w:r>
    </w:p>
    <w:p>
      <w:pPr>
        <w:pStyle w:val="Normal"/>
        <w:keepNext w:val="true"/>
        <w:spacing w:before="40" w:after="0"/>
        <w:ind w:start="68"/>
        <w:rPr/>
      </w:pPr>
      <w:r>
        <w:rPr>
          <w:b/>
          <w:color w:val="0B3D91"/>
          <w:sz w:val="17"/>
        </w:rPr>
        <w:t>Q4. Quel acteur intervient dans « Lien entre Veille officielle, DAQAC, Direction et ÉMINA » ?</w:t>
      </w:r>
    </w:p>
    <w:p>
      <w:pPr>
        <w:pStyle w:val="Normal"/>
        <w:spacing w:before="0" w:after="40"/>
        <w:ind w:start="255"/>
        <w:rPr/>
      </w:pPr>
      <w:r>
        <w:rPr>
          <w:b/>
          <w:color w:val="D4A017"/>
          <w:sz w:val="16"/>
        </w:rPr>
        <w:t xml:space="preserve">Réponse : </w:t>
      </w:r>
      <w:r>
        <w:rPr>
          <w:color w:val="1F2937"/>
          <w:sz w:val="16"/>
        </w:rPr>
        <w:t>ÉMINA propose ; le DAQAC coordonne la qualité ; la Direction et les responsables valident selon leurs compétences.</w:t>
      </w:r>
    </w:p>
    <w:p>
      <w:pPr>
        <w:pStyle w:val="Normal"/>
        <w:keepNext w:val="true"/>
        <w:spacing w:before="40" w:after="0"/>
        <w:ind w:start="68"/>
        <w:rPr/>
      </w:pPr>
      <w:r>
        <w:rPr>
          <w:b/>
          <w:color w:val="0B3D91"/>
          <w:sz w:val="17"/>
        </w:rPr>
        <w:t>Q5. Comment « Lien entre Veille officielle, DAQAC, Direction et ÉMINA » est-il mis en œuvre selon le texte publié ?</w:t>
      </w:r>
    </w:p>
    <w:p>
      <w:pPr>
        <w:pStyle w:val="Normal"/>
        <w:spacing w:before="0" w:after="40"/>
        <w:ind w:start="255"/>
        <w:rPr/>
      </w:pPr>
      <w:r>
        <w:rPr>
          <w:b/>
          <w:color w:val="D4A017"/>
          <w:sz w:val="16"/>
        </w:rPr>
        <w:t xml:space="preserve">Réponse : </w:t>
      </w:r>
      <w:r>
        <w:rPr>
          <w:color w:val="1F2937"/>
          <w:sz w:val="16"/>
        </w:rPr>
        <w:t>Les informations passent de la source vers l’analyse, puis vers les acteurs humains compétents.</w:t>
      </w:r>
    </w:p>
    <w:p>
      <w:pPr>
        <w:pStyle w:val="Normal"/>
        <w:keepNext w:val="true"/>
        <w:spacing w:before="40" w:after="0"/>
        <w:ind w:start="68"/>
        <w:rPr/>
      </w:pPr>
      <w:r>
        <w:rPr>
          <w:b/>
          <w:color w:val="0B3D91"/>
          <w:sz w:val="17"/>
        </w:rPr>
        <w:t>Q6. Quelle trace, référence ou information vérifiable accompagne « Lien entre Veille officielle, DAQAC, Direction et ÉMINA » ?</w:t>
      </w:r>
    </w:p>
    <w:p>
      <w:pPr>
        <w:pStyle w:val="Normal"/>
        <w:spacing w:before="0" w:after="40"/>
        <w:ind w:start="255"/>
        <w:rPr/>
      </w:pPr>
      <w:r>
        <w:rPr>
          <w:b/>
          <w:color w:val="D4A017"/>
          <w:sz w:val="16"/>
        </w:rPr>
        <w:t xml:space="preserve">Réponse : </w:t>
      </w:r>
      <w:r>
        <w:rPr>
          <w:color w:val="1F2937"/>
          <w:sz w:val="16"/>
        </w:rPr>
        <w:t>La fiche GSE-PUB-VEI-001 identifie Direction / DAQAC comme propriétaires.</w:t>
      </w:r>
    </w:p>
    <w:p>
      <w:pPr>
        <w:pStyle w:val="Normal"/>
        <w:keepNext w:val="true"/>
        <w:spacing w:before="40" w:after="0"/>
        <w:ind w:start="68"/>
        <w:rPr/>
      </w:pPr>
      <w:r>
        <w:rPr>
          <w:b/>
          <w:color w:val="0B3D91"/>
          <w:sz w:val="17"/>
        </w:rPr>
        <w:t>Q7. Quelle limite ou précaution est associée à « Lien entre Veille officielle, DAQAC, Direction et ÉMINA » ?</w:t>
      </w:r>
    </w:p>
    <w:p>
      <w:pPr>
        <w:pStyle w:val="Normal"/>
        <w:spacing w:before="0" w:after="40"/>
        <w:ind w:start="255"/>
        <w:rPr/>
      </w:pPr>
      <w:r>
        <w:rPr>
          <w:b/>
          <w:color w:val="D4A017"/>
          <w:sz w:val="16"/>
        </w:rPr>
        <w:t xml:space="preserve">Réponse : </w:t>
      </w:r>
      <w:r>
        <w:rPr>
          <w:color w:val="1F2937"/>
          <w:sz w:val="16"/>
        </w:rPr>
        <w:t>Aucun acteur ne doit agir au-delà de son mandat publié.</w:t>
      </w:r>
    </w:p>
    <w:p>
      <w:pPr>
        <w:pStyle w:val="Normal"/>
        <w:keepNext w:val="true"/>
        <w:spacing w:before="40" w:after="0"/>
        <w:ind w:start="68"/>
        <w:rPr/>
      </w:pPr>
      <w:r>
        <w:rPr>
          <w:b/>
          <w:color w:val="0B3D91"/>
          <w:sz w:val="17"/>
        </w:rPr>
        <w:t>Q8. À qui « Lien entre Veille officielle, DAQAC, Direction et ÉMINA » est-il utile ou destiné ?</w:t>
      </w:r>
    </w:p>
    <w:p>
      <w:pPr>
        <w:pStyle w:val="Normal"/>
        <w:spacing w:before="0" w:after="40"/>
        <w:ind w:start="255"/>
        <w:rPr/>
      </w:pPr>
      <w:r>
        <w:rPr>
          <w:b/>
          <w:color w:val="D4A017"/>
          <w:sz w:val="16"/>
        </w:rPr>
        <w:t xml:space="preserve">Réponse : </w:t>
      </w:r>
      <w:r>
        <w:rPr>
          <w:color w:val="1F2937"/>
          <w:sz w:val="16"/>
        </w:rPr>
        <w:t>Direction, DAQAC, départements, utilisateurs d’ÉMINA et public.</w:t>
      </w:r>
    </w:p>
    <w:p>
      <w:pPr>
        <w:pStyle w:val="Normal"/>
        <w:keepNext w:val="true"/>
        <w:spacing w:before="40" w:after="0"/>
        <w:ind w:start="68"/>
        <w:rPr/>
      </w:pPr>
      <w:r>
        <w:rPr>
          <w:b/>
          <w:color w:val="0B3D91"/>
          <w:sz w:val="17"/>
        </w:rPr>
        <w:t>Q9. À quelles autres rubriques ou fonctions « Lien entre Veille officielle, DAQAC, Direction et ÉMINA » est-il relié ?</w:t>
      </w:r>
    </w:p>
    <w:p>
      <w:pPr>
        <w:pStyle w:val="Normal"/>
        <w:spacing w:before="0" w:after="40"/>
        <w:ind w:start="255"/>
        <w:rPr/>
      </w:pPr>
      <w:r>
        <w:rPr>
          <w:b/>
          <w:color w:val="D4A017"/>
          <w:sz w:val="16"/>
        </w:rPr>
        <w:t xml:space="preserve">Réponse : </w:t>
      </w:r>
      <w:r>
        <w:rPr>
          <w:color w:val="1F2937"/>
          <w:sz w:val="16"/>
        </w:rPr>
        <w:t>Cette articulation constitue le cœur de la gouvernance de la veille.</w:t>
      </w:r>
    </w:p>
    <w:p>
      <w:pPr>
        <w:pStyle w:val="Normal"/>
        <w:keepNext w:val="true"/>
        <w:spacing w:before="40" w:after="0"/>
        <w:ind w:start="68"/>
        <w:rPr/>
      </w:pPr>
      <w:r>
        <w:rPr>
          <w:b/>
          <w:color w:val="0B3D91"/>
          <w:sz w:val="17"/>
        </w:rPr>
        <w:t>Q10. Quelle idée essentielle faut-il retenir de « Lien entre Veille officielle, DAQAC, Direction et ÉMINA » ?</w:t>
      </w:r>
    </w:p>
    <w:p>
      <w:pPr>
        <w:pStyle w:val="Normal"/>
        <w:spacing w:before="0" w:after="40"/>
        <w:ind w:start="255"/>
        <w:rPr/>
      </w:pPr>
      <w:r>
        <w:rPr>
          <w:b/>
          <w:color w:val="D4A017"/>
          <w:sz w:val="16"/>
        </w:rPr>
        <w:t xml:space="preserve">Réponse : </w:t>
      </w:r>
      <w:r>
        <w:rPr>
          <w:color w:val="1F2937"/>
          <w:sz w:val="16"/>
        </w:rPr>
        <w:t>La veille est collective : l’outil aide, la qualité coordonne et l’humain décide.</w:t>
      </w:r>
    </w:p>
    <w:p>
      <w:pPr>
        <w:pStyle w:val="Normal"/>
        <w:rPr/>
      </w:pPr>
      <w:r>
        <w:rPr/>
      </w:r>
      <w:r>
        <w:br w:type="page"/>
      </w:r>
    </w:p>
    <w:p>
      <w:pPr>
        <w:pStyle w:val="Heading1"/>
        <w:spacing w:before="0" w:after="100"/>
        <w:rPr/>
      </w:pPr>
      <w:r>
        <w:rPr/>
        <w:t>4. Lecture transversale du dispositif</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Veille ↔ Documentation : </w:t>
            </w:r>
            <w:r>
              <w:rPr>
                <w:color w:val="1F2937"/>
                <w:sz w:val="17"/>
              </w:rPr>
              <w:t>La veille s’appuie sur des sources identifiées et renvoie vers une bibliothèque publique versionnée.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Veille ↔ Assurance qualité : </w:t>
            </w:r>
            <w:r>
              <w:rPr>
                <w:color w:val="1F2937"/>
                <w:sz w:val="17"/>
              </w:rPr>
              <w:t>Les impacts validés peuvent être intégrés à des audits, plans d’action ou suivis d’amélioration.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Veille ↔ Direction : </w:t>
            </w:r>
            <w:r>
              <w:rPr>
                <w:color w:val="1F2937"/>
                <w:sz w:val="17"/>
              </w:rPr>
              <w:t>La Direction conserve la responsabilité des validations et décisions relevant de son mandat.</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Veille ↔ DAQAC : </w:t>
            </w:r>
            <w:r>
              <w:rPr>
                <w:color w:val="1F2937"/>
                <w:sz w:val="17"/>
              </w:rPr>
              <w:t>Le DAQAC contribue à la qualification, au contrôle des preuves et au suivi des améliorations.</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Veille ↔ Départements : </w:t>
            </w:r>
            <w:r>
              <w:rPr>
                <w:color w:val="1F2937"/>
                <w:sz w:val="17"/>
              </w:rPr>
              <w:t>Chaque impact possible est transmis au service compétent pour examen opérationnel.</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Veille ↔ ÉMINA : </w:t>
            </w:r>
            <w:r>
              <w:rPr>
                <w:color w:val="1F2937"/>
                <w:sz w:val="17"/>
              </w:rPr>
              <w:t>ÉMINA peut organiser ou résumer l’information, sans imposer une décision.</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Veille ↔ Gouvernance : </w:t>
            </w:r>
            <w:r>
              <w:rPr>
                <w:color w:val="1F2937"/>
                <w:sz w:val="17"/>
              </w:rPr>
              <w:t>La validation humaine, la traçabilité et l’attribution des responsabilités protègent la gouvernance.</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Veille ↔ Communication : </w:t>
            </w:r>
            <w:r>
              <w:rPr>
                <w:color w:val="1F2937"/>
                <w:sz w:val="17"/>
              </w:rPr>
              <w:t>Aucune reconnaissance non obtenue ne doit être annoncée au public.</w:t>
            </w:r>
          </w:p>
        </w:tc>
      </w:tr>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Veille ↔ Confidentialité : </w:t>
            </w:r>
            <w:r>
              <w:rPr>
                <w:color w:val="1F2937"/>
                <w:sz w:val="17"/>
              </w:rPr>
              <w:t>Les principes sont publics, mais les décisions et informations internes restent dans les circuits autorisés.</w:t>
            </w:r>
          </w:p>
        </w:tc>
      </w:tr>
      <w:tr>
        <w:trPr/>
        <w:tc>
          <w:tcPr>
            <w:tcW w:w="10483" w:type="dxa"/>
            <w:tcBorders>
              <w:top w:val="single" w:sz="6" w:space="0" w:color="0B3D91"/>
              <w:start w:val="single" w:sz="6" w:space="0" w:color="0B3D91"/>
              <w:bottom w:val="single" w:sz="6" w:space="0" w:color="0B3D91"/>
              <w:end w:val="single" w:sz="6" w:space="0" w:color="0B3D91"/>
            </w:tcBorders>
            <w:shd w:fill="FFF6D8"/>
          </w:tcPr>
          <w:p>
            <w:pPr>
              <w:pStyle w:val="Normal"/>
              <w:spacing w:before="0" w:after="0"/>
              <w:rPr/>
            </w:pPr>
            <w:r>
              <w:rPr>
                <w:b/>
                <w:color w:val="0B3D91"/>
                <w:sz w:val="17"/>
              </w:rPr>
              <w:t xml:space="preserve">Veille ↔ Actualités : </w:t>
            </w:r>
            <w:r>
              <w:rPr>
                <w:color w:val="1F2937"/>
                <w:sz w:val="17"/>
              </w:rPr>
              <w:t>La veille analyse des publications officielles ; elle ne doit pas être confondue avec un simple fil d’actualités.</w:t>
            </w:r>
          </w:p>
        </w:tc>
      </w:tr>
    </w:tbl>
    <w:p>
      <w:pPr>
        <w:pStyle w:val="Heading1"/>
        <w:rPr/>
      </w:pPr>
      <w:r>
        <w:rPr/>
        <w:t>5. Recommandations d’utilisation et de maintenance</w:t>
      </w:r>
    </w:p>
    <w:p>
      <w:pPr>
        <w:pStyle w:val="ListBullet"/>
        <w:numPr>
          <w:ilvl w:val="0"/>
          <w:numId w:val="1"/>
        </w:numPr>
        <w:spacing w:before="0" w:after="20"/>
        <w:ind w:hanging="360" w:start="255"/>
        <w:contextualSpacing/>
        <w:rPr/>
      </w:pPr>
      <w:r>
        <w:rPr>
          <w:sz w:val="17"/>
        </w:rPr>
        <w:t>Intégrer les questions validées dans la base publique d’ÉMINA en conservant la référence GSE-PUB-VEI-001 et la version active.</w:t>
      </w:r>
    </w:p>
    <w:p>
      <w:pPr>
        <w:pStyle w:val="ListBullet"/>
        <w:numPr>
          <w:ilvl w:val="0"/>
          <w:numId w:val="1"/>
        </w:numPr>
        <w:spacing w:before="0" w:after="20"/>
        <w:ind w:hanging="360" w:start="255"/>
        <w:contextualSpacing/>
        <w:rPr/>
      </w:pPr>
      <w:r>
        <w:rPr>
          <w:sz w:val="17"/>
        </w:rPr>
        <w:t>Ajouter sur la page un tableau public précisant, pour chaque publication importante, la source, la date, la portée, le statut d’analyse et le département saisi, sans exposer d’informations sensibles.</w:t>
      </w:r>
    </w:p>
    <w:p>
      <w:pPr>
        <w:pStyle w:val="ListBullet"/>
        <w:numPr>
          <w:ilvl w:val="0"/>
          <w:numId w:val="1"/>
        </w:numPr>
        <w:spacing w:before="0" w:after="20"/>
        <w:ind w:hanging="360" w:start="255"/>
        <w:contextualSpacing/>
        <w:rPr/>
      </w:pPr>
      <w:r>
        <w:rPr>
          <w:sz w:val="17"/>
        </w:rPr>
        <w:t>Conserver la règle selon laquelle ÉMINA propose un classement ou une note d’impact, mais ne prend aucune décision.</w:t>
      </w:r>
    </w:p>
    <w:p>
      <w:pPr>
        <w:pStyle w:val="ListBullet"/>
        <w:numPr>
          <w:ilvl w:val="0"/>
          <w:numId w:val="1"/>
        </w:numPr>
        <w:spacing w:before="0" w:after="20"/>
        <w:ind w:hanging="360" w:start="255"/>
        <w:contextualSpacing/>
        <w:rPr/>
      </w:pPr>
      <w:r>
        <w:rPr>
          <w:sz w:val="17"/>
        </w:rPr>
        <w:t>Définir et publier, lorsque validé, les niveaux du « système d’alerte gradué » mentionné dans la fiche documentaire.</w:t>
      </w:r>
    </w:p>
    <w:p>
      <w:pPr>
        <w:pStyle w:val="ListBullet"/>
        <w:numPr>
          <w:ilvl w:val="0"/>
          <w:numId w:val="1"/>
        </w:numPr>
        <w:spacing w:before="0" w:after="20"/>
        <w:ind w:hanging="360" w:start="255"/>
        <w:contextualSpacing/>
        <w:rPr/>
      </w:pPr>
      <w:r>
        <w:rPr>
          <w:sz w:val="17"/>
        </w:rPr>
        <w:t>Réviser la banque à chaque changement de version, de propriétaire documentaire ou de procédure publique.</w:t>
      </w:r>
    </w:p>
    <w:p>
      <w:pPr>
        <w:pStyle w:val="ListBullet"/>
        <w:numPr>
          <w:ilvl w:val="0"/>
          <w:numId w:val="1"/>
        </w:numPr>
        <w:spacing w:before="0" w:after="20"/>
        <w:ind w:hanging="360" w:start="255"/>
        <w:contextualSpacing/>
        <w:rPr/>
      </w:pPr>
      <w:r>
        <w:rPr>
          <w:sz w:val="17"/>
        </w:rPr>
        <w:t>Former les responsables de département à distinguer impact possible, interprétation juridique et décision institutionnelle.</w:t>
      </w:r>
    </w:p>
    <w:p>
      <w:pPr>
        <w:pStyle w:val="ListBullet"/>
        <w:numPr>
          <w:ilvl w:val="0"/>
          <w:numId w:val="1"/>
        </w:numPr>
        <w:spacing w:before="0" w:after="20"/>
        <w:ind w:hanging="360" w:start="255"/>
        <w:contextualSpacing/>
        <w:rPr/>
      </w:pPr>
      <w:r>
        <w:rPr>
          <w:sz w:val="17"/>
        </w:rPr>
        <w:t>Vérifier régulièrement que tous les liens de la Documentation associée pointent vers les versions actives.</w:t>
      </w:r>
    </w:p>
    <w:p>
      <w:pPr>
        <w:pStyle w:val="ListBullet"/>
        <w:numPr>
          <w:ilvl w:val="0"/>
          <w:numId w:val="1"/>
        </w:numPr>
        <w:spacing w:before="0" w:after="20"/>
        <w:ind w:hanging="360" w:start="255"/>
        <w:contextualSpacing/>
        <w:rPr/>
      </w:pPr>
      <w:r>
        <w:rPr>
          <w:sz w:val="17"/>
        </w:rPr>
        <w:t>Créer une procédure interne de preuve de validation pour les adoptions sensibles, sans publier les données protégées.</w:t>
      </w:r>
    </w:p>
    <w:p>
      <w:pPr>
        <w:pStyle w:val="ListBullet"/>
        <w:numPr>
          <w:ilvl w:val="0"/>
          <w:numId w:val="1"/>
        </w:numPr>
        <w:spacing w:before="0" w:after="20"/>
        <w:ind w:hanging="360" w:start="255"/>
        <w:contextualSpacing/>
        <w:rPr/>
      </w:pPr>
      <w:r>
        <w:rPr>
          <w:sz w:val="17"/>
        </w:rPr>
        <w:t>Maintenir la cohérence entre la page Veille officielle, la page Assurance qualité et les limites publiques d’ÉMINA.</w:t>
      </w:r>
    </w:p>
    <w:p>
      <w:pPr>
        <w:pStyle w:val="ListBullet"/>
        <w:numPr>
          <w:ilvl w:val="0"/>
          <w:numId w:val="1"/>
        </w:numPr>
        <w:spacing w:before="0" w:after="20"/>
        <w:ind w:hanging="360" w:start="255"/>
        <w:contextualSpacing/>
        <w:rPr/>
      </w:pPr>
      <w:r>
        <w:rPr>
          <w:sz w:val="17"/>
        </w:rPr>
        <w:t>Préparer les versions linguistiques annoncées en conservant exactement les mêmes garanties de prudence et de validation humaine.</w:t>
      </w:r>
    </w:p>
    <w:p>
      <w:pPr>
        <w:pStyle w:val="Normal"/>
        <w:rPr/>
      </w:pPr>
      <w:r>
        <w:rPr/>
      </w:r>
      <w:r>
        <w:br w:type="page"/>
      </w:r>
    </w:p>
    <w:p>
      <w:pPr>
        <w:pStyle w:val="Heading1"/>
        <w:spacing w:before="0" w:after="100"/>
        <w:rPr/>
      </w:pPr>
      <w:r>
        <w:rPr/>
        <w:t>6. Glossaire des mots clés, sigles, abréviations et termes difficiles</w:t>
      </w:r>
    </w:p>
    <w:p>
      <w:pPr>
        <w:pStyle w:val="Normal"/>
        <w:rPr/>
      </w:pPr>
      <w:r>
        <w:rPr>
          <w:sz w:val="18"/>
        </w:rPr>
        <w:t>Ces définitions sont adaptées au contexte de la page « Veille officielle » et de ses références documentaires publiques.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blHeader w:val="true"/>
        </w:trPr>
        <w:tc>
          <w:tcPr>
            <w:tcW w:w="5241"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8"/>
              </w:rPr>
              <w:t>Terme / sigle</w:t>
            </w:r>
          </w:p>
        </w:tc>
        <w:tc>
          <w:tcPr>
            <w:tcW w:w="5241"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8"/>
              </w:rPr>
              <w:t>Définition dans le contexte du GSE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1.0</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Numéro de la version publique actuellement affichée pour la ressource GSE-PUB-VEI-001.</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Accréditation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Reconnaissance formelle accordée par un organisme compétent après vérification de critères définis.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Adoption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Décision d’intégrer officiellement une règle, une exigence, une pratique ou un document dans le fonctionnement du GSE.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Adoption automatique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Application sans analyse ni validation humaine ; la page indique que ce mécanisme n’est pas utilisé pour la veille.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Adoption sensible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Décision d’intégration susceptible d’avoir des effets importants sur les droits, la sécurité, l’organisation ou les responsabilités.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Affiliation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Lien formel reconnu entre une institution et une organisation, un réseau ou un organisme.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Alerte graduée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Signal dont le niveau peut être adapté à l’importance ou à l’urgence de l’impact identifié.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Analyse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Examen structuré d’une publication afin d’en comprendre le contenu, la portée et les conséquences possibles.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Analyse d’impact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Étude des effets potentiels d’une publication sur les activités, documents, services ou responsabilités du GSE.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Analyse préparatoire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Examen destiné à éclairer une décision, sans constituer lui-même la décision.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Autorité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Institution ou personne légalement ou administrativement compétente pour émettre une publication officielle.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Bibliothèque publique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Espace du site regroupant les références institutionnelles approuvées pour diffusion publique.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Certification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Attestation délivrée par un organisme compétent confirmant le respect d’exigences déterminées.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Champ d’application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Autre expression pour désigner la portée d’une publication.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Circuit spécialisé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Parcours défini pour traiter une question selon son domaine et son niveau de sensibilité.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Classement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Organisation d’une publication par catégorie, domaine, importance ou service concerné.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Code documentaire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Identifiant unique permettant de retrouver une ressource institutionnelle, par exemple GSE-PUB-VEI-001.</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Conformité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Respect des lois, règles, exigences, politiques et engagements applicables.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Contrôle humain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Intervention d’une personne habilitée pour vérifier ou valider une proposition ou une analyse.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Crédibilité institutionnelle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Confiance accordée à l’école grâce à l’exactitude, la preuve et la cohérence de ses informations.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DAQAC</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Département de l’Assurance Qualité et de l’Amélioration Continue.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Diffusion publique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Mise à disposition d’un contenu pour tout visiteur autorisé à consulter le site public.</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Direction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Autorité institutionnelle chargée de valider ou d’encadrer les décisions relevant de sa compétence.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DOC</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Segment de code utilisé pour identifier une ressource de documentation.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Document actif</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Version actuellement approuvée et utilisée comme référence courante.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Documentation associée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Références publiques liées à une page et utiles pour vérifier ou approfondir son contenu.</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Décision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Choix autorisé qui engage officiellement l’institution ou un service.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Décision automatisée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Décision prise par un système sans validation humaine ; la page exclut ce mécanisme pour les décisions sensibles.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Département concerné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Service dont les missions peuvent être affectées par une publication ou son impact possible.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Enregistrement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Action de conserver une information utile, par exemple la date, la portée ou la référence d’une publication.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Fiabilité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Degré de confiance que l’on peut accorder à une source ou à une information vérifiée.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FR / EN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Abréviation indiquant la disponibilité en français et en anglais.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Gouvernance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Ensemble des règles, rôles et mécanismes par lesquels l’institution prend, contrôle et rend compte de ses décisions.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Abréviation de GROUPE SCOLAIRE LES ÉMINENTS.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GSE-PUB-DOC-001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public associé à la page et à la bibliothèque de Documentation publique.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GSE-PUB-QUA-001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public associé à la ressource Assurance qualité et amélioration continue.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GSE-PUB-VEI-001</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Code public associé à la ressource Veille officielle et système d’alerte gradué.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Impact possible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Conséquence potentielle identifiée avant confirmation ou décision définitive.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Information publique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Contenu approuvé qui peut être consulté sur le site sans accès interne particulier.</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Interprétation juridique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Analyse de la signification et des effets d’un texte de droit ; elle exige une validation humaine.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Langue de publication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Langue dans laquelle une ressource approuvée est disponible.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Modification institutionnelle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Changement officiel apporté aux politiques, documents, responsabilités, systèmes ou pratiques du GSE.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Métadonnée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Information décrivant une ressource, comme son code, son statut, sa version, son propriétaire ou sa langue.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Note d’impact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Synthèse des conséquences potentielles d’une publication, proposée pour faciliter l’examen humain.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Organisme de référence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Institution reconnue dont les publications peuvent constituer une base fiable dans un domaine donné.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Pertinence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Degré d’utilité d’une publication pour les missions et responsabilités du GSE.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Portée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Champ d’application d’une publication : domaines, personnes, activités, territoire ou période concernés.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Preuve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Élément vérifiable qui soutient une affirmation, une reconnaissance ou une décision.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Priorisation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Action d’ordonner les publications selon leur importance, leur urgence ou leur pertinence.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Proposition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Suggestion préparatoire qui doit encore être vérifiée ou validée avant de devenir une décision.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Propriétaire du document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Service ou autorité responsable du contenu, de la validation et de la mise à jour d’une ressource.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Prudence décisionnelle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Principe consistant à ne pas décider avant d’avoir vérifié la source, la portée et les impacts.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PUB</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Segment de code signifiant que la ressource est destinée à la diffusion publique.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Publication officielle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Texte ou information émis par une autorité ou un organisme compétent et identifiable.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Publié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Statut indiquant qu’une ressource est approuvée et mise à disposition du public.</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QUA</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Segment de code utilisé pour identifier une ressource relative à la qualité.</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Qualification de la source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Vérification de la nature, de l’émetteur, de la fiabilité et de la pertinence d’une publication.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Responsabilité institutionnelle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Obligation de décider, agir et rendre compte selon un mandat défini.</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Responsable habilité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Personne autorisée à examiner, valider ou décider dans un domaine déterminé.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Ressource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Page, document, fiche ou contenu institutionnel utilisé comme source d’information.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Référence officielle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Source reconnue et vérifiée pouvant être citée comme base institutionnelle.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Sensible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Qualifie une question pouvant avoir des effets importants et nécessitant un niveau renforcé de contrôle.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Source de première main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Autre expression pour désigner une source originale produite directement par l’émetteur compétent.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Source non vérifiée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Information dont l’origine, l’exactitude ou la concordance avec l’original n’a pas été confirmée.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Source originale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Publication directement émise par l’autorité ou l’organisme compétent.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Source secondaire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Contenu qui reprend, commente ou résume une source originale.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Statut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État d’une ressource dans son cycle documentaire, par exemple Publié.</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Suivi</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Observation régulière des publications et de leur évolution.</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Système d’alerte gradué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Mécanisme qui classe ou signale les impacts selon différents niveaux afin d’adapter le traitement.</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Transmission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Action d’envoyer une analyse ou un impact possible au service compétent.</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Transparence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Présentation claire des principes, responsabilités et références accessibles au public.</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Traçabilité</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Capacité de retrouver la source, la date, la portée, l’analyse, les transmissions et les validations.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Validation humaine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Examen et approbation par une personne ou une instance habilitée.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VEI</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Segment de code utilisé pour identifier la ressource relative à la veille.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Veille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Activité organisée de surveillance, collecte, vérification et analyse d’informations utiles.</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Veille officielle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Suivi structuré des publications d’autorités et d’organismes de référence, avec analyse d’impact et validation humaine.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Version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Numéro indiquant l’édition d’une ressource ; la fiche de veille affiche la version 1.0.</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Version active</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Version approuvée qui doit être utilisée dans les réponses et références courantes.</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Vérification</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Contrôle de la source, de l’authenticité, de la date, de la portée et de la cohérence d’une information.</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Écart</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Différence entre une exigence attendue et une pratique ou situation observée.</w:t>
            </w:r>
          </w:p>
        </w:tc>
      </w:tr>
      <w:tr>
        <w:trPr/>
        <w:tc>
          <w:tcPr>
            <w:tcW w:w="5241" w:type="dxa"/>
            <w:tcBorders>
              <w:top w:val="single" w:sz="2" w:space="0" w:color="D7DEE8"/>
              <w:start w:val="single" w:sz="2" w:space="0" w:color="D7DEE8"/>
              <w:bottom w:val="single" w:sz="2" w:space="0" w:color="D7DEE8"/>
              <w:end w:val="single" w:sz="2" w:space="0" w:color="D7DEE8"/>
            </w:tcBorders>
            <w:shd w:fill="EAF2FB"/>
          </w:tcPr>
          <w:p>
            <w:pPr>
              <w:pStyle w:val="Normal"/>
              <w:spacing w:before="0" w:after="0"/>
              <w:rPr/>
            </w:pPr>
            <w:r>
              <w:rPr>
                <w:b/>
                <w:color w:val="0B3D91"/>
                <w:sz w:val="16"/>
              </w:rPr>
              <w:t>Émetteur</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Autorité ou organisme qui produit et publie une information ou un texte.</w:t>
            </w:r>
          </w:p>
        </w:tc>
      </w:tr>
      <w:tr>
        <w:trPr/>
        <w:tc>
          <w:tcPr>
            <w:tcW w:w="5241" w:type="dxa"/>
            <w:tcBorders>
              <w:top w:val="single" w:sz="2" w:space="0" w:color="D7DEE8"/>
              <w:start w:val="single" w:sz="2" w:space="0" w:color="D7DEE8"/>
              <w:bottom w:val="single" w:sz="2" w:space="0" w:color="D7DEE8"/>
              <w:end w:val="single" w:sz="2" w:space="0" w:color="D7DEE8"/>
            </w:tcBorders>
            <w:shd w:fill="FFF6D8"/>
          </w:tcPr>
          <w:p>
            <w:pPr>
              <w:pStyle w:val="Normal"/>
              <w:spacing w:before="0" w:after="0"/>
              <w:rPr/>
            </w:pPr>
            <w:r>
              <w:rPr>
                <w:b/>
                <w:color w:val="0B3D91"/>
                <w:sz w:val="16"/>
              </w:rPr>
              <w:t>ÉMINA</w:t>
            </w:r>
          </w:p>
        </w:tc>
        <w:tc>
          <w:tcPr>
            <w:tcW w:w="5241" w:type="dxa"/>
            <w:tcBorders>
              <w:top w:val="single" w:sz="2" w:space="0" w:color="D7DEE8"/>
              <w:start w:val="single" w:sz="2" w:space="0" w:color="D7DEE8"/>
              <w:bottom w:val="single" w:sz="2" w:space="0" w:color="D7DEE8"/>
              <w:end w:val="single" w:sz="2" w:space="0" w:color="D7DEE8"/>
            </w:tcBorders>
            <w:shd w:fill="FFFFFF"/>
          </w:tcPr>
          <w:p>
            <w:pPr>
              <w:pStyle w:val="Normal"/>
              <w:spacing w:before="0" w:after="0"/>
              <w:rPr/>
            </w:pPr>
            <w:r>
              <w:rPr>
                <w:sz w:val="16"/>
              </w:rPr>
              <w:t>Nom de l’Assistante institutionnelle du GROUPE SCOLAIRE LES ÉMINENTS ; elle informe, classe ou propose, sans décider à la place du personnel habilité.</w:t>
            </w:r>
          </w:p>
        </w:tc>
      </w:tr>
    </w:tbl>
    <w:p>
      <w:pPr>
        <w:pStyle w:val="Normal"/>
        <w:rPr/>
      </w:pPr>
      <w:r>
        <w:rPr/>
      </w:r>
      <w:r>
        <w:br w:type="page"/>
      </w:r>
    </w:p>
    <w:p>
      <w:pPr>
        <w:pStyle w:val="Heading1"/>
        <w:spacing w:before="0" w:after="100"/>
        <w:rPr/>
      </w:pPr>
      <w:r>
        <w:rPr/>
        <w:t>7. Registre des pages publiques contrôlées</w:t>
      </w:r>
    </w:p>
    <w:tbl>
      <w:tblPr>
        <w:tblW w:w="1048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620"/>
        <w:gridCol w:w="2620"/>
        <w:gridCol w:w="2620"/>
        <w:gridCol w:w="2619"/>
      </w:tblGrid>
      <w:tr>
        <w:trPr>
          <w:tblHeader w:val="true"/>
        </w:trPr>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Page</w:t>
            </w:r>
          </w:p>
        </w:tc>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Adresse contrôlée</w:t>
            </w:r>
          </w:p>
        </w:tc>
        <w:tc>
          <w:tcPr>
            <w:tcW w:w="2620"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Rôle dans ce document</w:t>
            </w:r>
          </w:p>
        </w:tc>
        <w:tc>
          <w:tcPr>
            <w:tcW w:w="2619" w:type="dxa"/>
            <w:tcBorders>
              <w:top w:val="single" w:sz="4" w:space="0" w:color="D7DEE8"/>
              <w:start w:val="single" w:sz="4" w:space="0" w:color="D7DEE8"/>
              <w:bottom w:val="single" w:sz="4" w:space="0" w:color="D7DEE8"/>
              <w:end w:val="single" w:sz="4" w:space="0" w:color="D7DEE8"/>
            </w:tcBorders>
            <w:shd w:fill="0B3D91"/>
          </w:tcPr>
          <w:p>
            <w:pPr>
              <w:pStyle w:val="Normal"/>
              <w:spacing w:before="0" w:after="0"/>
              <w:rPr/>
            </w:pPr>
            <w:r>
              <w:rPr>
                <w:b/>
                <w:color w:val="FFFFFF"/>
                <w:sz w:val="17"/>
              </w:rPr>
              <w:t>Date</w:t>
            </w:r>
          </w:p>
        </w:tc>
      </w:tr>
      <w:tr>
        <w:trPr/>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Veille officielle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https://test.gsleseminents.com/veille-officielle/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Source principale : titres, principes, garanties et documentation associée</w:t>
            </w:r>
          </w:p>
        </w:tc>
        <w:tc>
          <w:tcPr>
            <w:tcW w:w="2619"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2 juillet 2026</w:t>
            </w:r>
          </w:p>
        </w:tc>
      </w:tr>
      <w:tr>
        <w:trPr/>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5"/>
              </w:rPr>
              <w:t>Documentation publique</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5"/>
              </w:rPr>
              <w:t>https://test.gsleseminents.com/documentation/</w:t>
            </w:r>
          </w:p>
        </w:tc>
        <w:tc>
          <w:tcPr>
            <w:tcW w:w="2620"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5"/>
              </w:rPr>
              <w:t>Métadonnées de GSE-PUB-VEI-001 et règles de bibliothèque</w:t>
            </w:r>
          </w:p>
        </w:tc>
        <w:tc>
          <w:tcPr>
            <w:tcW w:w="2619" w:type="dxa"/>
            <w:tcBorders>
              <w:top w:val="single" w:sz="4" w:space="0" w:color="D7DEE8"/>
              <w:start w:val="single" w:sz="4" w:space="0" w:color="D7DEE8"/>
              <w:bottom w:val="single" w:sz="4" w:space="0" w:color="D7DEE8"/>
              <w:end w:val="single" w:sz="4" w:space="0" w:color="D7DEE8"/>
            </w:tcBorders>
            <w:shd w:fill="F3F4F6"/>
          </w:tcPr>
          <w:p>
            <w:pPr>
              <w:pStyle w:val="Normal"/>
              <w:spacing w:before="0" w:after="0"/>
              <w:rPr/>
            </w:pPr>
            <w:r>
              <w:rPr>
                <w:sz w:val="15"/>
              </w:rPr>
              <w:t>2 juillet 2026</w:t>
            </w:r>
          </w:p>
        </w:tc>
      </w:tr>
      <w:tr>
        <w:trPr/>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Assurance qualité et amélioration continue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https://test.gsleseminents.com/assurance-qualite/</w:t>
            </w:r>
          </w:p>
        </w:tc>
        <w:tc>
          <w:tcPr>
            <w:tcW w:w="2620"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Cadre associé du DAQAC et cycle d’amélioration</w:t>
            </w:r>
          </w:p>
        </w:tc>
        <w:tc>
          <w:tcPr>
            <w:tcW w:w="2619" w:type="dxa"/>
            <w:tcBorders>
              <w:top w:val="single" w:sz="4" w:space="0" w:color="D7DEE8"/>
              <w:start w:val="single" w:sz="4" w:space="0" w:color="D7DEE8"/>
              <w:bottom w:val="single" w:sz="4" w:space="0" w:color="D7DEE8"/>
              <w:end w:val="single" w:sz="4" w:space="0" w:color="D7DEE8"/>
            </w:tcBorders>
            <w:shd w:fill="FFFFFF"/>
          </w:tcPr>
          <w:p>
            <w:pPr>
              <w:pStyle w:val="Normal"/>
              <w:spacing w:before="0" w:after="0"/>
              <w:rPr/>
            </w:pPr>
            <w:r>
              <w:rPr>
                <w:sz w:val="15"/>
              </w:rPr>
              <w:t>2 juillet 2026</w:t>
            </w:r>
          </w:p>
        </w:tc>
      </w:tr>
    </w:tbl>
    <w:p>
      <w:pPr>
        <w:pStyle w:val="Heading1"/>
        <w:rPr/>
      </w:pPr>
      <w:r>
        <w:rPr/>
        <w:t>8. Conclusion</w:t>
      </w:r>
    </w:p>
    <w:p>
      <w:pPr>
        <w:pStyle w:val="Normal"/>
        <w:rPr/>
      </w:pPr>
      <w:r>
        <w:rPr>
          <w:b/>
        </w:rPr>
        <w:t xml:space="preserve">La page « Veille officielle » présente un dispositif volontairement prudent : </w:t>
      </w:r>
      <w:r>
        <w:rPr/>
        <w:t>les publications utiles sont suivies, vérifiées, analysées et orientées vers les départements concernés, mais aucune adoption sensible, interprétation juridique ou modification institutionnelle ne peut être décidée automatiquement. ÉMINA apporte une aide de classement ou de synthèse, tandis que la décision et la validation restent humaines. La ressource est identifiée publiquement par le code GSE-PUB-VEI-001, version 1.0, sous la responsabilité de la Direction et du DAQAC.</w:t>
      </w:r>
    </w:p>
    <w:p>
      <w:pPr>
        <w:pStyle w:val="Normal"/>
        <w:spacing w:before="320" w:after="60"/>
        <w:jc w:val="center"/>
        <w:rPr/>
      </w:pPr>
      <w:r>
        <w:rPr>
          <w:b/>
          <w:color w:val="0B3D91"/>
          <w:sz w:val="24"/>
        </w:rPr>
        <w:t>FIN DU DOCUMENT</w:t>
      </w:r>
    </w:p>
    <w:p>
      <w:pPr>
        <w:pStyle w:val="Normal"/>
        <w:jc w:val="center"/>
        <w:rPr/>
      </w:pPr>
      <w:r>
        <w:rPr>
          <w:color w:val="555555"/>
          <w:sz w:val="18"/>
        </w:rPr>
        <w:t>32 fiches • 320 questions-réponses • 82 définitions</w:t>
      </w:r>
    </w:p>
    <w:p>
      <w:pPr>
        <w:pStyle w:val="Normal"/>
        <w:rPr/>
      </w:pPr>
      <w:r>
        <w:rPr/>
      </w:r>
      <w:r>
        <w:br w:type="page"/>
      </w:r>
    </w:p>
    <w:p>
      <w:pPr>
        <w:pStyle w:val="Normal"/>
        <w:rPr/>
      </w:pPr>
      <w:r>
        <w:rPr/>
      </w:r>
    </w:p>
    <w:p>
      <w:pPr>
        <w:pStyle w:val="Normal"/>
        <w:spacing w:before="0" w:after="80"/>
        <w:jc w:val="center"/>
        <w:rPr/>
      </w:pPr>
      <w:r>
        <w:rPr/>
        <w:drawing>
          <wp:inline distT="0" distB="0" distL="0" distR="0">
            <wp:extent cx="1296035" cy="1163320"/>
            <wp:effectExtent l="0" t="0" r="0" b="0"/>
            <wp:docPr id="23"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 descr="" title=""/>
                    <pic:cNvPicPr>
                      <a:picLocks noChangeAspect="1" noChangeArrowheads="1"/>
                    </pic:cNvPicPr>
                  </pic:nvPicPr>
                  <pic:blipFill>
                    <a:blip r:embed="rId51"/>
                    <a:stretch>
                      <a:fillRect/>
                    </a:stretch>
                  </pic:blipFill>
                  <pic:spPr bwMode="auto">
                    <a:xfrm>
                      <a:off x="0" y="0"/>
                      <a:ext cx="1296035" cy="1163320"/>
                    </a:xfrm>
                    <a:prstGeom prst="rect">
                      <a:avLst/>
                    </a:prstGeom>
                    <a:noFill/>
                  </pic:spPr>
                </pic:pic>
              </a:graphicData>
            </a:graphic>
          </wp:inline>
        </w:drawing>
      </w:r>
    </w:p>
    <w:p>
      <w:pPr>
        <w:pStyle w:val="Normal"/>
        <w:jc w:val="center"/>
        <w:rPr/>
      </w:pPr>
      <w:r>
        <w:rPr>
          <w:b/>
          <w:color w:val="0B3D91"/>
          <w:sz w:val="46"/>
        </w:rPr>
        <w:t>GROUPE SCOLAIRE</w:t>
        <w:br/>
        <w:t>LES ÉMINENTS</w:t>
      </w:r>
    </w:p>
    <w:p>
      <w:pPr>
        <w:pStyle w:val="Normal"/>
        <w:spacing w:before="140" w:after="200"/>
        <w:jc w:val="center"/>
        <w:rPr/>
      </w:pPr>
      <w:r>
        <w:rPr>
          <w:b/>
          <w:color w:val="0B3D91"/>
          <w:sz w:val="34"/>
        </w:rPr>
        <w:t>RELEVÉ EXHAUSTIF ET BANQUE DE QUESTIONS</w:t>
      </w:r>
    </w:p>
    <w:p>
      <w:pPr>
        <w:pStyle w:val="Normal"/>
        <w:jc w:val="center"/>
        <w:rPr/>
      </w:pPr>
      <w:r>
        <w:rPr>
          <w:b/>
          <w:color w:val="D4A017"/>
          <w:sz w:val="38"/>
        </w:rPr>
        <w:t>MENU « ACTUALITÉS ET GALERIE »</w:t>
      </w:r>
    </w:p>
    <w:p>
      <w:pPr>
        <w:pStyle w:val="Normal"/>
        <w:jc w:val="center"/>
        <w:rPr/>
      </w:pPr>
      <w:r>
        <w:rPr>
          <w:i/>
          <w:color w:val="1F2937"/>
          <w:sz w:val="21"/>
        </w:rPr>
        <w:t>Titres, sections, articles, éléments visuels, questions-réponses, raisons, importance, liens et glossaire</w:t>
      </w:r>
    </w:p>
    <w:tbl>
      <w:tblPr>
        <w:tblW w:w="10371"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57"/>
        <w:gridCol w:w="3457"/>
        <w:gridCol w:w="3457"/>
      </w:tblGrid>
      <w:tr>
        <w:trPr/>
        <w:tc>
          <w:tcPr>
            <w:tcW w:w="3457" w:type="dxa"/>
            <w:tcBorders/>
            <w:shd w:fill="0B3D91"/>
          </w:tcPr>
          <w:p>
            <w:pPr>
              <w:pStyle w:val="Normal"/>
              <w:spacing w:before="0" w:after="80"/>
              <w:rPr/>
            </w:pPr>
            <w:r>
              <w:rPr/>
            </w:r>
          </w:p>
        </w:tc>
        <w:tc>
          <w:tcPr>
            <w:tcW w:w="3457" w:type="dxa"/>
            <w:tcBorders/>
            <w:shd w:fill="D4A017"/>
          </w:tcPr>
          <w:p>
            <w:pPr>
              <w:pStyle w:val="Normal"/>
              <w:spacing w:before="0" w:after="80"/>
              <w:rPr/>
            </w:pPr>
            <w:r>
              <w:rPr/>
            </w:r>
          </w:p>
        </w:tc>
        <w:tc>
          <w:tcPr>
            <w:tcW w:w="3457" w:type="dxa"/>
            <w:tcBorders/>
            <w:shd w:fill="0B3D91"/>
          </w:tcPr>
          <w:p>
            <w:pPr>
              <w:pStyle w:val="Normal"/>
              <w:spacing w:before="0" w:after="80"/>
              <w:rPr/>
            </w:pPr>
            <w:r>
              <w:rPr/>
            </w:r>
          </w:p>
        </w:tc>
      </w:tr>
    </w:tbl>
    <w:p>
      <w:pPr>
        <w:pStyle w:val="Normal"/>
        <w:spacing w:before="160" w:after="200"/>
        <w:jc w:val="center"/>
        <w:rPr/>
      </w:pPr>
      <w:r>
        <w:rPr/>
        <w:drawing>
          <wp:inline distT="0" distB="0" distL="0" distR="0">
            <wp:extent cx="5652135" cy="3179445"/>
            <wp:effectExtent l="0" t="0" r="0" b="0"/>
            <wp:docPr id="24"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descr="" title=""/>
                    <pic:cNvPicPr>
                      <a:picLocks noChangeAspect="1" noChangeArrowheads="1"/>
                    </pic:cNvPicPr>
                  </pic:nvPicPr>
                  <pic:blipFill>
                    <a:blip r:embed="rId52"/>
                    <a:stretch>
                      <a:fillRect/>
                    </a:stretch>
                  </pic:blipFill>
                  <pic:spPr bwMode="auto">
                    <a:xfrm>
                      <a:off x="0" y="0"/>
                      <a:ext cx="5652135" cy="3179445"/>
                    </a:xfrm>
                    <a:prstGeom prst="rect">
                      <a:avLst/>
                    </a:prstGeom>
                    <a:noFill/>
                  </pic:spPr>
                </pic:pic>
              </a:graphicData>
            </a:graphic>
          </wp:inline>
        </w:drawing>
      </w:r>
    </w:p>
    <w:p>
      <w:pPr>
        <w:pStyle w:val="Normal"/>
        <w:jc w:val="center"/>
        <w:rPr/>
      </w:pPr>
      <w:r>
        <w:rPr>
          <w:i/>
          <w:color w:val="666666"/>
          <w:sz w:val="16"/>
        </w:rPr>
        <w:t>Visuel institutionnel actuellement réutilisé sur les trois cartes d’actualité.</w:t>
      </w:r>
    </w:p>
    <w:p>
      <w:pPr>
        <w:pStyle w:val="Normal"/>
        <w:spacing w:before="160" w:after="200"/>
        <w:jc w:val="center"/>
        <w:rPr/>
      </w:pPr>
      <w:r>
        <w:rPr>
          <w:b/>
          <w:color w:val="0B3D91"/>
          <w:sz w:val="20"/>
        </w:rPr>
        <w:t>Relevé effectué le 2 juillet 2026</w:t>
      </w:r>
    </w:p>
    <w:p>
      <w:pPr>
        <w:pStyle w:val="Normal"/>
        <w:jc w:val="center"/>
        <w:rPr/>
      </w:pPr>
      <w:r>
        <w:rPr>
          <w:color w:val="0B3D91"/>
          <w:sz w:val="19"/>
          <w:u w:val="single"/>
        </w:rPr>
        <w:t>Site contrôlé : test.gsleseminents.com</w:t>
      </w:r>
    </w:p>
    <w:p>
      <w:pPr>
        <w:pStyle w:val="Normal"/>
        <w:spacing w:before="80" w:after="200"/>
        <w:jc w:val="center"/>
        <w:rPr/>
      </w:pPr>
      <w:r>
        <w:rPr>
          <w:b/>
          <w:color w:val="1F2937"/>
          <w:sz w:val="18"/>
        </w:rPr>
        <w:t>40 fiches thématiques • 400 questions-réponses • 94 définitions</w:t>
      </w:r>
    </w:p>
    <w:p>
      <w:pPr>
        <w:pStyle w:val="Normal"/>
        <w:rPr/>
      </w:pPr>
      <w:r>
        <w:rPr/>
      </w:r>
      <w:r>
        <w:br w:type="page"/>
      </w:r>
    </w:p>
    <w:p>
      <w:pPr>
        <w:pStyle w:val="Heading1"/>
        <w:keepNext w:val="true"/>
        <w:spacing w:before="0" w:after="0"/>
        <w:rPr/>
      </w:pPr>
      <w:r>
        <w:rPr/>
        <w:t>1. Objet, méthode et périmètre</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Objet : </w:t>
            </w:r>
            <w:r>
              <w:rPr>
                <w:color w:val="1F2937"/>
                <w:sz w:val="17"/>
              </w:rPr>
              <w:t>Recenser les points effectivement publiés dans le menu « Actualités et galerie », puis transformer chaque titre ou section en une banque de questions-réponses fidèle au texte observé.</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Méthode : </w:t>
            </w:r>
            <w:r>
              <w:rPr>
                <w:color w:val="1F2937"/>
                <w:sz w:val="17"/>
              </w:rPr>
              <w:t>Inspection de la page centrale, des trois articles reliés, des images, des métadonnées, du pied de page, du widget ÉMINA et du sélecteur linguistique.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Règle de fidélité : </w:t>
            </w:r>
            <w:r>
              <w:rPr>
                <w:color w:val="1F2937"/>
                <w:sz w:val="17"/>
              </w:rPr>
              <w:t>Les réponses reprennent ou reformulent uniquement les informations publiées. Les analyses de raison, d’importance et de liens sont identifiées comme lecture institutionnelle et ne remplacent pas le texte officiel.</w:t>
            </w:r>
          </w:p>
        </w:tc>
      </w:tr>
    </w:tbl>
    <w:p>
      <w:pPr>
        <w:pStyle w:val="Normal"/>
        <w:spacing w:before="120" w:after="200"/>
        <w:rPr/>
      </w:pPr>
      <w:r>
        <w:rPr>
          <w:b/>
          <w:color w:val="A61B1B"/>
          <w:sz w:val="22"/>
        </w:rPr>
        <w:t>Constat structurel important</w:t>
      </w:r>
    </w:p>
    <w:p>
      <w:pPr>
        <w:pStyle w:val="ListBullet"/>
        <w:numPr>
          <w:ilvl w:val="0"/>
          <w:numId w:val="1"/>
        </w:numPr>
        <w:spacing w:before="0" w:after="20"/>
        <w:ind w:hanging="360" w:start="283"/>
        <w:contextualSpacing/>
        <w:rPr/>
      </w:pPr>
      <w:r>
        <w:rPr>
          <w:sz w:val="17"/>
        </w:rPr>
        <w:t>Le menu « Actualités et galerie » est une entrée autonome sans sous-menu enfant visible lors de l’inspection.</w:t>
      </w:r>
    </w:p>
    <w:p>
      <w:pPr>
        <w:pStyle w:val="ListBullet"/>
        <w:numPr>
          <w:ilvl w:val="0"/>
          <w:numId w:val="1"/>
        </w:numPr>
        <w:spacing w:before="0" w:after="20"/>
        <w:ind w:hanging="360" w:start="283"/>
        <w:contextualSpacing/>
        <w:rPr/>
      </w:pPr>
      <w:r>
        <w:rPr>
          <w:sz w:val="17"/>
        </w:rPr>
        <w:t>La page publie trois actualités, chacune reliée à un article individuel.</w:t>
      </w:r>
    </w:p>
    <w:p>
      <w:pPr>
        <w:pStyle w:val="ListBullet"/>
        <w:numPr>
          <w:ilvl w:val="0"/>
          <w:numId w:val="1"/>
        </w:numPr>
        <w:spacing w:before="0" w:after="20"/>
        <w:ind w:hanging="360" w:start="283"/>
        <w:contextualSpacing/>
        <w:rPr/>
      </w:pPr>
      <w:r>
        <w:rPr>
          <w:sz w:val="17"/>
        </w:rPr>
        <w:t>La dimension galerie est aujourd’hui portée par des images d’illustration ; aucune galerie photo/vidéo autonome n’est visible.</w:t>
      </w:r>
    </w:p>
    <w:p>
      <w:pPr>
        <w:pStyle w:val="ListBullet"/>
        <w:numPr>
          <w:ilvl w:val="0"/>
          <w:numId w:val="1"/>
        </w:numPr>
        <w:spacing w:before="0" w:after="20"/>
        <w:ind w:hanging="360" w:start="283"/>
        <w:contextualSpacing/>
        <w:rPr/>
      </w:pPr>
      <w:r>
        <w:rPr>
          <w:sz w:val="17"/>
        </w:rPr>
        <w:t>Les trois cartes emploient actuellement le même visuel institutionnel de leadership.</w:t>
      </w:r>
    </w:p>
    <w:p>
      <w:pPr>
        <w:pStyle w:val="Heading1"/>
        <w:rPr/>
      </w:pPr>
      <w:r>
        <w:rPr/>
        <w:t>2. Vue d’ensemble des contenus contrôlés</w:t>
      </w:r>
    </w:p>
    <w:tbl>
      <w:tblPr>
        <w:tblStyle w:val="TableGrid"/>
        <w:tblW w:w="10368"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592"/>
        <w:gridCol w:w="2592"/>
        <w:gridCol w:w="2592"/>
        <w:gridCol w:w="2591"/>
      </w:tblGrid>
      <w:tr>
        <w:trPr>
          <w:tblHeader w:val="true"/>
        </w:trPr>
        <w:tc>
          <w:tcPr>
            <w:tcW w:w="2592"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Composante</w:t>
            </w:r>
          </w:p>
        </w:tc>
        <w:tc>
          <w:tcPr>
            <w:tcW w:w="2592"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Titre / contenu</w:t>
            </w:r>
          </w:p>
        </w:tc>
        <w:tc>
          <w:tcPr>
            <w:tcW w:w="2592"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État observé</w:t>
            </w:r>
          </w:p>
        </w:tc>
        <w:tc>
          <w:tcPr>
            <w:tcW w:w="2591"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Destination</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Menu</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Actualités et galerie</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Entrée autonome</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https://test.gsleseminents.com/actualites-et-galerie/</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Page centrale</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La vie des Éminents</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3 cartes publiées</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https://test.gsleseminents.com/actualites-et-galerie/</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Article 1</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Préparer la rentrée avec confiance</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Publié</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https://test.gsleseminents.com/preparer-rentree-avec-confiance/</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Article 2</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Une école chrétienne bilingue tournée vers l’avenir</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Publié</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https://test.gsleseminents.com/ecole-chretienne-bilingue-tournee-vers-avenir/</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Article 3</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Inscriptions 2026-2027 : les préinscriptions sont ouvertes</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Publié</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https://test.gsleseminents.com/inscriptions-2026-2027-ouvertes/</w:t>
            </w:r>
          </w:p>
        </w:tc>
      </w:tr>
      <w:tr>
        <w:trPr/>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Galerie</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Images d’illustration intégrées</w:t>
            </w:r>
          </w:p>
        </w:tc>
        <w:tc>
          <w:tcPr>
            <w:tcW w:w="2592"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Pas de galerie autonome visible</w:t>
            </w:r>
          </w:p>
        </w:tc>
        <w:tc>
          <w:tcPr>
            <w:tcW w:w="259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https://test.gsleseminents.com/actualites-et-galerie/</w:t>
            </w:r>
          </w:p>
        </w:tc>
      </w:tr>
    </w:tbl>
    <w:p>
      <w:pPr>
        <w:pStyle w:val="Heading1"/>
        <w:rPr/>
      </w:pPr>
      <w:r>
        <w:rPr/>
        <w:t>3. Sommaire analytique</w:t>
      </w:r>
    </w:p>
    <w:p>
      <w:pPr>
        <w:pStyle w:val="Normal"/>
        <w:rPr/>
      </w:pPr>
      <w:r>
        <w:rPr>
          <w:b/>
          <w:color w:val="0B3D91"/>
          <w:sz w:val="20"/>
        </w:rPr>
        <w:t>PARTIE I — ARCHITECTURE DU MENU ET PAGE PRINCIPALE</w:t>
      </w:r>
    </w:p>
    <w:p>
      <w:pPr>
        <w:pStyle w:val="ListBullet"/>
        <w:numPr>
          <w:ilvl w:val="0"/>
          <w:numId w:val="1"/>
        </w:numPr>
        <w:spacing w:before="0" w:after="20"/>
        <w:ind w:hanging="360" w:start="283"/>
        <w:contextualSpacing/>
        <w:rPr/>
      </w:pPr>
      <w:r>
        <w:rPr>
          <w:sz w:val="17"/>
        </w:rPr>
        <w:t>1. Architecture du menu « Actualités et galerie »</w:t>
      </w:r>
    </w:p>
    <w:p>
      <w:pPr>
        <w:pStyle w:val="ListBullet"/>
        <w:numPr>
          <w:ilvl w:val="0"/>
          <w:numId w:val="1"/>
        </w:numPr>
        <w:spacing w:before="0" w:after="20"/>
        <w:ind w:hanging="360" w:start="283"/>
        <w:contextualSpacing/>
        <w:rPr/>
      </w:pPr>
      <w:r>
        <w:rPr>
          <w:sz w:val="17"/>
        </w:rPr>
        <w:t>2. Absence de sous-menus visibles</w:t>
      </w:r>
    </w:p>
    <w:p>
      <w:pPr>
        <w:pStyle w:val="ListBullet"/>
        <w:numPr>
          <w:ilvl w:val="0"/>
          <w:numId w:val="1"/>
        </w:numPr>
        <w:spacing w:before="0" w:after="20"/>
        <w:ind w:hanging="360" w:start="283"/>
        <w:contextualSpacing/>
        <w:rPr/>
      </w:pPr>
      <w:r>
        <w:rPr>
          <w:sz w:val="17"/>
        </w:rPr>
        <w:t>3. Intitulé « Actualités et galerie »</w:t>
      </w:r>
    </w:p>
    <w:p>
      <w:pPr>
        <w:pStyle w:val="ListBullet"/>
        <w:numPr>
          <w:ilvl w:val="0"/>
          <w:numId w:val="1"/>
        </w:numPr>
        <w:spacing w:before="0" w:after="20"/>
        <w:ind w:hanging="360" w:start="283"/>
        <w:contextualSpacing/>
        <w:rPr/>
      </w:pPr>
      <w:r>
        <w:rPr>
          <w:sz w:val="17"/>
        </w:rPr>
        <w:t>4. Libellé de page « Actualités »</w:t>
      </w:r>
    </w:p>
    <w:p>
      <w:pPr>
        <w:pStyle w:val="ListBullet"/>
        <w:numPr>
          <w:ilvl w:val="0"/>
          <w:numId w:val="1"/>
        </w:numPr>
        <w:spacing w:before="0" w:after="20"/>
        <w:ind w:hanging="360" w:start="283"/>
        <w:contextualSpacing/>
        <w:rPr/>
      </w:pPr>
      <w:r>
        <w:rPr>
          <w:sz w:val="17"/>
        </w:rPr>
        <w:t>5. Titre « La vie des Éminents »</w:t>
      </w:r>
    </w:p>
    <w:p>
      <w:pPr>
        <w:pStyle w:val="ListBullet"/>
        <w:numPr>
          <w:ilvl w:val="0"/>
          <w:numId w:val="1"/>
        </w:numPr>
        <w:spacing w:before="0" w:after="20"/>
        <w:ind w:hanging="360" w:start="283"/>
        <w:contextualSpacing/>
        <w:rPr/>
      </w:pPr>
      <w:r>
        <w:rPr>
          <w:sz w:val="17"/>
        </w:rPr>
        <w:t>6. Informations, événements, activités et nouvelles</w:t>
      </w:r>
    </w:p>
    <w:p>
      <w:pPr>
        <w:pStyle w:val="ListBullet"/>
        <w:numPr>
          <w:ilvl w:val="0"/>
          <w:numId w:val="1"/>
        </w:numPr>
        <w:spacing w:before="0" w:after="20"/>
        <w:ind w:hanging="360" w:start="283"/>
        <w:contextualSpacing/>
        <w:rPr/>
      </w:pPr>
      <w:r>
        <w:rPr>
          <w:sz w:val="17"/>
        </w:rPr>
        <w:t>7. Organisation en cartes d’actualité</w:t>
      </w:r>
    </w:p>
    <w:p>
      <w:pPr>
        <w:pStyle w:val="ListBullet"/>
        <w:numPr>
          <w:ilvl w:val="0"/>
          <w:numId w:val="1"/>
        </w:numPr>
        <w:spacing w:before="0" w:after="20"/>
        <w:ind w:hanging="360" w:start="283"/>
        <w:contextualSpacing/>
        <w:rPr/>
      </w:pPr>
      <w:r>
        <w:rPr>
          <w:sz w:val="17"/>
        </w:rPr>
        <w:t>8. Place actuelle de la galerie visuelle</w:t>
      </w:r>
    </w:p>
    <w:p>
      <w:pPr>
        <w:pStyle w:val="Normal"/>
        <w:rPr/>
      </w:pPr>
      <w:r>
        <w:rPr>
          <w:b/>
          <w:color w:val="0B3D91"/>
          <w:sz w:val="20"/>
        </w:rPr>
        <w:t>PARTIE II — ACTUALITÉ 1 : PRÉPARER LA RENTRÉE AVEC CONFIANCE</w:t>
      </w:r>
    </w:p>
    <w:p>
      <w:pPr>
        <w:pStyle w:val="ListBullet"/>
        <w:numPr>
          <w:ilvl w:val="0"/>
          <w:numId w:val="1"/>
        </w:numPr>
        <w:spacing w:before="0" w:after="20"/>
        <w:ind w:hanging="360" w:start="283"/>
        <w:contextualSpacing/>
        <w:rPr/>
      </w:pPr>
      <w:r>
        <w:rPr>
          <w:sz w:val="17"/>
        </w:rPr>
        <w:t>9. Préparer la rentrée avec confiance</w:t>
      </w:r>
    </w:p>
    <w:p>
      <w:pPr>
        <w:pStyle w:val="ListBullet"/>
        <w:numPr>
          <w:ilvl w:val="0"/>
          <w:numId w:val="1"/>
        </w:numPr>
        <w:spacing w:before="0" w:after="20"/>
        <w:ind w:hanging="360" w:start="283"/>
        <w:contextualSpacing/>
        <w:rPr/>
      </w:pPr>
      <w:r>
        <w:rPr>
          <w:sz w:val="17"/>
        </w:rPr>
        <w:t>10. Date et durée de lecture de l’article sur la rentrée</w:t>
      </w:r>
    </w:p>
    <w:p>
      <w:pPr>
        <w:pStyle w:val="ListBullet"/>
        <w:numPr>
          <w:ilvl w:val="0"/>
          <w:numId w:val="1"/>
        </w:numPr>
        <w:spacing w:before="0" w:after="20"/>
        <w:ind w:hanging="360" w:start="283"/>
        <w:contextualSpacing/>
        <w:rPr/>
      </w:pPr>
      <w:r>
        <w:rPr>
          <w:sz w:val="17"/>
        </w:rPr>
        <w:t>11. Une rentrée réussie commence par une information claire</w:t>
      </w:r>
    </w:p>
    <w:p>
      <w:pPr>
        <w:pStyle w:val="ListBullet"/>
        <w:numPr>
          <w:ilvl w:val="0"/>
          <w:numId w:val="1"/>
        </w:numPr>
        <w:spacing w:before="0" w:after="20"/>
        <w:ind w:hanging="360" w:start="283"/>
        <w:contextualSpacing/>
        <w:rPr/>
      </w:pPr>
      <w:r>
        <w:rPr>
          <w:sz w:val="17"/>
        </w:rPr>
        <w:t>12. Accompagnement par le service Admissions</w:t>
      </w:r>
    </w:p>
    <w:p>
      <w:pPr>
        <w:pStyle w:val="ListBullet"/>
        <w:numPr>
          <w:ilvl w:val="0"/>
          <w:numId w:val="1"/>
        </w:numPr>
        <w:spacing w:before="0" w:after="20"/>
        <w:ind w:hanging="360" w:start="283"/>
        <w:contextualSpacing/>
        <w:rPr/>
      </w:pPr>
      <w:r>
        <w:rPr>
          <w:sz w:val="17"/>
        </w:rPr>
        <w:t>13. Constitution du dossier</w:t>
      </w:r>
    </w:p>
    <w:p>
      <w:pPr>
        <w:pStyle w:val="ListBullet"/>
        <w:numPr>
          <w:ilvl w:val="0"/>
          <w:numId w:val="1"/>
        </w:numPr>
        <w:spacing w:before="0" w:after="20"/>
        <w:ind w:hanging="360" w:start="283"/>
        <w:contextualSpacing/>
        <w:rPr/>
      </w:pPr>
      <w:r>
        <w:rPr>
          <w:sz w:val="17"/>
        </w:rPr>
        <w:t>14. Compréhension des frais</w:t>
      </w:r>
    </w:p>
    <w:p>
      <w:pPr>
        <w:pStyle w:val="ListBullet"/>
        <w:numPr>
          <w:ilvl w:val="0"/>
          <w:numId w:val="1"/>
        </w:numPr>
        <w:spacing w:before="0" w:after="20"/>
        <w:ind w:hanging="360" w:start="283"/>
        <w:contextualSpacing/>
        <w:rPr/>
      </w:pPr>
      <w:r>
        <w:rPr>
          <w:sz w:val="17"/>
        </w:rPr>
        <w:t>15. Préparation des uniformes</w:t>
      </w:r>
    </w:p>
    <w:p>
      <w:pPr>
        <w:pStyle w:val="ListBullet"/>
        <w:numPr>
          <w:ilvl w:val="0"/>
          <w:numId w:val="1"/>
        </w:numPr>
        <w:spacing w:before="0" w:after="20"/>
        <w:ind w:hanging="360" w:start="283"/>
        <w:contextualSpacing/>
        <w:rPr/>
      </w:pPr>
      <w:r>
        <w:rPr>
          <w:sz w:val="17"/>
        </w:rPr>
        <w:t>16. Découverte des règles de vie scolaire</w:t>
      </w:r>
    </w:p>
    <w:p>
      <w:pPr>
        <w:pStyle w:val="ListBullet"/>
        <w:numPr>
          <w:ilvl w:val="0"/>
          <w:numId w:val="1"/>
        </w:numPr>
        <w:spacing w:before="0" w:after="20"/>
        <w:ind w:hanging="360" w:start="283"/>
        <w:contextualSpacing/>
        <w:rPr/>
      </w:pPr>
      <w:r>
        <w:rPr>
          <w:sz w:val="17"/>
        </w:rPr>
        <w:t>17. ÉMINA explique les procédures dans un langage simple</w:t>
      </w:r>
    </w:p>
    <w:p>
      <w:pPr>
        <w:pStyle w:val="Normal"/>
        <w:rPr/>
      </w:pPr>
      <w:r>
        <w:rPr>
          <w:b/>
          <w:color w:val="0B3D91"/>
          <w:sz w:val="20"/>
        </w:rPr>
        <w:t>PARTIE III — ACTUALITÉ 2 : UNE ÉCOLE CHRÉTIENNE BILINGUE TOURNÉE VERS L’AVENIR</w:t>
      </w:r>
    </w:p>
    <w:p>
      <w:pPr>
        <w:pStyle w:val="ListBullet"/>
        <w:numPr>
          <w:ilvl w:val="0"/>
          <w:numId w:val="1"/>
        </w:numPr>
        <w:spacing w:before="0" w:after="20"/>
        <w:ind w:hanging="360" w:start="283"/>
        <w:contextualSpacing/>
        <w:rPr/>
      </w:pPr>
      <w:r>
        <w:rPr>
          <w:sz w:val="17"/>
        </w:rPr>
        <w:t>18. Une école chrétienne bilingue tournée vers l’avenir</w:t>
      </w:r>
    </w:p>
    <w:p>
      <w:pPr>
        <w:pStyle w:val="ListBullet"/>
        <w:numPr>
          <w:ilvl w:val="0"/>
          <w:numId w:val="1"/>
        </w:numPr>
        <w:spacing w:before="0" w:after="20"/>
        <w:ind w:hanging="360" w:start="283"/>
        <w:contextualSpacing/>
        <w:rPr/>
      </w:pPr>
      <w:r>
        <w:rPr>
          <w:sz w:val="17"/>
        </w:rPr>
        <w:t>19. Date et durée de lecture de l’article sur le projet éducatif</w:t>
      </w:r>
    </w:p>
    <w:p>
      <w:pPr>
        <w:pStyle w:val="ListBullet"/>
        <w:numPr>
          <w:ilvl w:val="0"/>
          <w:numId w:val="1"/>
        </w:numPr>
        <w:spacing w:before="0" w:after="20"/>
        <w:ind w:hanging="360" w:start="283"/>
        <w:contextualSpacing/>
        <w:rPr/>
      </w:pPr>
      <w:r>
        <w:rPr>
          <w:sz w:val="17"/>
        </w:rPr>
        <w:t>20. Association des programmes officiels et de la progression bilingue</w:t>
      </w:r>
    </w:p>
    <w:p>
      <w:pPr>
        <w:pStyle w:val="ListBullet"/>
        <w:numPr>
          <w:ilvl w:val="0"/>
          <w:numId w:val="1"/>
        </w:numPr>
        <w:spacing w:before="0" w:after="20"/>
        <w:ind w:hanging="360" w:start="283"/>
        <w:contextualSpacing/>
        <w:rPr/>
      </w:pPr>
      <w:r>
        <w:rPr>
          <w:sz w:val="17"/>
        </w:rPr>
        <w:t>21. Formation du caractère</w:t>
      </w:r>
    </w:p>
    <w:p>
      <w:pPr>
        <w:pStyle w:val="ListBullet"/>
        <w:numPr>
          <w:ilvl w:val="0"/>
          <w:numId w:val="1"/>
        </w:numPr>
        <w:spacing w:before="0" w:after="20"/>
        <w:ind w:hanging="360" w:start="283"/>
        <w:contextualSpacing/>
        <w:rPr/>
      </w:pPr>
      <w:r>
        <w:rPr>
          <w:sz w:val="17"/>
        </w:rPr>
        <w:t>22. Sciences et numérique</w:t>
      </w:r>
    </w:p>
    <w:p>
      <w:pPr>
        <w:pStyle w:val="ListBullet"/>
        <w:numPr>
          <w:ilvl w:val="0"/>
          <w:numId w:val="1"/>
        </w:numPr>
        <w:spacing w:before="0" w:after="20"/>
        <w:ind w:hanging="360" w:start="283"/>
        <w:contextualSpacing/>
        <w:rPr/>
      </w:pPr>
      <w:r>
        <w:rPr>
          <w:sz w:val="17"/>
        </w:rPr>
        <w:t>23. Créativité et service</w:t>
      </w:r>
    </w:p>
    <w:p>
      <w:pPr>
        <w:pStyle w:val="ListBullet"/>
        <w:numPr>
          <w:ilvl w:val="0"/>
          <w:numId w:val="1"/>
        </w:numPr>
        <w:spacing w:before="0" w:after="20"/>
        <w:ind w:hanging="360" w:start="283"/>
        <w:contextualSpacing/>
        <w:rPr/>
      </w:pPr>
      <w:r>
        <w:rPr>
          <w:sz w:val="17"/>
        </w:rPr>
        <w:t>24. Développement de connaissances solides</w:t>
      </w:r>
    </w:p>
    <w:p>
      <w:pPr>
        <w:pStyle w:val="ListBullet"/>
        <w:numPr>
          <w:ilvl w:val="0"/>
          <w:numId w:val="1"/>
        </w:numPr>
        <w:spacing w:before="0" w:after="20"/>
        <w:ind w:hanging="360" w:start="283"/>
        <w:contextualSpacing/>
        <w:rPr/>
      </w:pPr>
      <w:r>
        <w:rPr>
          <w:sz w:val="17"/>
        </w:rPr>
        <w:t>25. Confiance saine et capacité de communication</w:t>
      </w:r>
    </w:p>
    <w:p>
      <w:pPr>
        <w:pStyle w:val="ListBullet"/>
        <w:numPr>
          <w:ilvl w:val="0"/>
          <w:numId w:val="1"/>
        </w:numPr>
        <w:spacing w:before="0" w:after="20"/>
        <w:ind w:hanging="360" w:start="283"/>
        <w:contextualSpacing/>
        <w:rPr/>
      </w:pPr>
      <w:r>
        <w:rPr>
          <w:sz w:val="17"/>
        </w:rPr>
        <w:t>26. Sens des responsabilités</w:t>
      </w:r>
    </w:p>
    <w:p>
      <w:pPr>
        <w:pStyle w:val="Normal"/>
        <w:rPr/>
      </w:pPr>
      <w:r>
        <w:rPr>
          <w:b/>
          <w:color w:val="0B3D91"/>
          <w:sz w:val="20"/>
        </w:rPr>
        <w:t>PARTIE IV — ACTUALITÉ 3 : INSCRIPTIONS 2026-2027</w:t>
      </w:r>
    </w:p>
    <w:p>
      <w:pPr>
        <w:pStyle w:val="ListBullet"/>
        <w:numPr>
          <w:ilvl w:val="0"/>
          <w:numId w:val="1"/>
        </w:numPr>
        <w:spacing w:before="0" w:after="20"/>
        <w:ind w:hanging="360" w:start="283"/>
        <w:contextualSpacing/>
        <w:rPr/>
      </w:pPr>
      <w:r>
        <w:rPr>
          <w:sz w:val="17"/>
        </w:rPr>
        <w:t>27. Inscriptions 2026-2027 : les préinscriptions sont ouvertes</w:t>
      </w:r>
    </w:p>
    <w:p>
      <w:pPr>
        <w:pStyle w:val="ListBullet"/>
        <w:numPr>
          <w:ilvl w:val="0"/>
          <w:numId w:val="1"/>
        </w:numPr>
        <w:spacing w:before="0" w:after="20"/>
        <w:ind w:hanging="360" w:start="283"/>
        <w:contextualSpacing/>
        <w:rPr/>
      </w:pPr>
      <w:r>
        <w:rPr>
          <w:sz w:val="17"/>
        </w:rPr>
        <w:t>28. Date et durée de lecture de l’annonce d’inscription</w:t>
      </w:r>
    </w:p>
    <w:p>
      <w:pPr>
        <w:pStyle w:val="ListBullet"/>
        <w:numPr>
          <w:ilvl w:val="0"/>
          <w:numId w:val="1"/>
        </w:numPr>
        <w:spacing w:before="0" w:after="20"/>
        <w:ind w:hanging="360" w:start="283"/>
        <w:contextualSpacing/>
        <w:rPr/>
      </w:pPr>
      <w:r>
        <w:rPr>
          <w:sz w:val="17"/>
        </w:rPr>
        <w:t>29. Ouverture de la campagne d’inscriptions 2026-2027</w:t>
      </w:r>
    </w:p>
    <w:p>
      <w:pPr>
        <w:pStyle w:val="ListBullet"/>
        <w:numPr>
          <w:ilvl w:val="0"/>
          <w:numId w:val="1"/>
        </w:numPr>
        <w:spacing w:before="0" w:after="20"/>
        <w:ind w:hanging="360" w:start="283"/>
        <w:contextualSpacing/>
        <w:rPr/>
      </w:pPr>
      <w:r>
        <w:rPr>
          <w:sz w:val="17"/>
        </w:rPr>
        <w:t>30. Offre opérationnelle : Maternelle et Primaire</w:t>
      </w:r>
    </w:p>
    <w:p>
      <w:pPr>
        <w:pStyle w:val="ListBullet"/>
        <w:numPr>
          <w:ilvl w:val="0"/>
          <w:numId w:val="1"/>
        </w:numPr>
        <w:spacing w:before="0" w:after="20"/>
        <w:ind w:hanging="360" w:start="283"/>
        <w:contextualSpacing/>
        <w:rPr/>
      </w:pPr>
      <w:r>
        <w:rPr>
          <w:sz w:val="17"/>
        </w:rPr>
        <w:t>31. Consulter les programmes avant la demande</w:t>
      </w:r>
    </w:p>
    <w:p>
      <w:pPr>
        <w:pStyle w:val="ListBullet"/>
        <w:numPr>
          <w:ilvl w:val="0"/>
          <w:numId w:val="1"/>
        </w:numPr>
        <w:spacing w:before="0" w:after="20"/>
        <w:ind w:hanging="360" w:start="283"/>
        <w:contextualSpacing/>
        <w:rPr/>
      </w:pPr>
      <w:r>
        <w:rPr>
          <w:sz w:val="17"/>
        </w:rPr>
        <w:t>32. Poser ses questions à ÉMINA</w:t>
      </w:r>
    </w:p>
    <w:p>
      <w:pPr>
        <w:pStyle w:val="ListBullet"/>
        <w:numPr>
          <w:ilvl w:val="0"/>
          <w:numId w:val="1"/>
        </w:numPr>
        <w:spacing w:before="0" w:after="20"/>
        <w:ind w:hanging="360" w:start="283"/>
        <w:contextualSpacing/>
        <w:rPr/>
      </w:pPr>
      <w:r>
        <w:rPr>
          <w:sz w:val="17"/>
        </w:rPr>
        <w:t>33. Planifier une visite du campus</w:t>
      </w:r>
    </w:p>
    <w:p>
      <w:pPr>
        <w:pStyle w:val="ListBullet"/>
        <w:numPr>
          <w:ilvl w:val="0"/>
          <w:numId w:val="1"/>
        </w:numPr>
        <w:spacing w:before="0" w:after="20"/>
        <w:ind w:hanging="360" w:start="283"/>
        <w:contextualSpacing/>
        <w:rPr/>
      </w:pPr>
      <w:r>
        <w:rPr>
          <w:sz w:val="17"/>
        </w:rPr>
        <w:t>34. Compléter le dossier et commencer une préinscription</w:t>
      </w:r>
    </w:p>
    <w:p>
      <w:pPr>
        <w:pStyle w:val="Normal"/>
        <w:rPr/>
      </w:pPr>
      <w:r>
        <w:rPr>
          <w:b/>
          <w:color w:val="0B3D91"/>
          <w:sz w:val="20"/>
        </w:rPr>
        <w:t>PARTIE V — ÉLÉMENTS INSTITUTIONNELS, ACCÈS ET GARANTIES</w:t>
      </w:r>
    </w:p>
    <w:p>
      <w:pPr>
        <w:pStyle w:val="ListBullet"/>
        <w:numPr>
          <w:ilvl w:val="0"/>
          <w:numId w:val="1"/>
        </w:numPr>
        <w:spacing w:before="0" w:after="20"/>
        <w:ind w:hanging="360" w:start="283"/>
        <w:contextualSpacing/>
        <w:rPr/>
      </w:pPr>
      <w:r>
        <w:rPr>
          <w:sz w:val="17"/>
        </w:rPr>
        <w:t>35. Identité institutionnelle et valeurs en pied de page</w:t>
      </w:r>
    </w:p>
    <w:p>
      <w:pPr>
        <w:pStyle w:val="ListBullet"/>
        <w:numPr>
          <w:ilvl w:val="0"/>
          <w:numId w:val="1"/>
        </w:numPr>
        <w:spacing w:before="0" w:after="20"/>
        <w:ind w:hanging="360" w:start="283"/>
        <w:contextualSpacing/>
        <w:rPr/>
      </w:pPr>
      <w:r>
        <w:rPr>
          <w:sz w:val="17"/>
        </w:rPr>
        <w:t>36. Navigation et services essentiels</w:t>
      </w:r>
    </w:p>
    <w:p>
      <w:pPr>
        <w:pStyle w:val="ListBullet"/>
        <w:numPr>
          <w:ilvl w:val="0"/>
          <w:numId w:val="1"/>
        </w:numPr>
        <w:spacing w:before="0" w:after="20"/>
        <w:ind w:hanging="360" w:start="283"/>
        <w:contextualSpacing/>
        <w:rPr/>
      </w:pPr>
      <w:r>
        <w:rPr>
          <w:sz w:val="17"/>
        </w:rPr>
        <w:t>37. Nous contacter et réseaux sociaux</w:t>
      </w:r>
    </w:p>
    <w:p>
      <w:pPr>
        <w:pStyle w:val="ListBullet"/>
        <w:numPr>
          <w:ilvl w:val="0"/>
          <w:numId w:val="1"/>
        </w:numPr>
        <w:spacing w:before="0" w:after="20"/>
        <w:ind w:hanging="360" w:start="283"/>
        <w:contextualSpacing/>
        <w:rPr/>
      </w:pPr>
      <w:r>
        <w:rPr>
          <w:sz w:val="17"/>
        </w:rPr>
        <w:t>38. Confidentialité et assistance humaine</w:t>
      </w:r>
    </w:p>
    <w:p>
      <w:pPr>
        <w:pStyle w:val="ListBullet"/>
        <w:numPr>
          <w:ilvl w:val="0"/>
          <w:numId w:val="1"/>
        </w:numPr>
        <w:spacing w:before="0" w:after="20"/>
        <w:ind w:hanging="360" w:start="283"/>
        <w:contextualSpacing/>
        <w:rPr/>
      </w:pPr>
      <w:r>
        <w:rPr>
          <w:sz w:val="17"/>
        </w:rPr>
        <w:t>39. Rôle et limites d’ÉMINA sur les pages d’actualité</w:t>
      </w:r>
    </w:p>
    <w:p>
      <w:pPr>
        <w:pStyle w:val="ListBullet"/>
        <w:numPr>
          <w:ilvl w:val="0"/>
          <w:numId w:val="1"/>
        </w:numPr>
        <w:spacing w:before="0" w:after="20"/>
        <w:ind w:hanging="360" w:start="283"/>
        <w:contextualSpacing/>
        <w:rPr/>
      </w:pPr>
      <w:r>
        <w:rPr>
          <w:sz w:val="17"/>
        </w:rPr>
        <w:t>40. Sélecteur des six langues</w:t>
      </w:r>
    </w:p>
    <w:p>
      <w:pPr>
        <w:pStyle w:val="Normal"/>
        <w:rPr/>
      </w:pPr>
      <w:r>
        <w:rPr/>
      </w:r>
      <w:r>
        <w:br w:type="page"/>
      </w:r>
    </w:p>
    <w:p>
      <w:pPr>
        <w:pStyle w:val="Heading1"/>
        <w:keepNext w:val="true"/>
        <w:spacing w:before="0" w:after="0"/>
        <w:jc w:val="center"/>
        <w:rPr/>
      </w:pPr>
      <w:r>
        <w:rPr/>
        <w:t>PARTIE I — ARCHITECTURE DU MENU ET PAGE PRINCIPALE</w:t>
      </w:r>
    </w:p>
    <w:p>
      <w:pPr>
        <w:pStyle w:val="Heading2"/>
        <w:keepNext w:val="true"/>
        <w:rPr/>
      </w:pPr>
      <w:r>
        <w:rPr/>
        <w:t>1. Architecture du menu « Actualités et galerie »</w:t>
      </w:r>
    </w:p>
    <w:p>
      <w:pPr>
        <w:pStyle w:val="Normal"/>
        <w:spacing w:before="20" w:after="80"/>
        <w:rPr/>
      </w:pPr>
      <w:r>
        <w:rPr>
          <w:b/>
          <w:color w:val="0B3D91"/>
          <w:sz w:val="16"/>
        </w:rPr>
        <w:t xml:space="preserve">Source contrôlée : </w:t>
      </w:r>
      <w:r>
        <w:rPr>
          <w:color w:val="555555"/>
          <w:sz w:val="16"/>
        </w:rPr>
        <w:t>Navigation principale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menu principal comporte une entrée unique intitulée « Actualités et galerie », située après « Veille officielle » et avant « Contact ».</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rassemble deux fonctions complémentaires : informer par des articles et illustrer la vie scolaire par des images.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donne une porte d’entrée publique aux événements, activités et étapes du projet.</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directs avec Admissions, Programmes, Vie scolaire, À propos, Contact et ÉMINA.</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Entrée de premier niveau</w:t>
      </w:r>
    </w:p>
    <w:p>
      <w:pPr>
        <w:pStyle w:val="ListBullet"/>
        <w:numPr>
          <w:ilvl w:val="0"/>
          <w:numId w:val="1"/>
        </w:numPr>
        <w:spacing w:before="0" w:after="20"/>
        <w:ind w:hanging="360" w:start="283"/>
        <w:contextualSpacing/>
        <w:rPr/>
      </w:pPr>
      <w:r>
        <w:rPr>
          <w:sz w:val="17"/>
        </w:rPr>
        <w:t>Positionnée entre Veille officielle et Contact</w:t>
      </w:r>
    </w:p>
    <w:p>
      <w:pPr>
        <w:pStyle w:val="ListBullet"/>
        <w:numPr>
          <w:ilvl w:val="0"/>
          <w:numId w:val="1"/>
        </w:numPr>
        <w:spacing w:before="0" w:after="20"/>
        <w:ind w:hanging="360" w:start="283"/>
        <w:contextualSpacing/>
        <w:rPr/>
      </w:pPr>
      <w:r>
        <w:rPr>
          <w:sz w:val="17"/>
        </w:rPr>
        <w:t>Accès à une page unique</w:t>
      </w:r>
    </w:p>
    <w:p>
      <w:pPr>
        <w:pStyle w:val="ListBullet"/>
        <w:numPr>
          <w:ilvl w:val="0"/>
          <w:numId w:val="1"/>
        </w:numPr>
        <w:spacing w:before="0" w:after="20"/>
        <w:ind w:hanging="360" w:start="283"/>
        <w:contextualSpacing/>
        <w:rPr/>
      </w:pPr>
      <w:r>
        <w:rPr>
          <w:sz w:val="17"/>
        </w:rPr>
        <w:t>Aucun enfant de menu visible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Architecture du menu « Actualités et galerie » » ?</w:t>
      </w:r>
    </w:p>
    <w:p>
      <w:pPr>
        <w:pStyle w:val="Normal"/>
        <w:spacing w:before="0" w:after="40"/>
        <w:ind w:start="255"/>
        <w:rPr/>
      </w:pPr>
      <w:r>
        <w:rPr>
          <w:b/>
          <w:color w:val="D4A017"/>
          <w:sz w:val="16"/>
        </w:rPr>
        <w:t xml:space="preserve">Réponse : </w:t>
      </w:r>
      <w:r>
        <w:rPr>
          <w:color w:val="1F2937"/>
          <w:sz w:val="16"/>
        </w:rPr>
        <w:t>Le menu principal comporte une entrée unique intitulée « Actualités et galerie », située après « Veille officielle » et avant « Contact ».</w:t>
      </w:r>
    </w:p>
    <w:p>
      <w:pPr>
        <w:pStyle w:val="Normal"/>
        <w:keepNext w:val="true"/>
        <w:keepLines/>
        <w:spacing w:before="40" w:after="0"/>
        <w:ind w:start="57"/>
        <w:rPr/>
      </w:pPr>
      <w:r>
        <w:rPr>
          <w:b/>
          <w:color w:val="0B3D91"/>
          <w:sz w:val="17"/>
        </w:rPr>
        <w:t>Q2. Quelle est l’idée centrale de « Architecture du menu « Actualités et galerie » » ?</w:t>
      </w:r>
    </w:p>
    <w:p>
      <w:pPr>
        <w:pStyle w:val="Normal"/>
        <w:spacing w:before="0" w:after="40"/>
        <w:ind w:start="255"/>
        <w:rPr/>
      </w:pPr>
      <w:r>
        <w:rPr>
          <w:b/>
          <w:color w:val="D4A017"/>
          <w:sz w:val="16"/>
        </w:rPr>
        <w:t xml:space="preserve">Réponse : </w:t>
      </w:r>
      <w:r>
        <w:rPr>
          <w:color w:val="1F2937"/>
          <w:sz w:val="16"/>
        </w:rPr>
        <w:t>Cette entrée centralise l’accès public aux nouvelles de l’école et aux contenus visuels associés.</w:t>
      </w:r>
    </w:p>
    <w:p>
      <w:pPr>
        <w:pStyle w:val="Normal"/>
        <w:keepNext w:val="true"/>
        <w:keepLines/>
        <w:spacing w:before="40" w:after="0"/>
        <w:ind w:start="57"/>
        <w:rPr/>
      </w:pPr>
      <w:r>
        <w:rPr>
          <w:b/>
          <w:color w:val="0B3D91"/>
          <w:sz w:val="17"/>
        </w:rPr>
        <w:t>Q3. Quels éléments sont explicitement développés sous « Architecture du menu « Actualités et galerie » » ?</w:t>
      </w:r>
    </w:p>
    <w:p>
      <w:pPr>
        <w:pStyle w:val="Normal"/>
        <w:spacing w:before="0" w:after="40"/>
        <w:ind w:start="255"/>
        <w:rPr/>
      </w:pPr>
      <w:r>
        <w:rPr>
          <w:b/>
          <w:color w:val="D4A017"/>
          <w:sz w:val="16"/>
        </w:rPr>
        <w:t xml:space="preserve">Réponse : </w:t>
      </w:r>
      <w:r>
        <w:rPr>
          <w:color w:val="1F2937"/>
          <w:sz w:val="16"/>
        </w:rPr>
        <w:t>Un lien de premier niveau, sans liste enfant visible dans la navigation inspectée.</w:t>
      </w:r>
    </w:p>
    <w:p>
      <w:pPr>
        <w:pStyle w:val="Normal"/>
        <w:keepNext w:val="true"/>
        <w:keepLines/>
        <w:spacing w:before="40" w:after="0"/>
        <w:ind w:start="57"/>
        <w:rPr/>
      </w:pPr>
      <w:r>
        <w:rPr>
          <w:b/>
          <w:color w:val="0B3D91"/>
          <w:sz w:val="17"/>
        </w:rPr>
        <w:t>Q4. À quel public ou à quels acteurs « Architecture du menu « Actualités et galerie » » s’adresse-t-il ?</w:t>
      </w:r>
    </w:p>
    <w:p>
      <w:pPr>
        <w:pStyle w:val="Normal"/>
        <w:spacing w:before="0" w:after="40"/>
        <w:ind w:start="255"/>
        <w:rPr/>
      </w:pPr>
      <w:r>
        <w:rPr>
          <w:b/>
          <w:color w:val="D4A017"/>
          <w:sz w:val="16"/>
        </w:rPr>
        <w:t xml:space="preserve">Réponse : </w:t>
      </w:r>
      <w:r>
        <w:rPr>
          <w:color w:val="1F2937"/>
          <w:sz w:val="16"/>
        </w:rPr>
        <w:t>Familles, élèves, personnels, partenaires, visiteurs et communauté éducative.</w:t>
      </w:r>
    </w:p>
    <w:p>
      <w:pPr>
        <w:pStyle w:val="Normal"/>
        <w:keepNext w:val="true"/>
        <w:keepLines/>
        <w:spacing w:before="40" w:after="0"/>
        <w:ind w:start="57"/>
        <w:rPr/>
      </w:pPr>
      <w:r>
        <w:rPr>
          <w:b/>
          <w:color w:val="0B3D91"/>
          <w:sz w:val="17"/>
        </w:rPr>
        <w:t>Q5. Quelle action ou conduite « Architecture du menu « Actualités et galerie » » invite-t-il à adopter ?</w:t>
      </w:r>
    </w:p>
    <w:p>
      <w:pPr>
        <w:pStyle w:val="Normal"/>
        <w:spacing w:before="0" w:after="40"/>
        <w:ind w:start="255"/>
        <w:rPr/>
      </w:pPr>
      <w:r>
        <w:rPr>
          <w:b/>
          <w:color w:val="D4A017"/>
          <w:sz w:val="16"/>
        </w:rPr>
        <w:t xml:space="preserve">Réponse : </w:t>
      </w:r>
      <w:r>
        <w:rPr>
          <w:color w:val="1F2937"/>
          <w:sz w:val="16"/>
        </w:rPr>
        <w:t>Ouvrir la page centrale pour consulter les nouvelles publiées.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rassemble deux fonctions complémentaires : informer par des articles et illustrer la vie scolaire par des images.</w:t>
      </w:r>
    </w:p>
    <w:p>
      <w:pPr>
        <w:pStyle w:val="Normal"/>
        <w:keepNext w:val="true"/>
        <w:keepLines/>
        <w:spacing w:before="40" w:after="0"/>
        <w:ind w:start="57"/>
        <w:rPr/>
      </w:pPr>
      <w:r>
        <w:rPr>
          <w:b/>
          <w:color w:val="0B3D91"/>
          <w:sz w:val="17"/>
        </w:rPr>
        <w:t>Q7. Quelle est l’importance de « Architecture du menu « Actualités et galerie » » dans le projet du GSE ?</w:t>
      </w:r>
    </w:p>
    <w:p>
      <w:pPr>
        <w:pStyle w:val="Normal"/>
        <w:spacing w:before="0" w:after="40"/>
        <w:ind w:start="255"/>
        <w:rPr/>
      </w:pPr>
      <w:r>
        <w:rPr>
          <w:b/>
          <w:color w:val="D4A017"/>
          <w:sz w:val="16"/>
        </w:rPr>
        <w:t xml:space="preserve">Réponse : </w:t>
      </w:r>
      <w:r>
        <w:rPr>
          <w:color w:val="1F2937"/>
          <w:sz w:val="16"/>
        </w:rPr>
        <w:t>Il donne une porte d’entrée publique aux événements, activités et étapes du projet.</w:t>
      </w:r>
    </w:p>
    <w:p>
      <w:pPr>
        <w:pStyle w:val="Normal"/>
        <w:keepNext w:val="true"/>
        <w:keepLines/>
        <w:spacing w:before="40" w:after="0"/>
        <w:ind w:start="57"/>
        <w:rPr/>
      </w:pPr>
      <w:r>
        <w:rPr>
          <w:b/>
          <w:color w:val="0B3D91"/>
          <w:sz w:val="17"/>
        </w:rPr>
        <w:t>Q8. Quels liens « Architecture du menu « Actualités et galerie » » entretient-il avec les autres pages ou services ?</w:t>
      </w:r>
    </w:p>
    <w:p>
      <w:pPr>
        <w:pStyle w:val="Normal"/>
        <w:spacing w:before="0" w:after="40"/>
        <w:ind w:start="255"/>
        <w:rPr/>
      </w:pPr>
      <w:r>
        <w:rPr>
          <w:b/>
          <w:color w:val="D4A017"/>
          <w:sz w:val="16"/>
        </w:rPr>
        <w:t xml:space="preserve">Réponse : </w:t>
      </w:r>
      <w:r>
        <w:rPr>
          <w:color w:val="1F2937"/>
          <w:sz w:val="16"/>
        </w:rPr>
        <w:t>Liens directs avec Admissions, Programmes, Vie scolaire, À propos, Contact et ÉMINA.</w:t>
      </w:r>
    </w:p>
    <w:p>
      <w:pPr>
        <w:pStyle w:val="Normal"/>
        <w:keepNext w:val="true"/>
        <w:keepLines/>
        <w:spacing w:before="40" w:after="0"/>
        <w:ind w:start="57"/>
        <w:rPr/>
      </w:pPr>
      <w:r>
        <w:rPr>
          <w:b/>
          <w:color w:val="0B3D91"/>
          <w:sz w:val="17"/>
        </w:rPr>
        <w:t>Q9. Quelle précision, limite ou réserve faut-il conserver à propos de « Architecture du menu « Actualités et galerie » » ?</w:t>
      </w:r>
    </w:p>
    <w:p>
      <w:pPr>
        <w:pStyle w:val="Normal"/>
        <w:spacing w:before="0" w:after="40"/>
        <w:ind w:start="255"/>
        <w:rPr/>
      </w:pPr>
      <w:r>
        <w:rPr>
          <w:b/>
          <w:color w:val="D4A017"/>
          <w:sz w:val="16"/>
        </w:rPr>
        <w:t xml:space="preserve">Réponse : </w:t>
      </w:r>
      <w:r>
        <w:rPr>
          <w:color w:val="1F2937"/>
          <w:sz w:val="16"/>
        </w:rPr>
        <w:t>Aucun sous-menu distinct n’est actuellement affiché sous cette entrée.</w:t>
      </w:r>
    </w:p>
    <w:p>
      <w:pPr>
        <w:pStyle w:val="Normal"/>
        <w:keepNext w:val="true"/>
        <w:keepLines/>
        <w:spacing w:before="40" w:after="0"/>
        <w:ind w:start="57"/>
        <w:rPr/>
      </w:pPr>
      <w:r>
        <w:rPr>
          <w:b/>
          <w:color w:val="0B3D91"/>
          <w:sz w:val="17"/>
        </w:rPr>
        <w:t>Q10. Quelle réponse essentielle faut-il retenir au sujet de « Architecture du menu « Actualités et galerie » » ?</w:t>
      </w:r>
    </w:p>
    <w:p>
      <w:pPr>
        <w:pStyle w:val="Normal"/>
        <w:spacing w:before="0" w:after="40"/>
        <w:ind w:start="255"/>
        <w:rPr/>
      </w:pPr>
      <w:r>
        <w:rPr>
          <w:b/>
          <w:color w:val="D4A017"/>
          <w:sz w:val="16"/>
        </w:rPr>
        <w:t xml:space="preserve">Réponse : </w:t>
      </w:r>
      <w:r>
        <w:rPr>
          <w:color w:val="1F2937"/>
          <w:sz w:val="16"/>
        </w:rPr>
        <w:t>Le menu constitue le centre public des informations récentes et de leur illustration.</w:t>
      </w:r>
    </w:p>
    <w:p>
      <w:pPr>
        <w:pStyle w:val="Heading2"/>
        <w:keepNext w:val="true"/>
        <w:rPr/>
      </w:pPr>
      <w:r>
        <w:rPr/>
        <w:t>2. Absence de sous-menus visibles</w:t>
      </w:r>
    </w:p>
    <w:p>
      <w:pPr>
        <w:pStyle w:val="Normal"/>
        <w:spacing w:before="20" w:after="80"/>
        <w:rPr/>
      </w:pPr>
      <w:r>
        <w:rPr>
          <w:b/>
          <w:color w:val="0B3D91"/>
          <w:sz w:val="16"/>
        </w:rPr>
        <w:t xml:space="preserve">Source contrôlée : </w:t>
      </w:r>
      <w:r>
        <w:rPr>
          <w:color w:val="555555"/>
          <w:sz w:val="16"/>
        </w:rPr>
        <w:t>Navigation principale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L’inspection du menu ne montre aucun sous-menu séparé nommé « Actualités » ou « Galerie » sous l’intitulé principal.</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Cette observation précise la structure réelle afin d’éviter d’inventer des pages non publiées.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facilite la maintenance, la cartographie du site et la préparation de la base de connaissances.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l’arborescence générale, la navigation mobile et les articles individuels.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Pas de sous-menu « Actualités »</w:t>
      </w:r>
    </w:p>
    <w:p>
      <w:pPr>
        <w:pStyle w:val="ListBullet"/>
        <w:numPr>
          <w:ilvl w:val="0"/>
          <w:numId w:val="1"/>
        </w:numPr>
        <w:spacing w:before="0" w:after="20"/>
        <w:ind w:hanging="360" w:start="283"/>
        <w:contextualSpacing/>
        <w:rPr/>
      </w:pPr>
      <w:r>
        <w:rPr>
          <w:sz w:val="17"/>
        </w:rPr>
        <w:t>Pas de sous-menu « Galerie »</w:t>
      </w:r>
    </w:p>
    <w:p>
      <w:pPr>
        <w:pStyle w:val="ListBullet"/>
        <w:numPr>
          <w:ilvl w:val="0"/>
          <w:numId w:val="1"/>
        </w:numPr>
        <w:spacing w:before="0" w:after="20"/>
        <w:ind w:hanging="360" w:start="283"/>
        <w:contextualSpacing/>
        <w:rPr/>
      </w:pPr>
      <w:r>
        <w:rPr>
          <w:sz w:val="17"/>
        </w:rPr>
        <w:t>Regroupement dans une seule page</w:t>
      </w:r>
    </w:p>
    <w:p>
      <w:pPr>
        <w:pStyle w:val="ListBullet"/>
        <w:numPr>
          <w:ilvl w:val="0"/>
          <w:numId w:val="1"/>
        </w:numPr>
        <w:spacing w:before="0" w:after="20"/>
        <w:ind w:hanging="360" w:start="283"/>
        <w:contextualSpacing/>
        <w:rPr/>
      </w:pPr>
      <w:r>
        <w:rPr>
          <w:sz w:val="17"/>
        </w:rPr>
        <w:t>Articles accessibles par cartes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Absence de sous-menus visibles » ?</w:t>
      </w:r>
    </w:p>
    <w:p>
      <w:pPr>
        <w:pStyle w:val="Normal"/>
        <w:spacing w:before="0" w:after="40"/>
        <w:ind w:start="255"/>
        <w:rPr/>
      </w:pPr>
      <w:r>
        <w:rPr>
          <w:b/>
          <w:color w:val="D4A017"/>
          <w:sz w:val="16"/>
        </w:rPr>
        <w:t xml:space="preserve">Réponse : </w:t>
      </w:r>
      <w:r>
        <w:rPr>
          <w:color w:val="1F2937"/>
          <w:sz w:val="16"/>
        </w:rPr>
        <w:t>L’inspection du menu ne montre aucun sous-menu séparé nommé « Actualités » ou « Galerie » sous l’intitulé principal.</w:t>
      </w:r>
    </w:p>
    <w:p>
      <w:pPr>
        <w:pStyle w:val="Normal"/>
        <w:keepNext w:val="true"/>
        <w:keepLines/>
        <w:spacing w:before="40" w:after="0"/>
        <w:ind w:start="57"/>
        <w:rPr/>
      </w:pPr>
      <w:r>
        <w:rPr>
          <w:b/>
          <w:color w:val="0B3D91"/>
          <w:sz w:val="17"/>
        </w:rPr>
        <w:t>Q2. Quelle est l’idée centrale de « Absence de sous-menus visibles » ?</w:t>
      </w:r>
    </w:p>
    <w:p>
      <w:pPr>
        <w:pStyle w:val="Normal"/>
        <w:spacing w:before="0" w:after="40"/>
        <w:ind w:start="255"/>
        <w:rPr/>
      </w:pPr>
      <w:r>
        <w:rPr>
          <w:b/>
          <w:color w:val="D4A017"/>
          <w:sz w:val="16"/>
        </w:rPr>
        <w:t xml:space="preserve">Réponse : </w:t>
      </w:r>
      <w:r>
        <w:rPr>
          <w:color w:val="1F2937"/>
          <w:sz w:val="16"/>
        </w:rPr>
        <w:t>La structure actuellement publiée regroupe tous les contenus dans une seule page.</w:t>
      </w:r>
    </w:p>
    <w:p>
      <w:pPr>
        <w:pStyle w:val="Normal"/>
        <w:keepNext w:val="true"/>
        <w:keepLines/>
        <w:spacing w:before="40" w:after="0"/>
        <w:ind w:start="57"/>
        <w:rPr/>
      </w:pPr>
      <w:r>
        <w:rPr>
          <w:b/>
          <w:color w:val="0B3D91"/>
          <w:sz w:val="17"/>
        </w:rPr>
        <w:t>Q3. Quels éléments sont explicitement développés sous « Absence de sous-menus visibles » ?</w:t>
      </w:r>
    </w:p>
    <w:p>
      <w:pPr>
        <w:pStyle w:val="Normal"/>
        <w:spacing w:before="0" w:after="40"/>
        <w:ind w:start="255"/>
        <w:rPr/>
      </w:pPr>
      <w:r>
        <w:rPr>
          <w:b/>
          <w:color w:val="D4A017"/>
          <w:sz w:val="16"/>
        </w:rPr>
        <w:t xml:space="preserve">Réponse : </w:t>
      </w:r>
      <w:r>
        <w:rPr>
          <w:color w:val="1F2937"/>
          <w:sz w:val="16"/>
        </w:rPr>
        <w:t>Une seule destination de navigation ; les articles sont accessibles depuis des cartes internes.</w:t>
      </w:r>
    </w:p>
    <w:p>
      <w:pPr>
        <w:pStyle w:val="Normal"/>
        <w:keepNext w:val="true"/>
        <w:keepLines/>
        <w:spacing w:before="40" w:after="0"/>
        <w:ind w:start="57"/>
        <w:rPr/>
      </w:pPr>
      <w:r>
        <w:rPr>
          <w:b/>
          <w:color w:val="0B3D91"/>
          <w:sz w:val="17"/>
        </w:rPr>
        <w:t>Q4. À quel public ou à quels acteurs « Absence de sous-menus visibles » s’adresse-t-il ?</w:t>
      </w:r>
    </w:p>
    <w:p>
      <w:pPr>
        <w:pStyle w:val="Normal"/>
        <w:spacing w:before="0" w:after="40"/>
        <w:ind w:start="255"/>
        <w:rPr/>
      </w:pPr>
      <w:r>
        <w:rPr>
          <w:b/>
          <w:color w:val="D4A017"/>
          <w:sz w:val="16"/>
        </w:rPr>
        <w:t xml:space="preserve">Réponse : </w:t>
      </w:r>
      <w:r>
        <w:rPr>
          <w:color w:val="1F2937"/>
          <w:sz w:val="16"/>
        </w:rPr>
        <w:t>Administrateurs du site, visiteurs et responsables de la communication.</w:t>
      </w:r>
    </w:p>
    <w:p>
      <w:pPr>
        <w:pStyle w:val="Normal"/>
        <w:keepNext w:val="true"/>
        <w:keepLines/>
        <w:spacing w:before="40" w:after="0"/>
        <w:ind w:start="57"/>
        <w:rPr/>
      </w:pPr>
      <w:r>
        <w:rPr>
          <w:b/>
          <w:color w:val="0B3D91"/>
          <w:sz w:val="17"/>
        </w:rPr>
        <w:t>Q5. Quelle action ou conduite « Absence de sous-menus visibles » invite-t-il à adopter ?</w:t>
      </w:r>
    </w:p>
    <w:p>
      <w:pPr>
        <w:pStyle w:val="Normal"/>
        <w:spacing w:before="0" w:after="40"/>
        <w:ind w:start="255"/>
        <w:rPr/>
      </w:pPr>
      <w:r>
        <w:rPr>
          <w:b/>
          <w:color w:val="D4A017"/>
          <w:sz w:val="16"/>
        </w:rPr>
        <w:t xml:space="preserve">Réponse : </w:t>
      </w:r>
      <w:r>
        <w:rPr>
          <w:color w:val="1F2937"/>
          <w:sz w:val="16"/>
        </w:rPr>
        <w:t>Consulter la page unique puis utiliser les liens « Lire la suite ».</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Cette observation précise la structure réelle afin d’éviter d’inventer des pages non publiées.</w:t>
      </w:r>
    </w:p>
    <w:p>
      <w:pPr>
        <w:pStyle w:val="Normal"/>
        <w:keepNext w:val="true"/>
        <w:keepLines/>
        <w:spacing w:before="40" w:after="0"/>
        <w:ind w:start="57"/>
        <w:rPr/>
      </w:pPr>
      <w:r>
        <w:rPr>
          <w:b/>
          <w:color w:val="0B3D91"/>
          <w:sz w:val="17"/>
        </w:rPr>
        <w:t>Q7. Quelle est l’importance de « Absence de sous-menus visibles » dans le projet du GSE ?</w:t>
      </w:r>
    </w:p>
    <w:p>
      <w:pPr>
        <w:pStyle w:val="Normal"/>
        <w:spacing w:before="0" w:after="40"/>
        <w:ind w:start="255"/>
        <w:rPr/>
      </w:pPr>
      <w:r>
        <w:rPr>
          <w:b/>
          <w:color w:val="D4A017"/>
          <w:sz w:val="16"/>
        </w:rPr>
        <w:t xml:space="preserve">Réponse : </w:t>
      </w:r>
      <w:r>
        <w:rPr>
          <w:color w:val="1F2937"/>
          <w:sz w:val="16"/>
        </w:rPr>
        <w:t>Elle facilite la maintenance, la cartographie du site et la préparation de la base de connaissances.</w:t>
      </w:r>
    </w:p>
    <w:p>
      <w:pPr>
        <w:pStyle w:val="Normal"/>
        <w:keepNext w:val="true"/>
        <w:keepLines/>
        <w:spacing w:before="40" w:after="0"/>
        <w:ind w:start="57"/>
        <w:rPr/>
      </w:pPr>
      <w:r>
        <w:rPr>
          <w:b/>
          <w:color w:val="0B3D91"/>
          <w:sz w:val="17"/>
        </w:rPr>
        <w:t>Q8. Quels liens « Absence de sous-menus visibles » entretient-il avec les autres pages ou services ?</w:t>
      </w:r>
    </w:p>
    <w:p>
      <w:pPr>
        <w:pStyle w:val="Normal"/>
        <w:spacing w:before="0" w:after="40"/>
        <w:ind w:start="255"/>
        <w:rPr/>
      </w:pPr>
      <w:r>
        <w:rPr>
          <w:b/>
          <w:color w:val="D4A017"/>
          <w:sz w:val="16"/>
        </w:rPr>
        <w:t xml:space="preserve">Réponse : </w:t>
      </w:r>
      <w:r>
        <w:rPr>
          <w:color w:val="1F2937"/>
          <w:sz w:val="16"/>
        </w:rPr>
        <w:t>Liens avec l’arborescence générale, la navigation mobile et les articles individuels.</w:t>
      </w:r>
    </w:p>
    <w:p>
      <w:pPr>
        <w:pStyle w:val="Normal"/>
        <w:keepNext w:val="true"/>
        <w:keepLines/>
        <w:spacing w:before="40" w:after="0"/>
        <w:ind w:start="57"/>
        <w:rPr/>
      </w:pPr>
      <w:r>
        <w:rPr>
          <w:b/>
          <w:color w:val="0B3D91"/>
          <w:sz w:val="17"/>
        </w:rPr>
        <w:t>Q9. Quelle précision, limite ou réserve faut-il conserver à propos de « Absence de sous-menus visibles » ?</w:t>
      </w:r>
    </w:p>
    <w:p>
      <w:pPr>
        <w:pStyle w:val="Normal"/>
        <w:spacing w:before="0" w:after="40"/>
        <w:ind w:start="255"/>
        <w:rPr/>
      </w:pPr>
      <w:r>
        <w:rPr>
          <w:b/>
          <w:color w:val="D4A017"/>
          <w:sz w:val="16"/>
        </w:rPr>
        <w:t xml:space="preserve">Réponse : </w:t>
      </w:r>
      <w:r>
        <w:rPr>
          <w:color w:val="1F2937"/>
          <w:sz w:val="16"/>
        </w:rPr>
        <w:t>L’absence de sous-menu ne signifie pas qu’une galerie ne pourra pas être créée ultérieurement.</w:t>
      </w:r>
    </w:p>
    <w:p>
      <w:pPr>
        <w:pStyle w:val="Normal"/>
        <w:keepNext w:val="true"/>
        <w:keepLines/>
        <w:spacing w:before="40" w:after="0"/>
        <w:ind w:start="57"/>
        <w:rPr/>
      </w:pPr>
      <w:r>
        <w:rPr>
          <w:b/>
          <w:color w:val="0B3D91"/>
          <w:sz w:val="17"/>
        </w:rPr>
        <w:t>Q10. Quelle réponse essentielle faut-il retenir au sujet de « Absence de sous-menus visibles » ?</w:t>
      </w:r>
    </w:p>
    <w:p>
      <w:pPr>
        <w:pStyle w:val="Normal"/>
        <w:spacing w:before="0" w:after="40"/>
        <w:ind w:start="255"/>
        <w:rPr/>
      </w:pPr>
      <w:r>
        <w:rPr>
          <w:b/>
          <w:color w:val="D4A017"/>
          <w:sz w:val="16"/>
        </w:rPr>
        <w:t xml:space="preserve">Réponse : </w:t>
      </w:r>
      <w:r>
        <w:rPr>
          <w:color w:val="1F2937"/>
          <w:sz w:val="16"/>
        </w:rPr>
        <w:t>À la date du relevé, le menu ne présente pas de sous-rubriques publiques distinctes.</w:t>
      </w:r>
    </w:p>
    <w:p>
      <w:pPr>
        <w:pStyle w:val="Heading2"/>
        <w:keepNext w:val="true"/>
        <w:rPr/>
      </w:pPr>
      <w:r>
        <w:rPr/>
        <w:t>3. Intitulé « Actualités et galerie »</w:t>
      </w:r>
    </w:p>
    <w:p>
      <w:pPr>
        <w:pStyle w:val="Normal"/>
        <w:spacing w:before="20" w:after="80"/>
        <w:rPr/>
      </w:pPr>
      <w:r>
        <w:rPr>
          <w:b/>
          <w:color w:val="0B3D91"/>
          <w:sz w:val="16"/>
        </w:rPr>
        <w:t xml:space="preserve">Source contrôlée : </w:t>
      </w:r>
      <w:r>
        <w:rPr>
          <w:color w:val="555555"/>
          <w:sz w:val="16"/>
        </w:rPr>
        <w:t>Titre du menu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libellé combine l’information chronologique et la présentation visuelle de la communauté éducative.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traduit une ambition de communication plus large qu’une simple liste d’articles.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la transparence, la visibilité et le sentiment d’appartenance.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la communication institutionnelle, les réseaux sociaux et les événements scolaires.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Information récente</w:t>
      </w:r>
    </w:p>
    <w:p>
      <w:pPr>
        <w:pStyle w:val="ListBullet"/>
        <w:numPr>
          <w:ilvl w:val="0"/>
          <w:numId w:val="1"/>
        </w:numPr>
        <w:spacing w:before="0" w:after="20"/>
        <w:ind w:hanging="360" w:start="283"/>
        <w:contextualSpacing/>
        <w:rPr/>
      </w:pPr>
      <w:r>
        <w:rPr>
          <w:sz w:val="17"/>
        </w:rPr>
        <w:t>Illustration visuelle</w:t>
      </w:r>
    </w:p>
    <w:p>
      <w:pPr>
        <w:pStyle w:val="ListBullet"/>
        <w:numPr>
          <w:ilvl w:val="0"/>
          <w:numId w:val="1"/>
        </w:numPr>
        <w:spacing w:before="0" w:after="20"/>
        <w:ind w:hanging="360" w:start="283"/>
        <w:contextualSpacing/>
        <w:rPr/>
      </w:pPr>
      <w:r>
        <w:rPr>
          <w:sz w:val="17"/>
        </w:rPr>
        <w:t>Communication institutionnelle</w:t>
      </w:r>
    </w:p>
    <w:p>
      <w:pPr>
        <w:pStyle w:val="ListBullet"/>
        <w:numPr>
          <w:ilvl w:val="0"/>
          <w:numId w:val="1"/>
        </w:numPr>
        <w:spacing w:before="0" w:after="20"/>
        <w:ind w:hanging="360" w:start="283"/>
        <w:contextualSpacing/>
        <w:rPr/>
      </w:pPr>
      <w:r>
        <w:rPr>
          <w:sz w:val="17"/>
        </w:rPr>
        <w:t>Mémoire de la vie scolaire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Intitulé « Actualités et galerie » » ?</w:t>
      </w:r>
    </w:p>
    <w:p>
      <w:pPr>
        <w:pStyle w:val="Normal"/>
        <w:spacing w:before="0" w:after="40"/>
        <w:ind w:start="255"/>
        <w:rPr/>
      </w:pPr>
      <w:r>
        <w:rPr>
          <w:b/>
          <w:color w:val="D4A017"/>
          <w:sz w:val="16"/>
        </w:rPr>
        <w:t xml:space="preserve">Réponse : </w:t>
      </w:r>
      <w:r>
        <w:rPr>
          <w:color w:val="1F2937"/>
          <w:sz w:val="16"/>
        </w:rPr>
        <w:t>Le libellé combine l’information chronologique et la présentation visuelle de la communauté éducative.</w:t>
      </w:r>
    </w:p>
    <w:p>
      <w:pPr>
        <w:pStyle w:val="Normal"/>
        <w:keepNext w:val="true"/>
        <w:keepLines/>
        <w:spacing w:before="40" w:after="0"/>
        <w:ind w:start="57"/>
        <w:rPr/>
      </w:pPr>
      <w:r>
        <w:rPr>
          <w:b/>
          <w:color w:val="0B3D91"/>
          <w:sz w:val="17"/>
        </w:rPr>
        <w:t>Q2. Quelle est l’idée centrale de « Intitulé « Actualités et galerie » » ?</w:t>
      </w:r>
    </w:p>
    <w:p>
      <w:pPr>
        <w:pStyle w:val="Normal"/>
        <w:spacing w:before="0" w:after="40"/>
        <w:ind w:start="255"/>
        <w:rPr/>
      </w:pPr>
      <w:r>
        <w:rPr>
          <w:b/>
          <w:color w:val="D4A017"/>
          <w:sz w:val="16"/>
        </w:rPr>
        <w:t xml:space="preserve">Réponse : </w:t>
      </w:r>
      <w:r>
        <w:rPr>
          <w:color w:val="1F2937"/>
          <w:sz w:val="16"/>
        </w:rPr>
        <w:t>Il annonce à la fois des nouvelles institutionnelles et des supports illustrés.</w:t>
      </w:r>
    </w:p>
    <w:p>
      <w:pPr>
        <w:pStyle w:val="Normal"/>
        <w:keepNext w:val="true"/>
        <w:keepLines/>
        <w:spacing w:before="40" w:after="0"/>
        <w:ind w:start="57"/>
        <w:rPr/>
      </w:pPr>
      <w:r>
        <w:rPr>
          <w:b/>
          <w:color w:val="0B3D91"/>
          <w:sz w:val="17"/>
        </w:rPr>
        <w:t>Q3. Quels éléments sont explicitement développés sous « Intitulé « Actualités et galerie » » ?</w:t>
      </w:r>
    </w:p>
    <w:p>
      <w:pPr>
        <w:pStyle w:val="Normal"/>
        <w:spacing w:before="0" w:after="40"/>
        <w:ind w:start="255"/>
        <w:rPr/>
      </w:pPr>
      <w:r>
        <w:rPr>
          <w:b/>
          <w:color w:val="D4A017"/>
          <w:sz w:val="16"/>
        </w:rPr>
        <w:t xml:space="preserve">Réponse : </w:t>
      </w:r>
      <w:r>
        <w:rPr>
          <w:color w:val="1F2937"/>
          <w:sz w:val="16"/>
        </w:rPr>
        <w:t>Les mots « Actualités » et « galerie » sont réunis dans un même intitulé.</w:t>
      </w:r>
    </w:p>
    <w:p>
      <w:pPr>
        <w:pStyle w:val="Normal"/>
        <w:keepNext w:val="true"/>
        <w:keepLines/>
        <w:spacing w:before="40" w:after="0"/>
        <w:ind w:start="57"/>
        <w:rPr/>
      </w:pPr>
      <w:r>
        <w:rPr>
          <w:b/>
          <w:color w:val="0B3D91"/>
          <w:sz w:val="17"/>
        </w:rPr>
        <w:t>Q4. À quel public ou à quels acteurs « Intitulé « Actualités et galerie » » s’adresse-t-il ?</w:t>
      </w:r>
    </w:p>
    <w:p>
      <w:pPr>
        <w:pStyle w:val="Normal"/>
        <w:spacing w:before="0" w:after="40"/>
        <w:ind w:start="255"/>
        <w:rPr/>
      </w:pPr>
      <w:r>
        <w:rPr>
          <w:b/>
          <w:color w:val="D4A017"/>
          <w:sz w:val="16"/>
        </w:rPr>
        <w:t xml:space="preserve">Réponse : </w:t>
      </w:r>
      <w:r>
        <w:rPr>
          <w:color w:val="1F2937"/>
          <w:sz w:val="16"/>
        </w:rPr>
        <w:t>Le public qui souhaite suivre l’évolution du projet scolaire.</w:t>
      </w:r>
    </w:p>
    <w:p>
      <w:pPr>
        <w:pStyle w:val="Normal"/>
        <w:keepNext w:val="true"/>
        <w:keepLines/>
        <w:spacing w:before="40" w:after="0"/>
        <w:ind w:start="57"/>
        <w:rPr/>
      </w:pPr>
      <w:r>
        <w:rPr>
          <w:b/>
          <w:color w:val="0B3D91"/>
          <w:sz w:val="17"/>
        </w:rPr>
        <w:t>Q5. Quelle action ou conduite « Intitulé « Actualités et galerie » » invite-t-il à adopter ?</w:t>
      </w:r>
    </w:p>
    <w:p>
      <w:pPr>
        <w:pStyle w:val="Normal"/>
        <w:spacing w:before="0" w:after="40"/>
        <w:ind w:start="255"/>
        <w:rPr/>
      </w:pPr>
      <w:r>
        <w:rPr>
          <w:b/>
          <w:color w:val="D4A017"/>
          <w:sz w:val="16"/>
        </w:rPr>
        <w:t xml:space="preserve">Réponse : </w:t>
      </w:r>
      <w:r>
        <w:rPr>
          <w:color w:val="1F2937"/>
          <w:sz w:val="16"/>
        </w:rPr>
        <w:t>Consulter les publications et leurs illustrations.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traduit une ambition de communication plus large qu’une simple liste d’articles.</w:t>
      </w:r>
    </w:p>
    <w:p>
      <w:pPr>
        <w:pStyle w:val="Normal"/>
        <w:keepNext w:val="true"/>
        <w:keepLines/>
        <w:spacing w:before="40" w:after="0"/>
        <w:ind w:start="57"/>
        <w:rPr/>
      </w:pPr>
      <w:r>
        <w:rPr>
          <w:b/>
          <w:color w:val="0B3D91"/>
          <w:sz w:val="17"/>
        </w:rPr>
        <w:t>Q7. Quelle est l’importance de « Intitulé « Actualités et galerie » » dans le projet du GSE ?</w:t>
      </w:r>
    </w:p>
    <w:p>
      <w:pPr>
        <w:pStyle w:val="Normal"/>
        <w:spacing w:before="0" w:after="40"/>
        <w:ind w:start="255"/>
        <w:rPr/>
      </w:pPr>
      <w:r>
        <w:rPr>
          <w:b/>
          <w:color w:val="D4A017"/>
          <w:sz w:val="16"/>
        </w:rPr>
        <w:t xml:space="preserve">Réponse : </w:t>
      </w:r>
      <w:r>
        <w:rPr>
          <w:color w:val="1F2937"/>
          <w:sz w:val="16"/>
        </w:rPr>
        <w:t>Il soutient la transparence, la visibilité et le sentiment d’appartenance.</w:t>
      </w:r>
    </w:p>
    <w:p>
      <w:pPr>
        <w:pStyle w:val="Normal"/>
        <w:keepNext w:val="true"/>
        <w:keepLines/>
        <w:spacing w:before="40" w:after="0"/>
        <w:ind w:start="57"/>
        <w:rPr/>
      </w:pPr>
      <w:r>
        <w:rPr>
          <w:b/>
          <w:color w:val="0B3D91"/>
          <w:sz w:val="17"/>
        </w:rPr>
        <w:t>Q8. Quels liens « Intitulé « Actualités et galerie » » entretient-il avec les autres pages ou services ?</w:t>
      </w:r>
    </w:p>
    <w:p>
      <w:pPr>
        <w:pStyle w:val="Normal"/>
        <w:spacing w:before="0" w:after="40"/>
        <w:ind w:start="255"/>
        <w:rPr/>
      </w:pPr>
      <w:r>
        <w:rPr>
          <w:b/>
          <w:color w:val="D4A017"/>
          <w:sz w:val="16"/>
        </w:rPr>
        <w:t xml:space="preserve">Réponse : </w:t>
      </w:r>
      <w:r>
        <w:rPr>
          <w:color w:val="1F2937"/>
          <w:sz w:val="16"/>
        </w:rPr>
        <w:t>Liens avec la communication institutionnelle, les réseaux sociaux et les événements scolaires.</w:t>
      </w:r>
    </w:p>
    <w:p>
      <w:pPr>
        <w:pStyle w:val="Normal"/>
        <w:keepNext w:val="true"/>
        <w:keepLines/>
        <w:spacing w:before="40" w:after="0"/>
        <w:ind w:start="57"/>
        <w:rPr/>
      </w:pPr>
      <w:r>
        <w:rPr>
          <w:b/>
          <w:color w:val="0B3D91"/>
          <w:sz w:val="17"/>
        </w:rPr>
        <w:t>Q9. Quelle précision, limite ou réserve faut-il conserver à propos de « Intitulé « Actualités et galerie » » ?</w:t>
      </w:r>
    </w:p>
    <w:p>
      <w:pPr>
        <w:pStyle w:val="Normal"/>
        <w:spacing w:before="0" w:after="40"/>
        <w:ind w:start="255"/>
        <w:rPr/>
      </w:pPr>
      <w:r>
        <w:rPr>
          <w:b/>
          <w:color w:val="D4A017"/>
          <w:sz w:val="16"/>
        </w:rPr>
        <w:t xml:space="preserve">Réponse : </w:t>
      </w:r>
      <w:r>
        <w:rPr>
          <w:color w:val="1F2937"/>
          <w:sz w:val="16"/>
        </w:rPr>
        <w:t>La page inspectée développe surtout les actualités ; une galerie autonome n’est pas encore visible.</w:t>
      </w:r>
    </w:p>
    <w:p>
      <w:pPr>
        <w:pStyle w:val="Normal"/>
        <w:keepNext w:val="true"/>
        <w:keepLines/>
        <w:spacing w:before="40" w:after="0"/>
        <w:ind w:start="57"/>
        <w:rPr/>
      </w:pPr>
      <w:r>
        <w:rPr>
          <w:b/>
          <w:color w:val="0B3D91"/>
          <w:sz w:val="17"/>
        </w:rPr>
        <w:t>Q10. Quelle réponse essentielle faut-il retenir au sujet de « Intitulé « Actualités et galerie » » ?</w:t>
      </w:r>
    </w:p>
    <w:p>
      <w:pPr>
        <w:pStyle w:val="Normal"/>
        <w:spacing w:before="0" w:after="40"/>
        <w:ind w:start="255"/>
        <w:rPr/>
      </w:pPr>
      <w:r>
        <w:rPr>
          <w:b/>
          <w:color w:val="D4A017"/>
          <w:sz w:val="16"/>
        </w:rPr>
        <w:t xml:space="preserve">Réponse : </w:t>
      </w:r>
      <w:r>
        <w:rPr>
          <w:color w:val="1F2937"/>
          <w:sz w:val="16"/>
        </w:rPr>
        <w:t>Le titre promet un espace d’information et de mémoire visuelle, encore principalement orienté vers les nouvelles.</w:t>
      </w:r>
    </w:p>
    <w:p>
      <w:pPr>
        <w:pStyle w:val="Heading2"/>
        <w:keepNext w:val="true"/>
        <w:rPr/>
      </w:pPr>
      <w:r>
        <w:rPr/>
        <w:t>4. Libellé de page « Actualités »</w:t>
      </w:r>
    </w:p>
    <w:p>
      <w:pPr>
        <w:pStyle w:val="Normal"/>
        <w:spacing w:before="20" w:after="80"/>
        <w:rPr/>
      </w:pPr>
      <w:r>
        <w:rPr>
          <w:b/>
          <w:color w:val="0B3D91"/>
          <w:sz w:val="16"/>
        </w:rPr>
        <w:t xml:space="preserve">Source contrôlée : </w:t>
      </w:r>
      <w:r>
        <w:rPr>
          <w:color w:val="555555"/>
          <w:sz w:val="16"/>
        </w:rPr>
        <w:t>En-tête de la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Au-dessus du titre principal, la page affiche le repère de catégorie « Actualités ».</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Il clarifie la nature éditoriale de la page malgré le nom de menu plus large.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facilite la lecture, l’orientation et le référencement du contenu.</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les trois articles publiés et les retours « Actualités » présents dans chaque article.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Repère éditorial</w:t>
      </w:r>
    </w:p>
    <w:p>
      <w:pPr>
        <w:pStyle w:val="ListBullet"/>
        <w:numPr>
          <w:ilvl w:val="0"/>
          <w:numId w:val="1"/>
        </w:numPr>
        <w:spacing w:before="0" w:after="20"/>
        <w:ind w:hanging="360" w:start="283"/>
        <w:contextualSpacing/>
        <w:rPr/>
      </w:pPr>
      <w:r>
        <w:rPr>
          <w:sz w:val="17"/>
        </w:rPr>
        <w:t>Placée avant le titre principal</w:t>
      </w:r>
    </w:p>
    <w:p>
      <w:pPr>
        <w:pStyle w:val="ListBullet"/>
        <w:numPr>
          <w:ilvl w:val="0"/>
          <w:numId w:val="1"/>
        </w:numPr>
        <w:spacing w:before="0" w:after="20"/>
        <w:ind w:hanging="360" w:start="283"/>
        <w:contextualSpacing/>
        <w:rPr/>
      </w:pPr>
      <w:r>
        <w:rPr>
          <w:sz w:val="17"/>
        </w:rPr>
        <w:t>Fonction informative</w:t>
      </w:r>
    </w:p>
    <w:p>
      <w:pPr>
        <w:pStyle w:val="ListBullet"/>
        <w:numPr>
          <w:ilvl w:val="0"/>
          <w:numId w:val="1"/>
        </w:numPr>
        <w:spacing w:before="0" w:after="20"/>
        <w:ind w:hanging="360" w:start="283"/>
        <w:contextualSpacing/>
        <w:rPr/>
      </w:pPr>
      <w:r>
        <w:rPr>
          <w:sz w:val="17"/>
        </w:rPr>
        <w:t>Cohérence avec les articles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Libellé de page « Actualités » » ?</w:t>
      </w:r>
    </w:p>
    <w:p>
      <w:pPr>
        <w:pStyle w:val="Normal"/>
        <w:spacing w:before="0" w:after="40"/>
        <w:ind w:start="255"/>
        <w:rPr/>
      </w:pPr>
      <w:r>
        <w:rPr>
          <w:b/>
          <w:color w:val="D4A017"/>
          <w:sz w:val="16"/>
        </w:rPr>
        <w:t xml:space="preserve">Réponse : </w:t>
      </w:r>
      <w:r>
        <w:rPr>
          <w:color w:val="1F2937"/>
          <w:sz w:val="16"/>
        </w:rPr>
        <w:t>Au-dessus du titre principal, la page affiche le repère de catégorie « Actualités ».</w:t>
      </w:r>
    </w:p>
    <w:p>
      <w:pPr>
        <w:pStyle w:val="Normal"/>
        <w:keepNext w:val="true"/>
        <w:keepLines/>
        <w:spacing w:before="40" w:after="0"/>
        <w:ind w:start="57"/>
        <w:rPr/>
      </w:pPr>
      <w:r>
        <w:rPr>
          <w:b/>
          <w:color w:val="0B3D91"/>
          <w:sz w:val="17"/>
        </w:rPr>
        <w:t>Q2. Quelle est l’idée centrale de « Libellé de page « Actualités » » ?</w:t>
      </w:r>
    </w:p>
    <w:p>
      <w:pPr>
        <w:pStyle w:val="Normal"/>
        <w:spacing w:before="0" w:after="40"/>
        <w:ind w:start="255"/>
        <w:rPr/>
      </w:pPr>
      <w:r>
        <w:rPr>
          <w:b/>
          <w:color w:val="D4A017"/>
          <w:sz w:val="16"/>
        </w:rPr>
        <w:t xml:space="preserve">Réponse : </w:t>
      </w:r>
      <w:r>
        <w:rPr>
          <w:color w:val="1F2937"/>
          <w:sz w:val="16"/>
        </w:rPr>
        <w:t>Ce repère identifie la fonction dominante de la page actuelle.</w:t>
      </w:r>
    </w:p>
    <w:p>
      <w:pPr>
        <w:pStyle w:val="Normal"/>
        <w:keepNext w:val="true"/>
        <w:keepLines/>
        <w:spacing w:before="40" w:after="0"/>
        <w:ind w:start="57"/>
        <w:rPr/>
      </w:pPr>
      <w:r>
        <w:rPr>
          <w:b/>
          <w:color w:val="0B3D91"/>
          <w:sz w:val="17"/>
        </w:rPr>
        <w:t>Q3. Quels éléments sont explicitement développés sous « Libellé de page « Actualités » » ?</w:t>
      </w:r>
    </w:p>
    <w:p>
      <w:pPr>
        <w:pStyle w:val="Normal"/>
        <w:spacing w:before="0" w:after="40"/>
        <w:ind w:start="255"/>
        <w:rPr/>
      </w:pPr>
      <w:r>
        <w:rPr>
          <w:b/>
          <w:color w:val="D4A017"/>
          <w:sz w:val="16"/>
        </w:rPr>
        <w:t xml:space="preserve">Réponse : </w:t>
      </w:r>
      <w:r>
        <w:rPr>
          <w:color w:val="1F2937"/>
          <w:sz w:val="16"/>
        </w:rPr>
        <w:t>Un libellé court placé avant le grand titre « La vie des Éminents ».</w:t>
      </w:r>
    </w:p>
    <w:p>
      <w:pPr>
        <w:pStyle w:val="Normal"/>
        <w:keepNext w:val="true"/>
        <w:keepLines/>
        <w:spacing w:before="40" w:after="0"/>
        <w:ind w:start="57"/>
        <w:rPr/>
      </w:pPr>
      <w:r>
        <w:rPr>
          <w:b/>
          <w:color w:val="0B3D91"/>
          <w:sz w:val="17"/>
        </w:rPr>
        <w:t>Q4. À quel public ou à quels acteurs « Libellé de page « Actualités » » s’adresse-t-il ?</w:t>
      </w:r>
    </w:p>
    <w:p>
      <w:pPr>
        <w:pStyle w:val="Normal"/>
        <w:spacing w:before="0" w:after="40"/>
        <w:ind w:start="255"/>
        <w:rPr/>
      </w:pPr>
      <w:r>
        <w:rPr>
          <w:b/>
          <w:color w:val="D4A017"/>
          <w:sz w:val="16"/>
        </w:rPr>
        <w:t xml:space="preserve">Réponse : </w:t>
      </w:r>
      <w:r>
        <w:rPr>
          <w:color w:val="1F2937"/>
          <w:sz w:val="16"/>
        </w:rPr>
        <w:t>Visiteurs cherchant des informations nouvelles ou datées.</w:t>
      </w:r>
    </w:p>
    <w:p>
      <w:pPr>
        <w:pStyle w:val="Normal"/>
        <w:keepNext w:val="true"/>
        <w:keepLines/>
        <w:spacing w:before="40" w:after="0"/>
        <w:ind w:start="57"/>
        <w:rPr/>
      </w:pPr>
      <w:r>
        <w:rPr>
          <w:b/>
          <w:color w:val="0B3D91"/>
          <w:sz w:val="17"/>
        </w:rPr>
        <w:t>Q5. Quelle action ou conduite « Libellé de page « Actualités » » invite-t-il à adopter ?</w:t>
      </w:r>
    </w:p>
    <w:p>
      <w:pPr>
        <w:pStyle w:val="Normal"/>
        <w:spacing w:before="0" w:after="40"/>
        <w:ind w:start="255"/>
        <w:rPr/>
      </w:pPr>
      <w:r>
        <w:rPr>
          <w:b/>
          <w:color w:val="D4A017"/>
          <w:sz w:val="16"/>
        </w:rPr>
        <w:t xml:space="preserve">Réponse : </w:t>
      </w:r>
      <w:r>
        <w:rPr>
          <w:color w:val="1F2937"/>
          <w:sz w:val="16"/>
        </w:rPr>
        <w:t>Comprendre immédiatement qu’il s’agit d’une page d’information récente.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Il clarifie la nature éditoriale de la page malgré le nom de menu plus large.</w:t>
      </w:r>
    </w:p>
    <w:p>
      <w:pPr>
        <w:pStyle w:val="Normal"/>
        <w:keepNext w:val="true"/>
        <w:keepLines/>
        <w:spacing w:before="40" w:after="0"/>
        <w:ind w:start="57"/>
        <w:rPr/>
      </w:pPr>
      <w:r>
        <w:rPr>
          <w:b/>
          <w:color w:val="0B3D91"/>
          <w:sz w:val="17"/>
        </w:rPr>
        <w:t>Q7. Quelle est l’importance de « Libellé de page « Actualités » » dans le projet du GSE ?</w:t>
      </w:r>
    </w:p>
    <w:p>
      <w:pPr>
        <w:pStyle w:val="Normal"/>
        <w:spacing w:before="0" w:after="40"/>
        <w:ind w:start="255"/>
        <w:rPr/>
      </w:pPr>
      <w:r>
        <w:rPr>
          <w:b/>
          <w:color w:val="D4A017"/>
          <w:sz w:val="16"/>
        </w:rPr>
        <w:t xml:space="preserve">Réponse : </w:t>
      </w:r>
      <w:r>
        <w:rPr>
          <w:color w:val="1F2937"/>
          <w:sz w:val="16"/>
        </w:rPr>
        <w:t>Il facilite la lecture, l’orientation et le référencement du contenu.</w:t>
      </w:r>
    </w:p>
    <w:p>
      <w:pPr>
        <w:pStyle w:val="Normal"/>
        <w:keepNext w:val="true"/>
        <w:keepLines/>
        <w:spacing w:before="40" w:after="0"/>
        <w:ind w:start="57"/>
        <w:rPr/>
      </w:pPr>
      <w:r>
        <w:rPr>
          <w:b/>
          <w:color w:val="0B3D91"/>
          <w:sz w:val="17"/>
        </w:rPr>
        <w:t>Q8. Quels liens « Libellé de page « Actualités » » entretient-il avec les autres pages ou services ?</w:t>
      </w:r>
    </w:p>
    <w:p>
      <w:pPr>
        <w:pStyle w:val="Normal"/>
        <w:spacing w:before="0" w:after="40"/>
        <w:ind w:start="255"/>
        <w:rPr/>
      </w:pPr>
      <w:r>
        <w:rPr>
          <w:b/>
          <w:color w:val="D4A017"/>
          <w:sz w:val="16"/>
        </w:rPr>
        <w:t xml:space="preserve">Réponse : </w:t>
      </w:r>
      <w:r>
        <w:rPr>
          <w:color w:val="1F2937"/>
          <w:sz w:val="16"/>
        </w:rPr>
        <w:t>Liens avec les trois articles publiés et les retours « Actualités » présents dans chaque article.</w:t>
      </w:r>
    </w:p>
    <w:p>
      <w:pPr>
        <w:pStyle w:val="Normal"/>
        <w:keepNext w:val="true"/>
        <w:keepLines/>
        <w:spacing w:before="40" w:after="0"/>
        <w:ind w:start="57"/>
        <w:rPr/>
      </w:pPr>
      <w:r>
        <w:rPr>
          <w:b/>
          <w:color w:val="0B3D91"/>
          <w:sz w:val="17"/>
        </w:rPr>
        <w:t>Q9. Quelle précision, limite ou réserve faut-il conserver à propos de « Libellé de page « Actualités » » ?</w:t>
      </w:r>
    </w:p>
    <w:p>
      <w:pPr>
        <w:pStyle w:val="Normal"/>
        <w:spacing w:before="0" w:after="40"/>
        <w:ind w:start="255"/>
        <w:rPr/>
      </w:pPr>
      <w:r>
        <w:rPr>
          <w:b/>
          <w:color w:val="D4A017"/>
          <w:sz w:val="16"/>
        </w:rPr>
        <w:t xml:space="preserve">Réponse : </w:t>
      </w:r>
      <w:r>
        <w:rPr>
          <w:color w:val="1F2937"/>
          <w:sz w:val="16"/>
        </w:rPr>
        <w:t>Ce libellé ne développe pas à lui seul une galerie indépendante.</w:t>
      </w:r>
    </w:p>
    <w:p>
      <w:pPr>
        <w:pStyle w:val="Normal"/>
        <w:keepNext w:val="true"/>
        <w:keepLines/>
        <w:spacing w:before="40" w:after="0"/>
        <w:ind w:start="57"/>
        <w:rPr/>
      </w:pPr>
      <w:r>
        <w:rPr>
          <w:b/>
          <w:color w:val="0B3D91"/>
          <w:sz w:val="17"/>
        </w:rPr>
        <w:t>Q10. Quelle réponse essentielle faut-il retenir au sujet de « Libellé de page « Actualités » » ?</w:t>
      </w:r>
    </w:p>
    <w:p>
      <w:pPr>
        <w:pStyle w:val="Normal"/>
        <w:spacing w:before="0" w:after="40"/>
        <w:ind w:start="255"/>
        <w:rPr/>
      </w:pPr>
      <w:r>
        <w:rPr>
          <w:b/>
          <w:color w:val="D4A017"/>
          <w:sz w:val="16"/>
        </w:rPr>
        <w:t xml:space="preserve">Réponse : </w:t>
      </w:r>
      <w:r>
        <w:rPr>
          <w:color w:val="1F2937"/>
          <w:sz w:val="16"/>
        </w:rPr>
        <w:t>La page se présente d’abord comme une page d’actualités.</w:t>
      </w:r>
    </w:p>
    <w:p>
      <w:pPr>
        <w:pStyle w:val="Heading2"/>
        <w:keepNext w:val="true"/>
        <w:rPr/>
      </w:pPr>
      <w:r>
        <w:rPr/>
        <w:t>5. Titre « La vie des Éminents »</w:t>
      </w:r>
    </w:p>
    <w:p>
      <w:pPr>
        <w:pStyle w:val="Normal"/>
        <w:spacing w:before="20" w:after="80"/>
        <w:rPr/>
      </w:pPr>
      <w:r>
        <w:rPr>
          <w:b/>
          <w:color w:val="0B3D91"/>
          <w:sz w:val="16"/>
        </w:rPr>
        <w:t xml:space="preserve">Source contrôlée : </w:t>
      </w:r>
      <w:r>
        <w:rPr>
          <w:color w:val="555555"/>
          <w:sz w:val="16"/>
        </w:rPr>
        <w:t>Page Actualités et galerie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titre principal de la page est « La vie des Éminents ».</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humanise la communication et relie les publications à l’identité de l’établissement.</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renforce l’appartenance, la proximité avec les familles et la visibilité du projet.</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Vie scolaire, Programmes, Admissions, Valeurs et événements institutionnels.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Titre principal</w:t>
      </w:r>
    </w:p>
    <w:p>
      <w:pPr>
        <w:pStyle w:val="ListBullet"/>
        <w:numPr>
          <w:ilvl w:val="0"/>
          <w:numId w:val="1"/>
        </w:numPr>
        <w:spacing w:before="0" w:after="20"/>
        <w:ind w:hanging="360" w:start="283"/>
        <w:contextualSpacing/>
        <w:rPr/>
      </w:pPr>
      <w:r>
        <w:rPr>
          <w:sz w:val="17"/>
        </w:rPr>
        <w:t>Dimension communautaire</w:t>
      </w:r>
    </w:p>
    <w:p>
      <w:pPr>
        <w:pStyle w:val="ListBullet"/>
        <w:numPr>
          <w:ilvl w:val="0"/>
          <w:numId w:val="1"/>
        </w:numPr>
        <w:spacing w:before="0" w:after="20"/>
        <w:ind w:hanging="360" w:start="283"/>
        <w:contextualSpacing/>
        <w:rPr/>
      </w:pPr>
      <w:r>
        <w:rPr>
          <w:sz w:val="17"/>
        </w:rPr>
        <w:t>Identité des Éminents</w:t>
      </w:r>
    </w:p>
    <w:p>
      <w:pPr>
        <w:pStyle w:val="ListBullet"/>
        <w:numPr>
          <w:ilvl w:val="0"/>
          <w:numId w:val="1"/>
        </w:numPr>
        <w:spacing w:before="0" w:after="20"/>
        <w:ind w:hanging="360" w:start="283"/>
        <w:contextualSpacing/>
        <w:rPr/>
      </w:pPr>
      <w:r>
        <w:rPr>
          <w:sz w:val="17"/>
        </w:rPr>
        <w:t>Nécessité d’actualisation</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Titre « La vie des Éminents » » ?</w:t>
      </w:r>
    </w:p>
    <w:p>
      <w:pPr>
        <w:pStyle w:val="Normal"/>
        <w:spacing w:before="0" w:after="40"/>
        <w:ind w:start="255"/>
        <w:rPr/>
      </w:pPr>
      <w:r>
        <w:rPr>
          <w:b/>
          <w:color w:val="D4A017"/>
          <w:sz w:val="16"/>
        </w:rPr>
        <w:t xml:space="preserve">Réponse : </w:t>
      </w:r>
      <w:r>
        <w:rPr>
          <w:color w:val="1F2937"/>
          <w:sz w:val="16"/>
        </w:rPr>
        <w:t>Le titre principal de la page est « La vie des Éminents ».</w:t>
      </w:r>
    </w:p>
    <w:p>
      <w:pPr>
        <w:pStyle w:val="Normal"/>
        <w:keepNext w:val="true"/>
        <w:keepLines/>
        <w:spacing w:before="40" w:after="0"/>
        <w:ind w:start="57"/>
        <w:rPr/>
      </w:pPr>
      <w:r>
        <w:rPr>
          <w:b/>
          <w:color w:val="0B3D91"/>
          <w:sz w:val="17"/>
        </w:rPr>
        <w:t>Q2. Quelle est l’idée centrale de « Titre « La vie des Éminents » » ?</w:t>
      </w:r>
    </w:p>
    <w:p>
      <w:pPr>
        <w:pStyle w:val="Normal"/>
        <w:spacing w:before="0" w:after="40"/>
        <w:ind w:start="255"/>
        <w:rPr/>
      </w:pPr>
      <w:r>
        <w:rPr>
          <w:b/>
          <w:color w:val="D4A017"/>
          <w:sz w:val="16"/>
        </w:rPr>
        <w:t xml:space="preserve">Réponse : </w:t>
      </w:r>
      <w:r>
        <w:rPr>
          <w:color w:val="1F2937"/>
          <w:sz w:val="16"/>
        </w:rPr>
        <w:t>Il présente les nouvelles comme le reflet vivant de la communauté scolaire.</w:t>
      </w:r>
    </w:p>
    <w:p>
      <w:pPr>
        <w:pStyle w:val="Normal"/>
        <w:keepNext w:val="true"/>
        <w:keepLines/>
        <w:spacing w:before="40" w:after="0"/>
        <w:ind w:start="57"/>
        <w:rPr/>
      </w:pPr>
      <w:r>
        <w:rPr>
          <w:b/>
          <w:color w:val="0B3D91"/>
          <w:sz w:val="17"/>
        </w:rPr>
        <w:t>Q3. Quels éléments sont explicitement développés sous « Titre « La vie des Éminents » » ?</w:t>
      </w:r>
    </w:p>
    <w:p>
      <w:pPr>
        <w:pStyle w:val="Normal"/>
        <w:spacing w:before="0" w:after="40"/>
        <w:ind w:start="255"/>
        <w:rPr/>
      </w:pPr>
      <w:r>
        <w:rPr>
          <w:b/>
          <w:color w:val="D4A017"/>
          <w:sz w:val="16"/>
        </w:rPr>
        <w:t xml:space="preserve">Réponse : </w:t>
      </w:r>
      <w:r>
        <w:rPr>
          <w:color w:val="1F2937"/>
          <w:sz w:val="16"/>
        </w:rPr>
        <w:t>Un titre identitaire centré sur les personnes, les activités et l’évolution du GSE.</w:t>
      </w:r>
    </w:p>
    <w:p>
      <w:pPr>
        <w:pStyle w:val="Normal"/>
        <w:keepNext w:val="true"/>
        <w:keepLines/>
        <w:spacing w:before="40" w:after="0"/>
        <w:ind w:start="57"/>
        <w:rPr/>
      </w:pPr>
      <w:r>
        <w:rPr>
          <w:b/>
          <w:color w:val="0B3D91"/>
          <w:sz w:val="17"/>
        </w:rPr>
        <w:t>Q4. À quel public ou à quels acteurs « Titre « La vie des Éminents » » s’adresse-t-il ?</w:t>
      </w:r>
    </w:p>
    <w:p>
      <w:pPr>
        <w:pStyle w:val="Normal"/>
        <w:spacing w:before="0" w:after="40"/>
        <w:ind w:start="255"/>
        <w:rPr/>
      </w:pPr>
      <w:r>
        <w:rPr>
          <w:b/>
          <w:color w:val="D4A017"/>
          <w:sz w:val="16"/>
        </w:rPr>
        <w:t xml:space="preserve">Réponse : </w:t>
      </w:r>
      <w:r>
        <w:rPr>
          <w:color w:val="1F2937"/>
          <w:sz w:val="16"/>
        </w:rPr>
        <w:t>Toute la communauté éducative et les personnes intéressées par l’école.</w:t>
      </w:r>
    </w:p>
    <w:p>
      <w:pPr>
        <w:pStyle w:val="Normal"/>
        <w:keepNext w:val="true"/>
        <w:keepLines/>
        <w:spacing w:before="40" w:after="0"/>
        <w:ind w:start="57"/>
        <w:rPr/>
      </w:pPr>
      <w:r>
        <w:rPr>
          <w:b/>
          <w:color w:val="0B3D91"/>
          <w:sz w:val="17"/>
        </w:rPr>
        <w:t>Q5. Quelle action ou conduite « Titre « La vie des Éminents » » invite-t-il à adopter ?</w:t>
      </w:r>
    </w:p>
    <w:p>
      <w:pPr>
        <w:pStyle w:val="Normal"/>
        <w:spacing w:before="0" w:after="40"/>
        <w:ind w:start="255"/>
        <w:rPr/>
      </w:pPr>
      <w:r>
        <w:rPr>
          <w:b/>
          <w:color w:val="D4A017"/>
          <w:sz w:val="16"/>
        </w:rPr>
        <w:t xml:space="preserve">Réponse : </w:t>
      </w:r>
      <w:r>
        <w:rPr>
          <w:color w:val="1F2937"/>
          <w:sz w:val="16"/>
        </w:rPr>
        <w:t>Suivre les événements et nouvelles qui donnent corps au projet.</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humanise la communication et relie les publications à l’identité de l’établissement.</w:t>
      </w:r>
    </w:p>
    <w:p>
      <w:pPr>
        <w:pStyle w:val="Normal"/>
        <w:keepNext w:val="true"/>
        <w:keepLines/>
        <w:spacing w:before="40" w:after="0"/>
        <w:ind w:start="57"/>
        <w:rPr/>
      </w:pPr>
      <w:r>
        <w:rPr>
          <w:b/>
          <w:color w:val="0B3D91"/>
          <w:sz w:val="17"/>
        </w:rPr>
        <w:t>Q7. Quelle est l’importance de « Titre « La vie des Éminents » » dans le projet du GSE ?</w:t>
      </w:r>
    </w:p>
    <w:p>
      <w:pPr>
        <w:pStyle w:val="Normal"/>
        <w:spacing w:before="0" w:after="40"/>
        <w:ind w:start="255"/>
        <w:rPr/>
      </w:pPr>
      <w:r>
        <w:rPr>
          <w:b/>
          <w:color w:val="D4A017"/>
          <w:sz w:val="16"/>
        </w:rPr>
        <w:t xml:space="preserve">Réponse : </w:t>
      </w:r>
      <w:r>
        <w:rPr>
          <w:color w:val="1F2937"/>
          <w:sz w:val="16"/>
        </w:rPr>
        <w:t>Il renforce l’appartenance, la proximité avec les familles et la visibilité du projet.</w:t>
      </w:r>
    </w:p>
    <w:p>
      <w:pPr>
        <w:pStyle w:val="Normal"/>
        <w:keepNext w:val="true"/>
        <w:keepLines/>
        <w:spacing w:before="40" w:after="0"/>
        <w:ind w:start="57"/>
        <w:rPr/>
      </w:pPr>
      <w:r>
        <w:rPr>
          <w:b/>
          <w:color w:val="0B3D91"/>
          <w:sz w:val="17"/>
        </w:rPr>
        <w:t>Q8. Quels liens « Titre « La vie des Éminents » » entretient-il avec les autres pages ou services ?</w:t>
      </w:r>
    </w:p>
    <w:p>
      <w:pPr>
        <w:pStyle w:val="Normal"/>
        <w:spacing w:before="0" w:after="40"/>
        <w:ind w:start="255"/>
        <w:rPr/>
      </w:pPr>
      <w:r>
        <w:rPr>
          <w:b/>
          <w:color w:val="D4A017"/>
          <w:sz w:val="16"/>
        </w:rPr>
        <w:t xml:space="preserve">Réponse : </w:t>
      </w:r>
      <w:r>
        <w:rPr>
          <w:color w:val="1F2937"/>
          <w:sz w:val="16"/>
        </w:rPr>
        <w:t>Liens avec Vie scolaire, Programmes, Admissions, Valeurs et événements institutionnels.</w:t>
      </w:r>
    </w:p>
    <w:p>
      <w:pPr>
        <w:pStyle w:val="Normal"/>
        <w:keepNext w:val="true"/>
        <w:keepLines/>
        <w:spacing w:before="40" w:after="0"/>
        <w:ind w:start="57"/>
        <w:rPr/>
      </w:pPr>
      <w:r>
        <w:rPr>
          <w:b/>
          <w:color w:val="0B3D91"/>
          <w:sz w:val="17"/>
        </w:rPr>
        <w:t>Q9. Quelle précision, limite ou réserve faut-il conserver à propos de « Titre « La vie des Éminents » » ?</w:t>
      </w:r>
    </w:p>
    <w:p>
      <w:pPr>
        <w:pStyle w:val="Normal"/>
        <w:spacing w:before="0" w:after="40"/>
        <w:ind w:start="255"/>
        <w:rPr/>
      </w:pPr>
      <w:r>
        <w:rPr>
          <w:b/>
          <w:color w:val="D4A017"/>
          <w:sz w:val="16"/>
        </w:rPr>
        <w:t xml:space="preserve">Réponse : </w:t>
      </w:r>
      <w:r>
        <w:rPr>
          <w:color w:val="1F2937"/>
          <w:sz w:val="16"/>
        </w:rPr>
        <w:t>Le mot « vie » suppose une mise à jour régulière pour rester crédible.</w:t>
      </w:r>
    </w:p>
    <w:p>
      <w:pPr>
        <w:pStyle w:val="Normal"/>
        <w:keepNext w:val="true"/>
        <w:keepLines/>
        <w:spacing w:before="40" w:after="0"/>
        <w:ind w:start="57"/>
        <w:rPr/>
      </w:pPr>
      <w:r>
        <w:rPr>
          <w:b/>
          <w:color w:val="0B3D91"/>
          <w:sz w:val="17"/>
        </w:rPr>
        <w:t>Q10. Quelle réponse essentielle faut-il retenir au sujet de « Titre « La vie des Éminents » » ?</w:t>
      </w:r>
    </w:p>
    <w:p>
      <w:pPr>
        <w:pStyle w:val="Normal"/>
        <w:spacing w:before="0" w:after="40"/>
        <w:ind w:start="255"/>
        <w:rPr/>
      </w:pPr>
      <w:r>
        <w:rPr>
          <w:b/>
          <w:color w:val="D4A017"/>
          <w:sz w:val="16"/>
        </w:rPr>
        <w:t xml:space="preserve">Réponse : </w:t>
      </w:r>
      <w:r>
        <w:rPr>
          <w:color w:val="1F2937"/>
          <w:sz w:val="16"/>
        </w:rPr>
        <w:t>Les actualités racontent la vie, les étapes et les engagements des Éminents.</w:t>
      </w:r>
    </w:p>
    <w:p>
      <w:pPr>
        <w:pStyle w:val="Heading2"/>
        <w:keepNext w:val="true"/>
        <w:rPr/>
      </w:pPr>
      <w:r>
        <w:rPr/>
        <w:t>6. Informations, événements, activités et nouvelles</w:t>
      </w:r>
    </w:p>
    <w:p>
      <w:pPr>
        <w:pStyle w:val="Normal"/>
        <w:spacing w:before="20" w:after="80"/>
        <w:rPr/>
      </w:pPr>
      <w:r>
        <w:rPr>
          <w:b/>
          <w:color w:val="0B3D91"/>
          <w:sz w:val="16"/>
        </w:rPr>
        <w:t xml:space="preserve">Source contrôlée : </w:t>
      </w:r>
      <w:r>
        <w:rPr>
          <w:color w:val="555555"/>
          <w:sz w:val="16"/>
        </w:rPr>
        <w:t>Introduction de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texte introductif annonce des informations, des événements, des activités et des nouvelles de la communauté éducative.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Cette formulation définit le périmètre éditorial de la rubrique.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permet de valoriser aussi bien les étapes institutionnelles que la vie quotidienne.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Activités &amp; talents, Admissions, Vie scolaire et communication externe.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Informations</w:t>
      </w:r>
    </w:p>
    <w:p>
      <w:pPr>
        <w:pStyle w:val="ListBullet"/>
        <w:numPr>
          <w:ilvl w:val="0"/>
          <w:numId w:val="1"/>
        </w:numPr>
        <w:spacing w:before="0" w:after="20"/>
        <w:ind w:hanging="360" w:start="283"/>
        <w:contextualSpacing/>
        <w:rPr/>
      </w:pPr>
      <w:r>
        <w:rPr>
          <w:sz w:val="17"/>
        </w:rPr>
        <w:t>Événements</w:t>
      </w:r>
    </w:p>
    <w:p>
      <w:pPr>
        <w:pStyle w:val="ListBullet"/>
        <w:numPr>
          <w:ilvl w:val="0"/>
          <w:numId w:val="1"/>
        </w:numPr>
        <w:spacing w:before="0" w:after="20"/>
        <w:ind w:hanging="360" w:start="283"/>
        <w:contextualSpacing/>
        <w:rPr/>
      </w:pPr>
      <w:r>
        <w:rPr>
          <w:sz w:val="17"/>
        </w:rPr>
        <w:t>Activités</w:t>
      </w:r>
    </w:p>
    <w:p>
      <w:pPr>
        <w:pStyle w:val="ListBullet"/>
        <w:numPr>
          <w:ilvl w:val="0"/>
          <w:numId w:val="1"/>
        </w:numPr>
        <w:spacing w:before="0" w:after="20"/>
        <w:ind w:hanging="360" w:start="283"/>
        <w:contextualSpacing/>
        <w:rPr/>
      </w:pPr>
      <w:r>
        <w:rPr>
          <w:sz w:val="17"/>
        </w:rPr>
        <w:t>Nouvelles de la communauté éducative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Informations, événements, activités et nouvelles » ?</w:t>
      </w:r>
    </w:p>
    <w:p>
      <w:pPr>
        <w:pStyle w:val="Normal"/>
        <w:spacing w:before="0" w:after="40"/>
        <w:ind w:start="255"/>
        <w:rPr/>
      </w:pPr>
      <w:r>
        <w:rPr>
          <w:b/>
          <w:color w:val="D4A017"/>
          <w:sz w:val="16"/>
        </w:rPr>
        <w:t xml:space="preserve">Réponse : </w:t>
      </w:r>
      <w:r>
        <w:rPr>
          <w:color w:val="1F2937"/>
          <w:sz w:val="16"/>
        </w:rPr>
        <w:t>Le texte introductif annonce des informations, des événements, des activités et des nouvelles de la communauté éducative.</w:t>
      </w:r>
    </w:p>
    <w:p>
      <w:pPr>
        <w:pStyle w:val="Normal"/>
        <w:keepNext w:val="true"/>
        <w:keepLines/>
        <w:spacing w:before="40" w:after="0"/>
        <w:ind w:start="57"/>
        <w:rPr/>
      </w:pPr>
      <w:r>
        <w:rPr>
          <w:b/>
          <w:color w:val="0B3D91"/>
          <w:sz w:val="17"/>
        </w:rPr>
        <w:t>Q2. Quelle est l’idée centrale de « Informations, événements, activités et nouvelles » ?</w:t>
      </w:r>
    </w:p>
    <w:p>
      <w:pPr>
        <w:pStyle w:val="Normal"/>
        <w:spacing w:before="0" w:after="40"/>
        <w:ind w:start="255"/>
        <w:rPr/>
      </w:pPr>
      <w:r>
        <w:rPr>
          <w:b/>
          <w:color w:val="D4A017"/>
          <w:sz w:val="16"/>
        </w:rPr>
        <w:t xml:space="preserve">Réponse : </w:t>
      </w:r>
      <w:r>
        <w:rPr>
          <w:color w:val="1F2937"/>
          <w:sz w:val="16"/>
        </w:rPr>
        <w:t>La page couvre plusieurs types de contenus et ne se limite pas aux annonces administratives.</w:t>
      </w:r>
    </w:p>
    <w:p>
      <w:pPr>
        <w:pStyle w:val="Normal"/>
        <w:keepNext w:val="true"/>
        <w:keepLines/>
        <w:spacing w:before="40" w:after="0"/>
        <w:ind w:start="57"/>
        <w:rPr/>
      </w:pPr>
      <w:r>
        <w:rPr>
          <w:b/>
          <w:color w:val="0B3D91"/>
          <w:sz w:val="17"/>
        </w:rPr>
        <w:t>Q3. Quels éléments sont explicitement développés sous « Informations, événements, activités et nouvelles » ?</w:t>
      </w:r>
    </w:p>
    <w:p>
      <w:pPr>
        <w:pStyle w:val="Normal"/>
        <w:spacing w:before="0" w:after="40"/>
        <w:ind w:start="255"/>
        <w:rPr/>
      </w:pPr>
      <w:r>
        <w:rPr>
          <w:b/>
          <w:color w:val="D4A017"/>
          <w:sz w:val="16"/>
        </w:rPr>
        <w:t xml:space="preserve">Réponse : </w:t>
      </w:r>
      <w:r>
        <w:rPr>
          <w:color w:val="1F2937"/>
          <w:sz w:val="16"/>
        </w:rPr>
        <w:t>Quatre catégories : informations, événements, activités et nouvelles.</w:t>
      </w:r>
    </w:p>
    <w:p>
      <w:pPr>
        <w:pStyle w:val="Normal"/>
        <w:keepNext w:val="true"/>
        <w:keepLines/>
        <w:spacing w:before="40" w:after="0"/>
        <w:ind w:start="57"/>
        <w:rPr/>
      </w:pPr>
      <w:r>
        <w:rPr>
          <w:b/>
          <w:color w:val="0B3D91"/>
          <w:sz w:val="17"/>
        </w:rPr>
        <w:t>Q4. À quel public ou à quels acteurs « Informations, événements, activités et nouvelles » s’adresse-t-il ?</w:t>
      </w:r>
    </w:p>
    <w:p>
      <w:pPr>
        <w:pStyle w:val="Normal"/>
        <w:spacing w:before="0" w:after="40"/>
        <w:ind w:start="255"/>
        <w:rPr/>
      </w:pPr>
      <w:r>
        <w:rPr>
          <w:b/>
          <w:color w:val="D4A017"/>
          <w:sz w:val="16"/>
        </w:rPr>
        <w:t xml:space="preserve">Réponse : </w:t>
      </w:r>
      <w:r>
        <w:rPr>
          <w:color w:val="1F2937"/>
          <w:sz w:val="16"/>
        </w:rPr>
        <w:t>Familles, élèves, personnel, partenaires et visiteurs.</w:t>
      </w:r>
    </w:p>
    <w:p>
      <w:pPr>
        <w:pStyle w:val="Normal"/>
        <w:keepNext w:val="true"/>
        <w:keepLines/>
        <w:spacing w:before="40" w:after="0"/>
        <w:ind w:start="57"/>
        <w:rPr/>
      </w:pPr>
      <w:r>
        <w:rPr>
          <w:b/>
          <w:color w:val="0B3D91"/>
          <w:sz w:val="17"/>
        </w:rPr>
        <w:t>Q5. Quelle action ou conduite « Informations, événements, activités et nouvelles » invite-t-il à adopter ?</w:t>
      </w:r>
    </w:p>
    <w:p>
      <w:pPr>
        <w:pStyle w:val="Normal"/>
        <w:spacing w:before="0" w:after="40"/>
        <w:ind w:start="255"/>
        <w:rPr/>
      </w:pPr>
      <w:r>
        <w:rPr>
          <w:b/>
          <w:color w:val="D4A017"/>
          <w:sz w:val="16"/>
        </w:rPr>
        <w:t xml:space="preserve">Réponse : </w:t>
      </w:r>
      <w:r>
        <w:rPr>
          <w:color w:val="1F2937"/>
          <w:sz w:val="16"/>
        </w:rPr>
        <w:t>Consulter régulièrement la page pour rester informé.</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Cette formulation définit le périmètre éditorial de la rubrique.</w:t>
      </w:r>
    </w:p>
    <w:p>
      <w:pPr>
        <w:pStyle w:val="Normal"/>
        <w:keepNext w:val="true"/>
        <w:keepLines/>
        <w:spacing w:before="40" w:after="0"/>
        <w:ind w:start="57"/>
        <w:rPr/>
      </w:pPr>
      <w:r>
        <w:rPr>
          <w:b/>
          <w:color w:val="0B3D91"/>
          <w:sz w:val="17"/>
        </w:rPr>
        <w:t>Q7. Quelle est l’importance de « Informations, événements, activités et nouvelles » dans le projet du GSE ?</w:t>
      </w:r>
    </w:p>
    <w:p>
      <w:pPr>
        <w:pStyle w:val="Normal"/>
        <w:spacing w:before="0" w:after="40"/>
        <w:ind w:start="255"/>
        <w:rPr/>
      </w:pPr>
      <w:r>
        <w:rPr>
          <w:b/>
          <w:color w:val="D4A017"/>
          <w:sz w:val="16"/>
        </w:rPr>
        <w:t xml:space="preserve">Réponse : </w:t>
      </w:r>
      <w:r>
        <w:rPr>
          <w:color w:val="1F2937"/>
          <w:sz w:val="16"/>
        </w:rPr>
        <w:t>Elle permet de valoriser aussi bien les étapes institutionnelles que la vie quotidienne.</w:t>
      </w:r>
    </w:p>
    <w:p>
      <w:pPr>
        <w:pStyle w:val="Normal"/>
        <w:keepNext w:val="true"/>
        <w:keepLines/>
        <w:spacing w:before="40" w:after="0"/>
        <w:ind w:start="57"/>
        <w:rPr/>
      </w:pPr>
      <w:r>
        <w:rPr>
          <w:b/>
          <w:color w:val="0B3D91"/>
          <w:sz w:val="17"/>
        </w:rPr>
        <w:t>Q8. Quels liens « Informations, événements, activités et nouvelles » entretient-il avec les autres pages ou services ?</w:t>
      </w:r>
    </w:p>
    <w:p>
      <w:pPr>
        <w:pStyle w:val="Normal"/>
        <w:spacing w:before="0" w:after="40"/>
        <w:ind w:start="255"/>
        <w:rPr/>
      </w:pPr>
      <w:r>
        <w:rPr>
          <w:b/>
          <w:color w:val="D4A017"/>
          <w:sz w:val="16"/>
        </w:rPr>
        <w:t xml:space="preserve">Réponse : </w:t>
      </w:r>
      <w:r>
        <w:rPr>
          <w:color w:val="1F2937"/>
          <w:sz w:val="16"/>
        </w:rPr>
        <w:t>Liens avec Activités &amp; talents, Admissions, Vie scolaire et communication externe.</w:t>
      </w:r>
    </w:p>
    <w:p>
      <w:pPr>
        <w:pStyle w:val="Normal"/>
        <w:keepNext w:val="true"/>
        <w:keepLines/>
        <w:spacing w:before="40" w:after="0"/>
        <w:ind w:start="57"/>
        <w:rPr/>
      </w:pPr>
      <w:r>
        <w:rPr>
          <w:b/>
          <w:color w:val="0B3D91"/>
          <w:sz w:val="17"/>
        </w:rPr>
        <w:t>Q9. Quelle précision, limite ou réserve faut-il conserver à propos de « Informations, événements, activités et nouvelles » ?</w:t>
      </w:r>
    </w:p>
    <w:p>
      <w:pPr>
        <w:pStyle w:val="Normal"/>
        <w:spacing w:before="0" w:after="40"/>
        <w:ind w:start="255"/>
        <w:rPr/>
      </w:pPr>
      <w:r>
        <w:rPr>
          <w:b/>
          <w:color w:val="D4A017"/>
          <w:sz w:val="16"/>
        </w:rPr>
        <w:t xml:space="preserve">Réponse : </w:t>
      </w:r>
      <w:r>
        <w:rPr>
          <w:color w:val="1F2937"/>
          <w:sz w:val="16"/>
        </w:rPr>
        <w:t>Les publications disponibles lors du relevé portent surtout sur la rentrée, le projet éducatif et les inscriptions.</w:t>
      </w:r>
    </w:p>
    <w:p>
      <w:pPr>
        <w:pStyle w:val="Normal"/>
        <w:keepNext w:val="true"/>
        <w:keepLines/>
        <w:spacing w:before="40" w:after="0"/>
        <w:ind w:start="57"/>
        <w:rPr/>
      </w:pPr>
      <w:r>
        <w:rPr>
          <w:b/>
          <w:color w:val="0B3D91"/>
          <w:sz w:val="17"/>
        </w:rPr>
        <w:t>Q10. Quelle réponse essentielle faut-il retenir au sujet de « Informations, événements, activités et nouvelles » ?</w:t>
      </w:r>
    </w:p>
    <w:p>
      <w:pPr>
        <w:pStyle w:val="Normal"/>
        <w:spacing w:before="0" w:after="40"/>
        <w:ind w:start="255"/>
        <w:rPr/>
      </w:pPr>
      <w:r>
        <w:rPr>
          <w:b/>
          <w:color w:val="D4A017"/>
          <w:sz w:val="16"/>
        </w:rPr>
        <w:t xml:space="preserve">Réponse : </w:t>
      </w:r>
      <w:r>
        <w:rPr>
          <w:color w:val="1F2937"/>
          <w:sz w:val="16"/>
        </w:rPr>
        <w:t>La rubrique est conçue pour informer sur plusieurs dimensions de la communauté éducative.</w:t>
      </w:r>
    </w:p>
    <w:p>
      <w:pPr>
        <w:pStyle w:val="Heading2"/>
        <w:keepNext w:val="true"/>
        <w:rPr/>
      </w:pPr>
      <w:r>
        <w:rPr/>
        <w:t>7. Organisation en cartes d’actualité</w:t>
      </w:r>
    </w:p>
    <w:p>
      <w:pPr>
        <w:pStyle w:val="Normal"/>
        <w:spacing w:before="20" w:after="80"/>
        <w:rPr/>
      </w:pPr>
      <w:r>
        <w:rPr>
          <w:b/>
          <w:color w:val="0B3D91"/>
          <w:sz w:val="16"/>
        </w:rPr>
        <w:t xml:space="preserve">Source contrôlée : </w:t>
      </w:r>
      <w:r>
        <w:rPr>
          <w:color w:val="555555"/>
          <w:sz w:val="16"/>
        </w:rPr>
        <w:t>Corps de la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page présente trois cartes, chacune composée d’une image, d’une date, d’un titre, d’un résumé et d’un lien « Lire la suite ».</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format en cartes est adapté à une page de synthèse et à la consultation mobile.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la lisibilité, la hiérarchisation et l’attractivité visuelle.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directs avec les trois articles individuels.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Trois cartes</w:t>
      </w:r>
    </w:p>
    <w:p>
      <w:pPr>
        <w:pStyle w:val="ListBullet"/>
        <w:numPr>
          <w:ilvl w:val="0"/>
          <w:numId w:val="1"/>
        </w:numPr>
        <w:spacing w:before="0" w:after="20"/>
        <w:ind w:hanging="360" w:start="283"/>
        <w:contextualSpacing/>
        <w:rPr/>
      </w:pPr>
      <w:r>
        <w:rPr>
          <w:sz w:val="17"/>
        </w:rPr>
        <w:t>Image</w:t>
      </w:r>
    </w:p>
    <w:p>
      <w:pPr>
        <w:pStyle w:val="ListBullet"/>
        <w:numPr>
          <w:ilvl w:val="0"/>
          <w:numId w:val="1"/>
        </w:numPr>
        <w:spacing w:before="0" w:after="20"/>
        <w:ind w:hanging="360" w:start="283"/>
        <w:contextualSpacing/>
        <w:rPr/>
      </w:pPr>
      <w:r>
        <w:rPr>
          <w:sz w:val="17"/>
        </w:rPr>
        <w:t>Date</w:t>
      </w:r>
    </w:p>
    <w:p>
      <w:pPr>
        <w:pStyle w:val="ListBullet"/>
        <w:numPr>
          <w:ilvl w:val="0"/>
          <w:numId w:val="1"/>
        </w:numPr>
        <w:spacing w:before="0" w:after="20"/>
        <w:ind w:hanging="360" w:start="283"/>
        <w:contextualSpacing/>
        <w:rPr/>
      </w:pPr>
      <w:r>
        <w:rPr>
          <w:sz w:val="17"/>
        </w:rPr>
        <w:t>Titre</w:t>
      </w:r>
    </w:p>
    <w:p>
      <w:pPr>
        <w:pStyle w:val="ListBullet"/>
        <w:numPr>
          <w:ilvl w:val="0"/>
          <w:numId w:val="1"/>
        </w:numPr>
        <w:spacing w:before="0" w:after="20"/>
        <w:ind w:hanging="360" w:start="283"/>
        <w:contextualSpacing/>
        <w:rPr/>
      </w:pPr>
      <w:r>
        <w:rPr>
          <w:sz w:val="17"/>
        </w:rPr>
        <w:t>Résumé</w:t>
      </w:r>
    </w:p>
    <w:p>
      <w:pPr>
        <w:pStyle w:val="ListBullet"/>
        <w:numPr>
          <w:ilvl w:val="0"/>
          <w:numId w:val="1"/>
        </w:numPr>
        <w:spacing w:before="0" w:after="20"/>
        <w:ind w:hanging="360" w:start="283"/>
        <w:contextualSpacing/>
        <w:rPr/>
      </w:pPr>
      <w:r>
        <w:rPr>
          <w:sz w:val="17"/>
        </w:rPr>
        <w:t>Lien de lecture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Organisation en cartes d’actualité » ?</w:t>
      </w:r>
    </w:p>
    <w:p>
      <w:pPr>
        <w:pStyle w:val="Normal"/>
        <w:spacing w:before="0" w:after="40"/>
        <w:ind w:start="255"/>
        <w:rPr/>
      </w:pPr>
      <w:r>
        <w:rPr>
          <w:b/>
          <w:color w:val="D4A017"/>
          <w:sz w:val="16"/>
        </w:rPr>
        <w:t xml:space="preserve">Réponse : </w:t>
      </w:r>
      <w:r>
        <w:rPr>
          <w:color w:val="1F2937"/>
          <w:sz w:val="16"/>
        </w:rPr>
        <w:t>La page présente trois cartes, chacune composée d’une image, d’une date, d’un titre, d’un résumé et d’un lien « Lire la suite ».</w:t>
      </w:r>
    </w:p>
    <w:p>
      <w:pPr>
        <w:pStyle w:val="Normal"/>
        <w:keepNext w:val="true"/>
        <w:keepLines/>
        <w:spacing w:before="40" w:after="0"/>
        <w:ind w:start="57"/>
        <w:rPr/>
      </w:pPr>
      <w:r>
        <w:rPr>
          <w:b/>
          <w:color w:val="0B3D91"/>
          <w:sz w:val="17"/>
        </w:rPr>
        <w:t>Q2. Quelle est l’idée centrale de « Organisation en cartes d’actualité » ?</w:t>
      </w:r>
    </w:p>
    <w:p>
      <w:pPr>
        <w:pStyle w:val="Normal"/>
        <w:spacing w:before="0" w:after="40"/>
        <w:ind w:start="255"/>
        <w:rPr/>
      </w:pPr>
      <w:r>
        <w:rPr>
          <w:b/>
          <w:color w:val="D4A017"/>
          <w:sz w:val="16"/>
        </w:rPr>
        <w:t xml:space="preserve">Réponse : </w:t>
      </w:r>
      <w:r>
        <w:rPr>
          <w:color w:val="1F2937"/>
          <w:sz w:val="16"/>
        </w:rPr>
        <w:t>Cette organisation permet une lecture rapide et un accès ciblé aux articles.</w:t>
      </w:r>
    </w:p>
    <w:p>
      <w:pPr>
        <w:pStyle w:val="Normal"/>
        <w:keepNext w:val="true"/>
        <w:keepLines/>
        <w:spacing w:before="40" w:after="0"/>
        <w:ind w:start="57"/>
        <w:rPr/>
      </w:pPr>
      <w:r>
        <w:rPr>
          <w:b/>
          <w:color w:val="0B3D91"/>
          <w:sz w:val="17"/>
        </w:rPr>
        <w:t>Q3. Quels éléments sont explicitement développés sous « Organisation en cartes d’actualité » ?</w:t>
      </w:r>
    </w:p>
    <w:p>
      <w:pPr>
        <w:pStyle w:val="Normal"/>
        <w:spacing w:before="0" w:after="40"/>
        <w:ind w:start="255"/>
        <w:rPr/>
      </w:pPr>
      <w:r>
        <w:rPr>
          <w:b/>
          <w:color w:val="D4A017"/>
          <w:sz w:val="16"/>
        </w:rPr>
        <w:t xml:space="preserve">Réponse : </w:t>
      </w:r>
      <w:r>
        <w:rPr>
          <w:color w:val="1F2937"/>
          <w:sz w:val="16"/>
        </w:rPr>
        <w:t>Image, date, titre, extrait et lien vers l’article complet.</w:t>
      </w:r>
    </w:p>
    <w:p>
      <w:pPr>
        <w:pStyle w:val="Normal"/>
        <w:keepNext w:val="true"/>
        <w:keepLines/>
        <w:spacing w:before="40" w:after="0"/>
        <w:ind w:start="57"/>
        <w:rPr/>
      </w:pPr>
      <w:r>
        <w:rPr>
          <w:b/>
          <w:color w:val="0B3D91"/>
          <w:sz w:val="17"/>
        </w:rPr>
        <w:t>Q4. À quel public ou à quels acteurs « Organisation en cartes d’actualité » s’adresse-t-il ?</w:t>
      </w:r>
    </w:p>
    <w:p>
      <w:pPr>
        <w:pStyle w:val="Normal"/>
        <w:spacing w:before="0" w:after="40"/>
        <w:ind w:start="255"/>
        <w:rPr/>
      </w:pPr>
      <w:r>
        <w:rPr>
          <w:b/>
          <w:color w:val="D4A017"/>
          <w:sz w:val="16"/>
        </w:rPr>
        <w:t xml:space="preserve">Réponse : </w:t>
      </w:r>
      <w:r>
        <w:rPr>
          <w:color w:val="1F2937"/>
          <w:sz w:val="16"/>
        </w:rPr>
        <w:t>Lecteurs qui souhaitent parcourir rapidement les nouvelles disponibles.</w:t>
      </w:r>
    </w:p>
    <w:p>
      <w:pPr>
        <w:pStyle w:val="Normal"/>
        <w:keepNext w:val="true"/>
        <w:keepLines/>
        <w:spacing w:before="40" w:after="0"/>
        <w:ind w:start="57"/>
        <w:rPr/>
      </w:pPr>
      <w:r>
        <w:rPr>
          <w:b/>
          <w:color w:val="0B3D91"/>
          <w:sz w:val="17"/>
        </w:rPr>
        <w:t>Q5. Quelle action ou conduite « Organisation en cartes d’actualité » invite-t-il à adopter ?</w:t>
      </w:r>
    </w:p>
    <w:p>
      <w:pPr>
        <w:pStyle w:val="Normal"/>
        <w:spacing w:before="0" w:after="40"/>
        <w:ind w:start="255"/>
        <w:rPr/>
      </w:pPr>
      <w:r>
        <w:rPr>
          <w:b/>
          <w:color w:val="D4A017"/>
          <w:sz w:val="16"/>
        </w:rPr>
        <w:t xml:space="preserve">Réponse : </w:t>
      </w:r>
      <w:r>
        <w:rPr>
          <w:color w:val="1F2937"/>
          <w:sz w:val="16"/>
        </w:rPr>
        <w:t>Choisir une carte puis ouvrir l’article correspondant.</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format en cartes est adapté à une page de synthèse et à la consultation mobile.</w:t>
      </w:r>
    </w:p>
    <w:p>
      <w:pPr>
        <w:pStyle w:val="Normal"/>
        <w:keepNext w:val="true"/>
        <w:keepLines/>
        <w:spacing w:before="40" w:after="0"/>
        <w:ind w:start="57"/>
        <w:rPr/>
      </w:pPr>
      <w:r>
        <w:rPr>
          <w:b/>
          <w:color w:val="0B3D91"/>
          <w:sz w:val="17"/>
        </w:rPr>
        <w:t>Q7. Quelle est l’importance de « Organisation en cartes d’actualité » dans le projet du GSE ?</w:t>
      </w:r>
    </w:p>
    <w:p>
      <w:pPr>
        <w:pStyle w:val="Normal"/>
        <w:spacing w:before="0" w:after="40"/>
        <w:ind w:start="255"/>
        <w:rPr/>
      </w:pPr>
      <w:r>
        <w:rPr>
          <w:b/>
          <w:color w:val="D4A017"/>
          <w:sz w:val="16"/>
        </w:rPr>
        <w:t xml:space="preserve">Réponse : </w:t>
      </w:r>
      <w:r>
        <w:rPr>
          <w:color w:val="1F2937"/>
          <w:sz w:val="16"/>
        </w:rPr>
        <w:t>Il améliore la lisibilité, la hiérarchisation et l’attractivité visuelle.</w:t>
      </w:r>
    </w:p>
    <w:p>
      <w:pPr>
        <w:pStyle w:val="Normal"/>
        <w:keepNext w:val="true"/>
        <w:keepLines/>
        <w:spacing w:before="40" w:after="0"/>
        <w:ind w:start="57"/>
        <w:rPr/>
      </w:pPr>
      <w:r>
        <w:rPr>
          <w:b/>
          <w:color w:val="0B3D91"/>
          <w:sz w:val="17"/>
        </w:rPr>
        <w:t>Q8. Quels liens « Organisation en cartes d’actualité » entretient-il avec les autres pages ou services ?</w:t>
      </w:r>
    </w:p>
    <w:p>
      <w:pPr>
        <w:pStyle w:val="Normal"/>
        <w:spacing w:before="0" w:after="40"/>
        <w:ind w:start="255"/>
        <w:rPr/>
      </w:pPr>
      <w:r>
        <w:rPr>
          <w:b/>
          <w:color w:val="D4A017"/>
          <w:sz w:val="16"/>
        </w:rPr>
        <w:t xml:space="preserve">Réponse : </w:t>
      </w:r>
      <w:r>
        <w:rPr>
          <w:color w:val="1F2937"/>
          <w:sz w:val="16"/>
        </w:rPr>
        <w:t>Liens directs avec les trois articles individuels.</w:t>
      </w:r>
    </w:p>
    <w:p>
      <w:pPr>
        <w:pStyle w:val="Normal"/>
        <w:keepNext w:val="true"/>
        <w:keepLines/>
        <w:spacing w:before="40" w:after="0"/>
        <w:ind w:start="57"/>
        <w:rPr/>
      </w:pPr>
      <w:r>
        <w:rPr>
          <w:b/>
          <w:color w:val="0B3D91"/>
          <w:sz w:val="17"/>
        </w:rPr>
        <w:t>Q9. Quelle précision, limite ou réserve faut-il conserver à propos de « Organisation en cartes d’actualité » ?</w:t>
      </w:r>
    </w:p>
    <w:p>
      <w:pPr>
        <w:pStyle w:val="Normal"/>
        <w:spacing w:before="0" w:after="40"/>
        <w:ind w:start="255"/>
        <w:rPr/>
      </w:pPr>
      <w:r>
        <w:rPr>
          <w:b/>
          <w:color w:val="D4A017"/>
          <w:sz w:val="16"/>
        </w:rPr>
        <w:t xml:space="preserve">Réponse : </w:t>
      </w:r>
      <w:r>
        <w:rPr>
          <w:color w:val="1F2937"/>
          <w:sz w:val="16"/>
        </w:rPr>
        <w:t>Les trois cartes utilisent actuellement le même visuel institutionnel.</w:t>
      </w:r>
    </w:p>
    <w:p>
      <w:pPr>
        <w:pStyle w:val="Normal"/>
        <w:keepNext w:val="true"/>
        <w:keepLines/>
        <w:spacing w:before="40" w:after="0"/>
        <w:ind w:start="57"/>
        <w:rPr/>
      </w:pPr>
      <w:r>
        <w:rPr>
          <w:b/>
          <w:color w:val="0B3D91"/>
          <w:sz w:val="17"/>
        </w:rPr>
        <w:t>Q10. Quelle réponse essentielle faut-il retenir au sujet de « Organisation en cartes d’actualité » ?</w:t>
      </w:r>
    </w:p>
    <w:p>
      <w:pPr>
        <w:pStyle w:val="Normal"/>
        <w:spacing w:before="0" w:after="40"/>
        <w:ind w:start="255"/>
        <w:rPr/>
      </w:pPr>
      <w:r>
        <w:rPr>
          <w:b/>
          <w:color w:val="D4A017"/>
          <w:sz w:val="16"/>
        </w:rPr>
        <w:t xml:space="preserve">Réponse : </w:t>
      </w:r>
      <w:r>
        <w:rPr>
          <w:color w:val="1F2937"/>
          <w:sz w:val="16"/>
        </w:rPr>
        <w:t>Chaque carte résume une actualité et permet d’accéder à son développement.</w:t>
      </w:r>
    </w:p>
    <w:p>
      <w:pPr>
        <w:pStyle w:val="Heading2"/>
        <w:keepNext w:val="true"/>
        <w:rPr/>
      </w:pPr>
      <w:r>
        <w:rPr/>
        <w:t>8. Place actuelle de la galerie visuelle</w:t>
      </w:r>
    </w:p>
    <w:p>
      <w:pPr>
        <w:pStyle w:val="Normal"/>
        <w:spacing w:before="20" w:after="80"/>
        <w:rPr/>
      </w:pPr>
      <w:r>
        <w:rPr>
          <w:b/>
          <w:color w:val="0B3D91"/>
          <w:sz w:val="16"/>
        </w:rPr>
        <w:t xml:space="preserve">Source contrôlée : </w:t>
      </w:r>
      <w:r>
        <w:rPr>
          <w:color w:val="555555"/>
          <w:sz w:val="16"/>
        </w:rPr>
        <w:t>Images des cartes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dimension « galerie » est aujourd’hui représentée par les images intégrées aux cartes et aux articles, sans section de galerie autonome visible.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Cette section permet de distinguer la présence d’images d’une véritable galerie organisée.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aide à planifier une future médiathèque avec catégories, légendes et consentements.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Activités &amp; talents, Infrastructures, événements et réseaux sociaux.</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Images d’illustration</w:t>
      </w:r>
    </w:p>
    <w:p>
      <w:pPr>
        <w:pStyle w:val="ListBullet"/>
        <w:numPr>
          <w:ilvl w:val="0"/>
          <w:numId w:val="1"/>
        </w:numPr>
        <w:spacing w:before="0" w:after="20"/>
        <w:ind w:hanging="360" w:start="283"/>
        <w:contextualSpacing/>
        <w:rPr/>
      </w:pPr>
      <w:r>
        <w:rPr>
          <w:sz w:val="17"/>
        </w:rPr>
        <w:t>Même visuel réutilisé</w:t>
      </w:r>
    </w:p>
    <w:p>
      <w:pPr>
        <w:pStyle w:val="ListBullet"/>
        <w:numPr>
          <w:ilvl w:val="0"/>
          <w:numId w:val="1"/>
        </w:numPr>
        <w:spacing w:before="0" w:after="20"/>
        <w:ind w:hanging="360" w:start="283"/>
        <w:contextualSpacing/>
        <w:rPr/>
      </w:pPr>
      <w:r>
        <w:rPr>
          <w:sz w:val="17"/>
        </w:rPr>
        <w:t>Pas d’album visible</w:t>
      </w:r>
    </w:p>
    <w:p>
      <w:pPr>
        <w:pStyle w:val="ListBullet"/>
        <w:numPr>
          <w:ilvl w:val="0"/>
          <w:numId w:val="1"/>
        </w:numPr>
        <w:spacing w:before="0" w:after="20"/>
        <w:ind w:hanging="360" w:start="283"/>
        <w:contextualSpacing/>
        <w:rPr/>
      </w:pPr>
      <w:r>
        <w:rPr>
          <w:sz w:val="17"/>
        </w:rPr>
        <w:t>Pas de galerie autonome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Place actuelle de la galerie visuelle » ?</w:t>
      </w:r>
    </w:p>
    <w:p>
      <w:pPr>
        <w:pStyle w:val="Normal"/>
        <w:spacing w:before="0" w:after="40"/>
        <w:ind w:start="255"/>
        <w:rPr/>
      </w:pPr>
      <w:r>
        <w:rPr>
          <w:b/>
          <w:color w:val="D4A017"/>
          <w:sz w:val="16"/>
        </w:rPr>
        <w:t xml:space="preserve">Réponse : </w:t>
      </w:r>
      <w:r>
        <w:rPr>
          <w:color w:val="1F2937"/>
          <w:sz w:val="16"/>
        </w:rPr>
        <w:t>La dimension « galerie » est aujourd’hui représentée par les images intégrées aux cartes et aux articles, sans section de galerie autonome visible.</w:t>
      </w:r>
    </w:p>
    <w:p>
      <w:pPr>
        <w:pStyle w:val="Normal"/>
        <w:keepNext w:val="true"/>
        <w:keepLines/>
        <w:spacing w:before="40" w:after="0"/>
        <w:ind w:start="57"/>
        <w:rPr/>
      </w:pPr>
      <w:r>
        <w:rPr>
          <w:b/>
          <w:color w:val="0B3D91"/>
          <w:sz w:val="17"/>
        </w:rPr>
        <w:t>Q2. Quelle est l’idée centrale de « Place actuelle de la galerie visuelle » ?</w:t>
      </w:r>
    </w:p>
    <w:p>
      <w:pPr>
        <w:pStyle w:val="Normal"/>
        <w:spacing w:before="0" w:after="40"/>
        <w:ind w:start="255"/>
        <w:rPr/>
      </w:pPr>
      <w:r>
        <w:rPr>
          <w:b/>
          <w:color w:val="D4A017"/>
          <w:sz w:val="16"/>
        </w:rPr>
        <w:t xml:space="preserve">Réponse : </w:t>
      </w:r>
      <w:r>
        <w:rPr>
          <w:color w:val="1F2937"/>
          <w:sz w:val="16"/>
        </w:rPr>
        <w:t>Les visuels soutiennent les messages éditoriaux et donnent une représentation de la vie scolaire.</w:t>
      </w:r>
    </w:p>
    <w:p>
      <w:pPr>
        <w:pStyle w:val="Normal"/>
        <w:keepNext w:val="true"/>
        <w:keepLines/>
        <w:spacing w:before="40" w:after="0"/>
        <w:ind w:start="57"/>
        <w:rPr/>
      </w:pPr>
      <w:r>
        <w:rPr>
          <w:b/>
          <w:color w:val="0B3D91"/>
          <w:sz w:val="17"/>
        </w:rPr>
        <w:t>Q3. Quels éléments sont explicitement développés sous « Place actuelle de la galerie visuelle » ?</w:t>
      </w:r>
    </w:p>
    <w:p>
      <w:pPr>
        <w:pStyle w:val="Normal"/>
        <w:spacing w:before="0" w:after="40"/>
        <w:ind w:start="255"/>
        <w:rPr/>
      </w:pPr>
      <w:r>
        <w:rPr>
          <w:b/>
          <w:color w:val="D4A017"/>
          <w:sz w:val="16"/>
        </w:rPr>
        <w:t xml:space="preserve">Réponse : </w:t>
      </w:r>
      <w:r>
        <w:rPr>
          <w:color w:val="1F2937"/>
          <w:sz w:val="16"/>
        </w:rPr>
        <w:t>Une image institutionnelle accompagne chaque publication ; le même fichier visuel est réutilisé.</w:t>
      </w:r>
    </w:p>
    <w:p>
      <w:pPr>
        <w:pStyle w:val="Normal"/>
        <w:keepNext w:val="true"/>
        <w:keepLines/>
        <w:spacing w:before="40" w:after="0"/>
        <w:ind w:start="57"/>
        <w:rPr/>
      </w:pPr>
      <w:r>
        <w:rPr>
          <w:b/>
          <w:color w:val="0B3D91"/>
          <w:sz w:val="17"/>
        </w:rPr>
        <w:t>Q4. À quel public ou à quels acteurs « Place actuelle de la galerie visuelle » s’adresse-t-il ?</w:t>
      </w:r>
    </w:p>
    <w:p>
      <w:pPr>
        <w:pStyle w:val="Normal"/>
        <w:spacing w:before="0" w:after="40"/>
        <w:ind w:start="255"/>
        <w:rPr/>
      </w:pPr>
      <w:r>
        <w:rPr>
          <w:b/>
          <w:color w:val="D4A017"/>
          <w:sz w:val="16"/>
        </w:rPr>
        <w:t xml:space="preserve">Réponse : </w:t>
      </w:r>
      <w:r>
        <w:rPr>
          <w:color w:val="1F2937"/>
          <w:sz w:val="16"/>
        </w:rPr>
        <w:t>Visiteurs sensibles à la présentation visuelle de l’école.</w:t>
      </w:r>
    </w:p>
    <w:p>
      <w:pPr>
        <w:pStyle w:val="Normal"/>
        <w:keepNext w:val="true"/>
        <w:keepLines/>
        <w:spacing w:before="40" w:after="0"/>
        <w:ind w:start="57"/>
        <w:rPr/>
      </w:pPr>
      <w:r>
        <w:rPr>
          <w:b/>
          <w:color w:val="0B3D91"/>
          <w:sz w:val="17"/>
        </w:rPr>
        <w:t>Q5. Quelle action ou conduite « Place actuelle de la galerie visuelle » invite-t-il à adopter ?</w:t>
      </w:r>
    </w:p>
    <w:p>
      <w:pPr>
        <w:pStyle w:val="Normal"/>
        <w:spacing w:before="0" w:after="40"/>
        <w:ind w:start="255"/>
        <w:rPr/>
      </w:pPr>
      <w:r>
        <w:rPr>
          <w:b/>
          <w:color w:val="D4A017"/>
          <w:sz w:val="16"/>
        </w:rPr>
        <w:t xml:space="preserve">Réponse : </w:t>
      </w:r>
      <w:r>
        <w:rPr>
          <w:color w:val="1F2937"/>
          <w:sz w:val="16"/>
        </w:rPr>
        <w:t>Observer les illustrations tout en lisant les contenus associés.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Cette section permet de distinguer la présence d’images d’une véritable galerie organisée.</w:t>
      </w:r>
    </w:p>
    <w:p>
      <w:pPr>
        <w:pStyle w:val="Normal"/>
        <w:keepNext w:val="true"/>
        <w:keepLines/>
        <w:spacing w:before="40" w:after="0"/>
        <w:ind w:start="57"/>
        <w:rPr/>
      </w:pPr>
      <w:r>
        <w:rPr>
          <w:b/>
          <w:color w:val="0B3D91"/>
          <w:sz w:val="17"/>
        </w:rPr>
        <w:t>Q7. Quelle est l’importance de « Place actuelle de la galerie visuelle » dans le projet du GSE ?</w:t>
      </w:r>
    </w:p>
    <w:p>
      <w:pPr>
        <w:pStyle w:val="Normal"/>
        <w:spacing w:before="0" w:after="40"/>
        <w:ind w:start="255"/>
        <w:rPr/>
      </w:pPr>
      <w:r>
        <w:rPr>
          <w:b/>
          <w:color w:val="D4A017"/>
          <w:sz w:val="16"/>
        </w:rPr>
        <w:t xml:space="preserve">Réponse : </w:t>
      </w:r>
      <w:r>
        <w:rPr>
          <w:color w:val="1F2937"/>
          <w:sz w:val="16"/>
        </w:rPr>
        <w:t>Elle aide à planifier une future médiathèque avec catégories, légendes et consentements.</w:t>
      </w:r>
    </w:p>
    <w:p>
      <w:pPr>
        <w:pStyle w:val="Normal"/>
        <w:keepNext w:val="true"/>
        <w:keepLines/>
        <w:spacing w:before="40" w:after="0"/>
        <w:ind w:start="57"/>
        <w:rPr/>
      </w:pPr>
      <w:r>
        <w:rPr>
          <w:b/>
          <w:color w:val="0B3D91"/>
          <w:sz w:val="17"/>
        </w:rPr>
        <w:t>Q8. Quels liens « Place actuelle de la galerie visuelle » entretient-il avec les autres pages ou services ?</w:t>
      </w:r>
    </w:p>
    <w:p>
      <w:pPr>
        <w:pStyle w:val="Normal"/>
        <w:spacing w:before="0" w:after="40"/>
        <w:ind w:start="255"/>
        <w:rPr/>
      </w:pPr>
      <w:r>
        <w:rPr>
          <w:b/>
          <w:color w:val="D4A017"/>
          <w:sz w:val="16"/>
        </w:rPr>
        <w:t xml:space="preserve">Réponse : </w:t>
      </w:r>
      <w:r>
        <w:rPr>
          <w:color w:val="1F2937"/>
          <w:sz w:val="16"/>
        </w:rPr>
        <w:t>Liens avec Activités &amp; talents, Infrastructures, événements et réseaux sociaux.</w:t>
      </w:r>
    </w:p>
    <w:p>
      <w:pPr>
        <w:pStyle w:val="Normal"/>
        <w:keepNext w:val="true"/>
        <w:keepLines/>
        <w:spacing w:before="40" w:after="0"/>
        <w:ind w:start="57"/>
        <w:rPr/>
      </w:pPr>
      <w:r>
        <w:rPr>
          <w:b/>
          <w:color w:val="0B3D91"/>
          <w:sz w:val="17"/>
        </w:rPr>
        <w:t>Q9. Quelle précision, limite ou réserve faut-il conserver à propos de « Place actuelle de la galerie visuelle » ?</w:t>
      </w:r>
    </w:p>
    <w:p>
      <w:pPr>
        <w:pStyle w:val="Normal"/>
        <w:spacing w:before="0" w:after="40"/>
        <w:ind w:start="255"/>
        <w:rPr/>
      </w:pPr>
      <w:r>
        <w:rPr>
          <w:b/>
          <w:color w:val="D4A017"/>
          <w:sz w:val="16"/>
        </w:rPr>
        <w:t xml:space="preserve">Réponse : </w:t>
      </w:r>
      <w:r>
        <w:rPr>
          <w:color w:val="1F2937"/>
          <w:sz w:val="16"/>
        </w:rPr>
        <w:t>Aucun album, filtre, légende détaillée ni galerie photo/vidéo autonome n’est visible à la date du relevé.</w:t>
      </w:r>
    </w:p>
    <w:p>
      <w:pPr>
        <w:pStyle w:val="Normal"/>
        <w:keepNext w:val="true"/>
        <w:keepLines/>
        <w:spacing w:before="40" w:after="0"/>
        <w:ind w:start="57"/>
        <w:rPr/>
      </w:pPr>
      <w:r>
        <w:rPr>
          <w:b/>
          <w:color w:val="0B3D91"/>
          <w:sz w:val="17"/>
        </w:rPr>
        <w:t>Q10. Quelle réponse essentielle faut-il retenir au sujet de « Place actuelle de la galerie visuelle » ?</w:t>
      </w:r>
    </w:p>
    <w:p>
      <w:pPr>
        <w:pStyle w:val="Normal"/>
        <w:spacing w:before="0" w:after="40"/>
        <w:ind w:start="255"/>
        <w:rPr/>
      </w:pPr>
      <w:r>
        <w:rPr>
          <w:b/>
          <w:color w:val="D4A017"/>
          <w:sz w:val="16"/>
        </w:rPr>
        <w:t xml:space="preserve">Réponse : </w:t>
      </w:r>
      <w:r>
        <w:rPr>
          <w:color w:val="1F2937"/>
          <w:sz w:val="16"/>
        </w:rPr>
        <w:t>La page comporte des visuels, mais la galerie dédiée reste à développer ou à rendre visible.</w:t>
      </w:r>
    </w:p>
    <w:p>
      <w:pPr>
        <w:pStyle w:val="Normal"/>
        <w:rPr/>
      </w:pPr>
      <w:r>
        <w:rPr/>
      </w:r>
      <w:r>
        <w:br w:type="page"/>
      </w:r>
    </w:p>
    <w:p>
      <w:pPr>
        <w:pStyle w:val="Heading1"/>
        <w:keepNext w:val="true"/>
        <w:spacing w:before="0" w:after="0"/>
        <w:jc w:val="center"/>
        <w:rPr/>
      </w:pPr>
      <w:r>
        <w:rPr/>
        <w:t>PARTIE II — ACTUALITÉ 1 : PRÉPARER LA RENTRÉE AVEC CONFIANCE</w:t>
      </w:r>
    </w:p>
    <w:p>
      <w:pPr>
        <w:pStyle w:val="Heading2"/>
        <w:keepNext w:val="true"/>
        <w:rPr/>
      </w:pPr>
      <w:r>
        <w:rPr/>
        <w:t>9. Préparer la rentrée avec confiance</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explique que la réussite de la rentrée repose sur une information claire et un accompagnement des familles.</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associe préparation pratique et confiance des familles.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sécurise le parcours d’admission et favorise une rentrée organisée.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Admissions, Frais, Pièces à fournir, Vie scolaire, Uniforme et ÉMINA.</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Information claire</w:t>
      </w:r>
    </w:p>
    <w:p>
      <w:pPr>
        <w:pStyle w:val="ListBullet"/>
        <w:numPr>
          <w:ilvl w:val="0"/>
          <w:numId w:val="1"/>
        </w:numPr>
        <w:spacing w:before="0" w:after="20"/>
        <w:ind w:hanging="360" w:start="283"/>
        <w:contextualSpacing/>
        <w:rPr/>
      </w:pPr>
      <w:r>
        <w:rPr>
          <w:sz w:val="17"/>
        </w:rPr>
        <w:t>Accompagnement familial</w:t>
      </w:r>
    </w:p>
    <w:p>
      <w:pPr>
        <w:pStyle w:val="ListBullet"/>
        <w:numPr>
          <w:ilvl w:val="0"/>
          <w:numId w:val="1"/>
        </w:numPr>
        <w:spacing w:before="0" w:after="20"/>
        <w:ind w:hanging="360" w:start="283"/>
        <w:contextualSpacing/>
        <w:rPr/>
      </w:pPr>
      <w:r>
        <w:rPr>
          <w:sz w:val="17"/>
        </w:rPr>
        <w:t>Préparation des démarches</w:t>
      </w:r>
    </w:p>
    <w:p>
      <w:pPr>
        <w:pStyle w:val="ListBullet"/>
        <w:numPr>
          <w:ilvl w:val="0"/>
          <w:numId w:val="1"/>
        </w:numPr>
        <w:spacing w:before="0" w:after="20"/>
        <w:ind w:hanging="360" w:start="283"/>
        <w:contextualSpacing/>
        <w:rPr/>
      </w:pPr>
      <w:r>
        <w:rPr>
          <w:sz w:val="17"/>
        </w:rPr>
        <w:t>Confiance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Préparer la rentrée avec confiance » ?</w:t>
      </w:r>
    </w:p>
    <w:p>
      <w:pPr>
        <w:pStyle w:val="Normal"/>
        <w:spacing w:before="0" w:after="40"/>
        <w:ind w:start="255"/>
        <w:rPr/>
      </w:pPr>
      <w:r>
        <w:rPr>
          <w:b/>
          <w:color w:val="D4A017"/>
          <w:sz w:val="16"/>
        </w:rPr>
        <w:t xml:space="preserve">Réponse : </w:t>
      </w:r>
      <w:r>
        <w:rPr>
          <w:color w:val="1F2937"/>
          <w:sz w:val="16"/>
        </w:rPr>
        <w:t>L’article explique que la réussite de la rentrée repose sur une information claire et un accompagnement des familles.</w:t>
      </w:r>
    </w:p>
    <w:p>
      <w:pPr>
        <w:pStyle w:val="Normal"/>
        <w:keepNext w:val="true"/>
        <w:keepLines/>
        <w:spacing w:before="40" w:after="0"/>
        <w:ind w:start="57"/>
        <w:rPr/>
      </w:pPr>
      <w:r>
        <w:rPr>
          <w:b/>
          <w:color w:val="0B3D91"/>
          <w:sz w:val="17"/>
        </w:rPr>
        <w:t>Q2. Quelle est l’idée centrale de « Préparer la rentrée avec confiance » ?</w:t>
      </w:r>
    </w:p>
    <w:p>
      <w:pPr>
        <w:pStyle w:val="Normal"/>
        <w:spacing w:before="0" w:after="40"/>
        <w:ind w:start="255"/>
        <w:rPr/>
      </w:pPr>
      <w:r>
        <w:rPr>
          <w:b/>
          <w:color w:val="D4A017"/>
          <w:sz w:val="16"/>
        </w:rPr>
        <w:t xml:space="preserve">Réponse : </w:t>
      </w:r>
      <w:r>
        <w:rPr>
          <w:color w:val="1F2937"/>
          <w:sz w:val="16"/>
        </w:rPr>
        <w:t>La préparation réduit l’incertitude et aide les familles à anticiper les démarches essentielles.</w:t>
      </w:r>
    </w:p>
    <w:p>
      <w:pPr>
        <w:pStyle w:val="Normal"/>
        <w:keepNext w:val="true"/>
        <w:keepLines/>
        <w:spacing w:before="40" w:after="0"/>
        <w:ind w:start="57"/>
        <w:rPr/>
      </w:pPr>
      <w:r>
        <w:rPr>
          <w:b/>
          <w:color w:val="0B3D91"/>
          <w:sz w:val="17"/>
        </w:rPr>
        <w:t>Q3. Quels éléments sont explicitement développés sous « Préparer la rentrée avec confiance » ?</w:t>
      </w:r>
    </w:p>
    <w:p>
      <w:pPr>
        <w:pStyle w:val="Normal"/>
        <w:spacing w:before="0" w:after="40"/>
        <w:ind w:start="255"/>
        <w:rPr/>
      </w:pPr>
      <w:r>
        <w:rPr>
          <w:b/>
          <w:color w:val="D4A017"/>
          <w:sz w:val="16"/>
        </w:rPr>
        <w:t xml:space="preserve">Réponse : </w:t>
      </w:r>
      <w:r>
        <w:rPr>
          <w:color w:val="1F2937"/>
          <w:sz w:val="16"/>
        </w:rPr>
        <w:t>Dossier, frais, uniformes, règles de vie scolaire et appui d’ÉMINA.</w:t>
      </w:r>
    </w:p>
    <w:p>
      <w:pPr>
        <w:pStyle w:val="Normal"/>
        <w:keepNext w:val="true"/>
        <w:keepLines/>
        <w:spacing w:before="40" w:after="0"/>
        <w:ind w:start="57"/>
        <w:rPr/>
      </w:pPr>
      <w:r>
        <w:rPr>
          <w:b/>
          <w:color w:val="0B3D91"/>
          <w:sz w:val="17"/>
        </w:rPr>
        <w:t>Q4. À quel public ou à quels acteurs « Préparer la rentrée avec confiance » s’adresse-t-il ?</w:t>
      </w:r>
    </w:p>
    <w:p>
      <w:pPr>
        <w:pStyle w:val="Normal"/>
        <w:spacing w:before="0" w:after="40"/>
        <w:ind w:start="255"/>
        <w:rPr/>
      </w:pPr>
      <w:r>
        <w:rPr>
          <w:b/>
          <w:color w:val="D4A017"/>
          <w:sz w:val="16"/>
        </w:rPr>
        <w:t xml:space="preserve">Réponse : </w:t>
      </w:r>
      <w:r>
        <w:rPr>
          <w:color w:val="1F2937"/>
          <w:sz w:val="16"/>
        </w:rPr>
        <w:t>Parents, responsables légaux et familles préparant l’entrée de leur enfant.</w:t>
      </w:r>
    </w:p>
    <w:p>
      <w:pPr>
        <w:pStyle w:val="Normal"/>
        <w:keepNext w:val="true"/>
        <w:keepLines/>
        <w:spacing w:before="40" w:after="0"/>
        <w:ind w:start="57"/>
        <w:rPr/>
      </w:pPr>
      <w:r>
        <w:rPr>
          <w:b/>
          <w:color w:val="0B3D91"/>
          <w:sz w:val="17"/>
        </w:rPr>
        <w:t>Q5. Quelle action ou conduite « Préparer la rentrée avec confiance » invite-t-il à adopter ?</w:t>
      </w:r>
    </w:p>
    <w:p>
      <w:pPr>
        <w:pStyle w:val="Normal"/>
        <w:spacing w:before="0" w:after="40"/>
        <w:ind w:start="255"/>
        <w:rPr/>
      </w:pPr>
      <w:r>
        <w:rPr>
          <w:b/>
          <w:color w:val="D4A017"/>
          <w:sz w:val="16"/>
        </w:rPr>
        <w:t xml:space="preserve">Réponse : </w:t>
      </w:r>
      <w:r>
        <w:rPr>
          <w:color w:val="1F2937"/>
          <w:sz w:val="16"/>
        </w:rPr>
        <w:t>S’informer, constituer le dossier et anticiper les exigences de rentrée.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associe préparation pratique et confiance des familles.</w:t>
      </w:r>
    </w:p>
    <w:p>
      <w:pPr>
        <w:pStyle w:val="Normal"/>
        <w:keepNext w:val="true"/>
        <w:keepLines/>
        <w:spacing w:before="40" w:after="0"/>
        <w:ind w:start="57"/>
        <w:rPr/>
      </w:pPr>
      <w:r>
        <w:rPr>
          <w:b/>
          <w:color w:val="0B3D91"/>
          <w:sz w:val="17"/>
        </w:rPr>
        <w:t>Q7. Quelle est l’importance de « Préparer la rentrée avec confiance » dans le projet du GSE ?</w:t>
      </w:r>
    </w:p>
    <w:p>
      <w:pPr>
        <w:pStyle w:val="Normal"/>
        <w:spacing w:before="0" w:after="40"/>
        <w:ind w:start="255"/>
        <w:rPr/>
      </w:pPr>
      <w:r>
        <w:rPr>
          <w:b/>
          <w:color w:val="D4A017"/>
          <w:sz w:val="16"/>
        </w:rPr>
        <w:t xml:space="preserve">Réponse : </w:t>
      </w:r>
      <w:r>
        <w:rPr>
          <w:color w:val="1F2937"/>
          <w:sz w:val="16"/>
        </w:rPr>
        <w:t>Il sécurise le parcours d’admission et favorise une rentrée organisée.</w:t>
      </w:r>
    </w:p>
    <w:p>
      <w:pPr>
        <w:pStyle w:val="Normal"/>
        <w:keepNext w:val="true"/>
        <w:keepLines/>
        <w:spacing w:before="40" w:after="0"/>
        <w:ind w:start="57"/>
        <w:rPr/>
      </w:pPr>
      <w:r>
        <w:rPr>
          <w:b/>
          <w:color w:val="0B3D91"/>
          <w:sz w:val="17"/>
        </w:rPr>
        <w:t>Q8. Quels liens « Préparer la rentrée avec confiance » entretient-il avec les autres pages ou services ?</w:t>
      </w:r>
    </w:p>
    <w:p>
      <w:pPr>
        <w:pStyle w:val="Normal"/>
        <w:spacing w:before="0" w:after="40"/>
        <w:ind w:start="255"/>
        <w:rPr/>
      </w:pPr>
      <w:r>
        <w:rPr>
          <w:b/>
          <w:color w:val="D4A017"/>
          <w:sz w:val="16"/>
        </w:rPr>
        <w:t xml:space="preserve">Réponse : </w:t>
      </w:r>
      <w:r>
        <w:rPr>
          <w:color w:val="1F2937"/>
          <w:sz w:val="16"/>
        </w:rPr>
        <w:t>Liens avec Admissions, Frais, Pièces à fournir, Vie scolaire, Uniforme et ÉMINA.</w:t>
      </w:r>
    </w:p>
    <w:p>
      <w:pPr>
        <w:pStyle w:val="Normal"/>
        <w:keepNext w:val="true"/>
        <w:keepLines/>
        <w:spacing w:before="40" w:after="0"/>
        <w:ind w:start="57"/>
        <w:rPr/>
      </w:pPr>
      <w:r>
        <w:rPr>
          <w:b/>
          <w:color w:val="0B3D91"/>
          <w:sz w:val="17"/>
        </w:rPr>
        <w:t>Q9. Quelle précision, limite ou réserve faut-il conserver à propos de « Préparer la rentrée avec confiance » ?</w:t>
      </w:r>
    </w:p>
    <w:p>
      <w:pPr>
        <w:pStyle w:val="Normal"/>
        <w:spacing w:before="0" w:after="40"/>
        <w:ind w:start="255"/>
        <w:rPr/>
      </w:pPr>
      <w:r>
        <w:rPr>
          <w:b/>
          <w:color w:val="D4A017"/>
          <w:sz w:val="16"/>
        </w:rPr>
        <w:t xml:space="preserve">Réponse : </w:t>
      </w:r>
      <w:r>
        <w:rPr>
          <w:color w:val="1F2937"/>
          <w:sz w:val="16"/>
        </w:rPr>
        <w:t>L’article est une synthèse courte ; les détails opérationnels se trouvent dans les pages spécialisées.</w:t>
      </w:r>
    </w:p>
    <w:p>
      <w:pPr>
        <w:pStyle w:val="Normal"/>
        <w:keepNext w:val="true"/>
        <w:keepLines/>
        <w:spacing w:before="40" w:after="0"/>
        <w:ind w:start="57"/>
        <w:rPr/>
      </w:pPr>
      <w:r>
        <w:rPr>
          <w:b/>
          <w:color w:val="0B3D91"/>
          <w:sz w:val="17"/>
        </w:rPr>
        <w:t>Q10. Quelle réponse essentielle faut-il retenir au sujet de « Préparer la rentrée avec confiance » ?</w:t>
      </w:r>
    </w:p>
    <w:p>
      <w:pPr>
        <w:pStyle w:val="Normal"/>
        <w:spacing w:before="0" w:after="40"/>
        <w:ind w:start="255"/>
        <w:rPr/>
      </w:pPr>
      <w:r>
        <w:rPr>
          <w:b/>
          <w:color w:val="D4A017"/>
          <w:sz w:val="16"/>
        </w:rPr>
        <w:t xml:space="preserve">Réponse : </w:t>
      </w:r>
      <w:r>
        <w:rPr>
          <w:color w:val="1F2937"/>
          <w:sz w:val="16"/>
        </w:rPr>
        <w:t>Une rentrée sereine commence par des informations compréhensibles et un accompagnement structuré.</w:t>
      </w:r>
    </w:p>
    <w:p>
      <w:pPr>
        <w:pStyle w:val="Heading2"/>
        <w:keepNext w:val="true"/>
        <w:rPr/>
      </w:pPr>
      <w:r>
        <w:rPr/>
        <w:t>10. Date et durée de lecture de l’article sur la rentrée</w:t>
      </w:r>
    </w:p>
    <w:p>
      <w:pPr>
        <w:pStyle w:val="Normal"/>
        <w:spacing w:before="20" w:after="80"/>
        <w:rPr/>
      </w:pPr>
      <w:r>
        <w:rPr>
          <w:b/>
          <w:color w:val="0B3D91"/>
          <w:sz w:val="16"/>
        </w:rPr>
        <w:t xml:space="preserve">Source contrôlée : </w:t>
      </w:r>
      <w:r>
        <w:rPr>
          <w:color w:val="555555"/>
          <w:sz w:val="16"/>
        </w:rPr>
        <w:t>Métadonnées de l’article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est daté du 29 juin 2026 et annonce environ une minute de lecture.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La date inscrit l’information dans la campagne de rentrée 2026-2027.</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permet de suivre la chronologie de la communication institutionnelle.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la date affichée sur la carte de la page principale.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29 juin 2026</w:t>
      </w:r>
    </w:p>
    <w:p>
      <w:pPr>
        <w:pStyle w:val="ListBullet"/>
        <w:numPr>
          <w:ilvl w:val="0"/>
          <w:numId w:val="1"/>
        </w:numPr>
        <w:spacing w:before="0" w:after="20"/>
        <w:ind w:hanging="360" w:start="283"/>
        <w:contextualSpacing/>
        <w:rPr/>
      </w:pPr>
      <w:r>
        <w:rPr>
          <w:sz w:val="17"/>
        </w:rPr>
        <w:t>1 minute de lecture</w:t>
      </w:r>
    </w:p>
    <w:p>
      <w:pPr>
        <w:pStyle w:val="ListBullet"/>
        <w:numPr>
          <w:ilvl w:val="0"/>
          <w:numId w:val="1"/>
        </w:numPr>
        <w:spacing w:before="0" w:after="20"/>
        <w:ind w:hanging="360" w:start="283"/>
        <w:contextualSpacing/>
        <w:rPr/>
      </w:pPr>
      <w:r>
        <w:rPr>
          <w:sz w:val="17"/>
        </w:rPr>
        <w:t>Publication concise</w:t>
      </w:r>
    </w:p>
    <w:p>
      <w:pPr>
        <w:pStyle w:val="ListBullet"/>
        <w:numPr>
          <w:ilvl w:val="0"/>
          <w:numId w:val="1"/>
        </w:numPr>
        <w:spacing w:before="0" w:after="20"/>
        <w:ind w:hanging="360" w:start="283"/>
        <w:contextualSpacing/>
        <w:rPr/>
      </w:pPr>
      <w:r>
        <w:rPr>
          <w:sz w:val="17"/>
        </w:rPr>
        <w:t>Repère chronologique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Date et durée de lecture de l’article sur la rentrée » ?</w:t>
      </w:r>
    </w:p>
    <w:p>
      <w:pPr>
        <w:pStyle w:val="Normal"/>
        <w:spacing w:before="0" w:after="40"/>
        <w:ind w:start="255"/>
        <w:rPr/>
      </w:pPr>
      <w:r>
        <w:rPr>
          <w:b/>
          <w:color w:val="D4A017"/>
          <w:sz w:val="16"/>
        </w:rPr>
        <w:t xml:space="preserve">Réponse : </w:t>
      </w:r>
      <w:r>
        <w:rPr>
          <w:color w:val="1F2937"/>
          <w:sz w:val="16"/>
        </w:rPr>
        <w:t>L’article est daté du 29 juin 2026 et annonce environ une minute de lecture.</w:t>
      </w:r>
    </w:p>
    <w:p>
      <w:pPr>
        <w:pStyle w:val="Normal"/>
        <w:keepNext w:val="true"/>
        <w:keepLines/>
        <w:spacing w:before="40" w:after="0"/>
        <w:ind w:start="57"/>
        <w:rPr/>
      </w:pPr>
      <w:r>
        <w:rPr>
          <w:b/>
          <w:color w:val="0B3D91"/>
          <w:sz w:val="17"/>
        </w:rPr>
        <w:t>Q2. Quelle est l’idée centrale de « Date et durée de lecture de l’article sur la rentrée » ?</w:t>
      </w:r>
    </w:p>
    <w:p>
      <w:pPr>
        <w:pStyle w:val="Normal"/>
        <w:spacing w:before="0" w:after="40"/>
        <w:ind w:start="255"/>
        <w:rPr/>
      </w:pPr>
      <w:r>
        <w:rPr>
          <w:b/>
          <w:color w:val="D4A017"/>
          <w:sz w:val="16"/>
        </w:rPr>
        <w:t xml:space="preserve">Réponse : </w:t>
      </w:r>
      <w:r>
        <w:rPr>
          <w:color w:val="1F2937"/>
          <w:sz w:val="16"/>
        </w:rPr>
        <w:t>Ces métadonnées situent la publication dans le temps et indiquent qu’elle est concise.</w:t>
      </w:r>
    </w:p>
    <w:p>
      <w:pPr>
        <w:pStyle w:val="Normal"/>
        <w:keepNext w:val="true"/>
        <w:keepLines/>
        <w:spacing w:before="40" w:after="0"/>
        <w:ind w:start="57"/>
        <w:rPr/>
      </w:pPr>
      <w:r>
        <w:rPr>
          <w:b/>
          <w:color w:val="0B3D91"/>
          <w:sz w:val="17"/>
        </w:rPr>
        <w:t>Q3. Quels éléments sont explicitement développés sous « Date et durée de lecture de l’article sur la rentrée » ?</w:t>
      </w:r>
    </w:p>
    <w:p>
      <w:pPr>
        <w:pStyle w:val="Normal"/>
        <w:spacing w:before="0" w:after="40"/>
        <w:ind w:start="255"/>
        <w:rPr/>
      </w:pPr>
      <w:r>
        <w:rPr>
          <w:b/>
          <w:color w:val="D4A017"/>
          <w:sz w:val="16"/>
        </w:rPr>
        <w:t xml:space="preserve">Réponse : </w:t>
      </w:r>
      <w:r>
        <w:rPr>
          <w:color w:val="1F2937"/>
          <w:sz w:val="16"/>
        </w:rPr>
        <w:t>Date de publication et estimation de durée de lecture.</w:t>
      </w:r>
    </w:p>
    <w:p>
      <w:pPr>
        <w:pStyle w:val="Normal"/>
        <w:keepNext w:val="true"/>
        <w:keepLines/>
        <w:spacing w:before="40" w:after="0"/>
        <w:ind w:start="57"/>
        <w:rPr/>
      </w:pPr>
      <w:r>
        <w:rPr>
          <w:b/>
          <w:color w:val="0B3D91"/>
          <w:sz w:val="17"/>
        </w:rPr>
        <w:t>Q4. À quel public ou à quels acteurs « Date et durée de lecture de l’article sur la rentrée » s’adresse-t-il ?</w:t>
      </w:r>
    </w:p>
    <w:p>
      <w:pPr>
        <w:pStyle w:val="Normal"/>
        <w:spacing w:before="0" w:after="40"/>
        <w:ind w:start="255"/>
        <w:rPr/>
      </w:pPr>
      <w:r>
        <w:rPr>
          <w:b/>
          <w:color w:val="D4A017"/>
          <w:sz w:val="16"/>
        </w:rPr>
        <w:t xml:space="preserve">Réponse : </w:t>
      </w:r>
      <w:r>
        <w:rPr>
          <w:color w:val="1F2937"/>
          <w:sz w:val="16"/>
        </w:rPr>
        <w:t>Lecteurs souhaitant évaluer la fraîcheur et la longueur du contenu.</w:t>
      </w:r>
    </w:p>
    <w:p>
      <w:pPr>
        <w:pStyle w:val="Normal"/>
        <w:keepNext w:val="true"/>
        <w:keepLines/>
        <w:spacing w:before="40" w:after="0"/>
        <w:ind w:start="57"/>
        <w:rPr/>
      </w:pPr>
      <w:r>
        <w:rPr>
          <w:b/>
          <w:color w:val="0B3D91"/>
          <w:sz w:val="17"/>
        </w:rPr>
        <w:t>Q5. Quelle action ou conduite « Date et durée de lecture de l’article sur la rentrée » invite-t-il à adopter ?</w:t>
      </w:r>
    </w:p>
    <w:p>
      <w:pPr>
        <w:pStyle w:val="Normal"/>
        <w:spacing w:before="0" w:after="40"/>
        <w:ind w:start="255"/>
        <w:rPr/>
      </w:pPr>
      <w:r>
        <w:rPr>
          <w:b/>
          <w:color w:val="D4A017"/>
          <w:sz w:val="16"/>
        </w:rPr>
        <w:t xml:space="preserve">Réponse : </w:t>
      </w:r>
      <w:r>
        <w:rPr>
          <w:color w:val="1F2937"/>
          <w:sz w:val="16"/>
        </w:rPr>
        <w:t>Lire rapidement l’article puis consulter les pages détaillées si nécessaire.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La date inscrit l’information dans la campagne de rentrée 2026-2027.</w:t>
      </w:r>
    </w:p>
    <w:p>
      <w:pPr>
        <w:pStyle w:val="Normal"/>
        <w:keepNext w:val="true"/>
        <w:keepLines/>
        <w:spacing w:before="40" w:after="0"/>
        <w:ind w:start="57"/>
        <w:rPr/>
      </w:pPr>
      <w:r>
        <w:rPr>
          <w:b/>
          <w:color w:val="0B3D91"/>
          <w:sz w:val="17"/>
        </w:rPr>
        <w:t>Q7. Quelle est l’importance de « Date et durée de lecture de l’article sur la rentrée » dans le projet du GSE ?</w:t>
      </w:r>
    </w:p>
    <w:p>
      <w:pPr>
        <w:pStyle w:val="Normal"/>
        <w:spacing w:before="0" w:after="40"/>
        <w:ind w:start="255"/>
        <w:rPr/>
      </w:pPr>
      <w:r>
        <w:rPr>
          <w:b/>
          <w:color w:val="D4A017"/>
          <w:sz w:val="16"/>
        </w:rPr>
        <w:t xml:space="preserve">Réponse : </w:t>
      </w:r>
      <w:r>
        <w:rPr>
          <w:color w:val="1F2937"/>
          <w:sz w:val="16"/>
        </w:rPr>
        <w:t>Elle permet de suivre la chronologie de la communication institutionnelle.</w:t>
      </w:r>
    </w:p>
    <w:p>
      <w:pPr>
        <w:pStyle w:val="Normal"/>
        <w:keepNext w:val="true"/>
        <w:keepLines/>
        <w:spacing w:before="40" w:after="0"/>
        <w:ind w:start="57"/>
        <w:rPr/>
      </w:pPr>
      <w:r>
        <w:rPr>
          <w:b/>
          <w:color w:val="0B3D91"/>
          <w:sz w:val="17"/>
        </w:rPr>
        <w:t>Q8. Quels liens « Date et durée de lecture de l’article sur la rentrée » entretient-il avec les autres pages ou services ?</w:t>
      </w:r>
    </w:p>
    <w:p>
      <w:pPr>
        <w:pStyle w:val="Normal"/>
        <w:spacing w:before="0" w:after="40"/>
        <w:ind w:start="255"/>
        <w:rPr/>
      </w:pPr>
      <w:r>
        <w:rPr>
          <w:b/>
          <w:color w:val="D4A017"/>
          <w:sz w:val="16"/>
        </w:rPr>
        <w:t xml:space="preserve">Réponse : </w:t>
      </w:r>
      <w:r>
        <w:rPr>
          <w:color w:val="1F2937"/>
          <w:sz w:val="16"/>
        </w:rPr>
        <w:t>Liens avec la date affichée sur la carte de la page principale.</w:t>
      </w:r>
    </w:p>
    <w:p>
      <w:pPr>
        <w:pStyle w:val="Normal"/>
        <w:keepNext w:val="true"/>
        <w:keepLines/>
        <w:spacing w:before="40" w:after="0"/>
        <w:ind w:start="57"/>
        <w:rPr/>
      </w:pPr>
      <w:r>
        <w:rPr>
          <w:b/>
          <w:color w:val="0B3D91"/>
          <w:sz w:val="17"/>
        </w:rPr>
        <w:t>Q9. Quelle précision, limite ou réserve faut-il conserver à propos de « Date et durée de lecture de l’article sur la rentrée » ?</w:t>
      </w:r>
    </w:p>
    <w:p>
      <w:pPr>
        <w:pStyle w:val="Normal"/>
        <w:spacing w:before="0" w:after="40"/>
        <w:ind w:start="255"/>
        <w:rPr/>
      </w:pPr>
      <w:r>
        <w:rPr>
          <w:b/>
          <w:color w:val="D4A017"/>
          <w:sz w:val="16"/>
        </w:rPr>
        <w:t xml:space="preserve">Réponse : </w:t>
      </w:r>
      <w:r>
        <w:rPr>
          <w:color w:val="1F2937"/>
          <w:sz w:val="16"/>
        </w:rPr>
        <w:t>La durée est indicative et ne remplace pas la lecture des procédures complètes.</w:t>
      </w:r>
    </w:p>
    <w:p>
      <w:pPr>
        <w:pStyle w:val="Normal"/>
        <w:keepNext w:val="true"/>
        <w:keepLines/>
        <w:spacing w:before="40" w:after="0"/>
        <w:ind w:start="57"/>
        <w:rPr/>
      </w:pPr>
      <w:r>
        <w:rPr>
          <w:b/>
          <w:color w:val="0B3D91"/>
          <w:sz w:val="17"/>
        </w:rPr>
        <w:t>Q10. Quelle réponse essentielle faut-il retenir au sujet de « Date et durée de lecture de l’article sur la rentrée » ?</w:t>
      </w:r>
    </w:p>
    <w:p>
      <w:pPr>
        <w:pStyle w:val="Normal"/>
        <w:spacing w:before="0" w:after="40"/>
        <w:ind w:start="255"/>
        <w:rPr/>
      </w:pPr>
      <w:r>
        <w:rPr>
          <w:b/>
          <w:color w:val="D4A017"/>
          <w:sz w:val="16"/>
        </w:rPr>
        <w:t xml:space="preserve">Réponse : </w:t>
      </w:r>
      <w:r>
        <w:rPr>
          <w:color w:val="1F2937"/>
          <w:sz w:val="16"/>
        </w:rPr>
        <w:t>Il s’agit d’une information récente et volontairement brève.</w:t>
      </w:r>
    </w:p>
    <w:p>
      <w:pPr>
        <w:pStyle w:val="Heading2"/>
        <w:keepNext w:val="true"/>
        <w:rPr/>
      </w:pPr>
      <w:r>
        <w:rPr/>
        <w:t>11. Une rentrée réussie commence par une information claire</w:t>
      </w:r>
    </w:p>
    <w:p>
      <w:pPr>
        <w:pStyle w:val="Normal"/>
        <w:spacing w:before="20" w:after="80"/>
        <w:rPr/>
      </w:pPr>
      <w:r>
        <w:rPr>
          <w:b/>
          <w:color w:val="0B3D91"/>
          <w:sz w:val="16"/>
        </w:rPr>
        <w:t xml:space="preserve">Source contrôlée : </w:t>
      </w:r>
      <w:r>
        <w:rPr>
          <w:color w:val="555555"/>
          <w:sz w:val="16"/>
        </w:rPr>
        <w:t>Premier message de l’article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pose l’information claire comme première condition d’une rentrée réussie.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met en avant la transparence et la compréhension.</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Une information claire limite les erreurs, les retards et les inquiétudes.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Documentation, FAQ, Admissions et ÉMINA.</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Information claire</w:t>
      </w:r>
    </w:p>
    <w:p>
      <w:pPr>
        <w:pStyle w:val="ListBullet"/>
        <w:numPr>
          <w:ilvl w:val="0"/>
          <w:numId w:val="1"/>
        </w:numPr>
        <w:spacing w:before="0" w:after="20"/>
        <w:ind w:hanging="360" w:start="283"/>
        <w:contextualSpacing/>
        <w:rPr/>
      </w:pPr>
      <w:r>
        <w:rPr>
          <w:sz w:val="17"/>
        </w:rPr>
        <w:t>Anticipation</w:t>
      </w:r>
    </w:p>
    <w:p>
      <w:pPr>
        <w:pStyle w:val="ListBullet"/>
        <w:numPr>
          <w:ilvl w:val="0"/>
          <w:numId w:val="1"/>
        </w:numPr>
        <w:spacing w:before="0" w:after="20"/>
        <w:ind w:hanging="360" w:start="283"/>
        <w:contextualSpacing/>
        <w:rPr/>
      </w:pPr>
      <w:r>
        <w:rPr>
          <w:sz w:val="17"/>
        </w:rPr>
        <w:t>Réduction des erreurs</w:t>
      </w:r>
    </w:p>
    <w:p>
      <w:pPr>
        <w:pStyle w:val="ListBullet"/>
        <w:numPr>
          <w:ilvl w:val="0"/>
          <w:numId w:val="1"/>
        </w:numPr>
        <w:spacing w:before="0" w:after="20"/>
        <w:ind w:hanging="360" w:start="283"/>
        <w:contextualSpacing/>
        <w:rPr/>
      </w:pPr>
      <w:r>
        <w:rPr>
          <w:sz w:val="17"/>
        </w:rPr>
        <w:t>Canaux officiels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Une rentrée réussie commence par une information claire » ?</w:t>
      </w:r>
    </w:p>
    <w:p>
      <w:pPr>
        <w:pStyle w:val="Normal"/>
        <w:spacing w:before="0" w:after="40"/>
        <w:ind w:start="255"/>
        <w:rPr/>
      </w:pPr>
      <w:r>
        <w:rPr>
          <w:b/>
          <w:color w:val="D4A017"/>
          <w:sz w:val="16"/>
        </w:rPr>
        <w:t xml:space="preserve">Réponse : </w:t>
      </w:r>
      <w:r>
        <w:rPr>
          <w:color w:val="1F2937"/>
          <w:sz w:val="16"/>
        </w:rPr>
        <w:t>L’article pose l’information claire comme première condition d’une rentrée réussie.</w:t>
      </w:r>
    </w:p>
    <w:p>
      <w:pPr>
        <w:pStyle w:val="Normal"/>
        <w:keepNext w:val="true"/>
        <w:keepLines/>
        <w:spacing w:before="40" w:after="0"/>
        <w:ind w:start="57"/>
        <w:rPr/>
      </w:pPr>
      <w:r>
        <w:rPr>
          <w:b/>
          <w:color w:val="0B3D91"/>
          <w:sz w:val="17"/>
        </w:rPr>
        <w:t>Q2. Quelle est l’idée centrale de « Une rentrée réussie commence par une information claire » ?</w:t>
      </w:r>
    </w:p>
    <w:p>
      <w:pPr>
        <w:pStyle w:val="Normal"/>
        <w:spacing w:before="0" w:after="40"/>
        <w:ind w:start="255"/>
        <w:rPr/>
      </w:pPr>
      <w:r>
        <w:rPr>
          <w:b/>
          <w:color w:val="D4A017"/>
          <w:sz w:val="16"/>
        </w:rPr>
        <w:t xml:space="preserve">Réponse : </w:t>
      </w:r>
      <w:r>
        <w:rPr>
          <w:color w:val="1F2937"/>
          <w:sz w:val="16"/>
        </w:rPr>
        <w:t>Comprendre les démarches permet aux familles de se préparer correctement.</w:t>
      </w:r>
    </w:p>
    <w:p>
      <w:pPr>
        <w:pStyle w:val="Normal"/>
        <w:keepNext w:val="true"/>
        <w:keepLines/>
        <w:spacing w:before="40" w:after="0"/>
        <w:ind w:start="57"/>
        <w:rPr/>
      </w:pPr>
      <w:r>
        <w:rPr>
          <w:b/>
          <w:color w:val="0B3D91"/>
          <w:sz w:val="17"/>
        </w:rPr>
        <w:t>Q3. Quels éléments sont explicitement développés sous « Une rentrée réussie commence par une information claire » ?</w:t>
      </w:r>
    </w:p>
    <w:p>
      <w:pPr>
        <w:pStyle w:val="Normal"/>
        <w:spacing w:before="0" w:after="40"/>
        <w:ind w:start="255"/>
        <w:rPr/>
      </w:pPr>
      <w:r>
        <w:rPr>
          <w:b/>
          <w:color w:val="D4A017"/>
          <w:sz w:val="16"/>
        </w:rPr>
        <w:t xml:space="preserve">Réponse : </w:t>
      </w:r>
      <w:r>
        <w:rPr>
          <w:color w:val="1F2937"/>
          <w:sz w:val="16"/>
        </w:rPr>
        <w:t>Clarté des informations, anticipation et réussite de la rentrée.</w:t>
      </w:r>
    </w:p>
    <w:p>
      <w:pPr>
        <w:pStyle w:val="Normal"/>
        <w:keepNext w:val="true"/>
        <w:keepLines/>
        <w:spacing w:before="40" w:after="0"/>
        <w:ind w:start="57"/>
        <w:rPr/>
      </w:pPr>
      <w:r>
        <w:rPr>
          <w:b/>
          <w:color w:val="0B3D91"/>
          <w:sz w:val="17"/>
        </w:rPr>
        <w:t>Q4. À quel public ou à quels acteurs « Une rentrée réussie commence par une information claire » s’adresse-t-il ?</w:t>
      </w:r>
    </w:p>
    <w:p>
      <w:pPr>
        <w:pStyle w:val="Normal"/>
        <w:spacing w:before="0" w:after="40"/>
        <w:ind w:start="255"/>
        <w:rPr/>
      </w:pPr>
      <w:r>
        <w:rPr>
          <w:b/>
          <w:color w:val="D4A017"/>
          <w:sz w:val="16"/>
        </w:rPr>
        <w:t xml:space="preserve">Réponse : </w:t>
      </w:r>
      <w:r>
        <w:rPr>
          <w:color w:val="1F2937"/>
          <w:sz w:val="16"/>
        </w:rPr>
        <w:t>Familles et service Admissions.</w:t>
      </w:r>
    </w:p>
    <w:p>
      <w:pPr>
        <w:pStyle w:val="Normal"/>
        <w:keepNext w:val="true"/>
        <w:keepLines/>
        <w:spacing w:before="40" w:after="0"/>
        <w:ind w:start="57"/>
        <w:rPr/>
      </w:pPr>
      <w:r>
        <w:rPr>
          <w:b/>
          <w:color w:val="0B3D91"/>
          <w:sz w:val="17"/>
        </w:rPr>
        <w:t>Q5. Quelle action ou conduite « Une rentrée réussie commence par une information claire » invite-t-il à adopter ?</w:t>
      </w:r>
    </w:p>
    <w:p>
      <w:pPr>
        <w:pStyle w:val="Normal"/>
        <w:spacing w:before="0" w:after="40"/>
        <w:ind w:start="255"/>
        <w:rPr/>
      </w:pPr>
      <w:r>
        <w:rPr>
          <w:b/>
          <w:color w:val="D4A017"/>
          <w:sz w:val="16"/>
        </w:rPr>
        <w:t xml:space="preserve">Réponse : </w:t>
      </w:r>
      <w:r>
        <w:rPr>
          <w:color w:val="1F2937"/>
          <w:sz w:val="16"/>
        </w:rPr>
        <w:t>Rechercher des informations officielles avant d’accomplir les démarches.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met en avant la transparence et la compréhension.</w:t>
      </w:r>
    </w:p>
    <w:p>
      <w:pPr>
        <w:pStyle w:val="Normal"/>
        <w:keepNext w:val="true"/>
        <w:keepLines/>
        <w:spacing w:before="40" w:after="0"/>
        <w:ind w:start="57"/>
        <w:rPr/>
      </w:pPr>
      <w:r>
        <w:rPr>
          <w:b/>
          <w:color w:val="0B3D91"/>
          <w:sz w:val="17"/>
        </w:rPr>
        <w:t>Q7. Quelle est l’importance de « Une rentrée réussie commence par une information claire » dans le projet du GSE ?</w:t>
      </w:r>
    </w:p>
    <w:p>
      <w:pPr>
        <w:pStyle w:val="Normal"/>
        <w:spacing w:before="0" w:after="40"/>
        <w:ind w:start="255"/>
        <w:rPr/>
      </w:pPr>
      <w:r>
        <w:rPr>
          <w:b/>
          <w:color w:val="D4A017"/>
          <w:sz w:val="16"/>
        </w:rPr>
        <w:t xml:space="preserve">Réponse : </w:t>
      </w:r>
      <w:r>
        <w:rPr>
          <w:color w:val="1F2937"/>
          <w:sz w:val="16"/>
        </w:rPr>
        <w:t>Une information claire limite les erreurs, les retards et les inquiétudes.</w:t>
      </w:r>
    </w:p>
    <w:p>
      <w:pPr>
        <w:pStyle w:val="Normal"/>
        <w:keepNext w:val="true"/>
        <w:keepLines/>
        <w:spacing w:before="40" w:after="0"/>
        <w:ind w:start="57"/>
        <w:rPr/>
      </w:pPr>
      <w:r>
        <w:rPr>
          <w:b/>
          <w:color w:val="0B3D91"/>
          <w:sz w:val="17"/>
        </w:rPr>
        <w:t>Q8. Quels liens « Une rentrée réussie commence par une information claire » entretient-il avec les autres pages ou services ?</w:t>
      </w:r>
    </w:p>
    <w:p>
      <w:pPr>
        <w:pStyle w:val="Normal"/>
        <w:spacing w:before="0" w:after="40"/>
        <w:ind w:start="255"/>
        <w:rPr/>
      </w:pPr>
      <w:r>
        <w:rPr>
          <w:b/>
          <w:color w:val="D4A017"/>
          <w:sz w:val="16"/>
        </w:rPr>
        <w:t xml:space="preserve">Réponse : </w:t>
      </w:r>
      <w:r>
        <w:rPr>
          <w:color w:val="1F2937"/>
          <w:sz w:val="16"/>
        </w:rPr>
        <w:t>Liens avec Documentation, FAQ, Admissions et ÉMINA.</w:t>
      </w:r>
    </w:p>
    <w:p>
      <w:pPr>
        <w:pStyle w:val="Normal"/>
        <w:keepNext w:val="true"/>
        <w:keepLines/>
        <w:spacing w:before="40" w:after="0"/>
        <w:ind w:start="57"/>
        <w:rPr/>
      </w:pPr>
      <w:r>
        <w:rPr>
          <w:b/>
          <w:color w:val="0B3D91"/>
          <w:sz w:val="17"/>
        </w:rPr>
        <w:t>Q9. Quelle précision, limite ou réserve faut-il conserver à propos de « Une rentrée réussie commence par une information claire » ?</w:t>
      </w:r>
    </w:p>
    <w:p>
      <w:pPr>
        <w:pStyle w:val="Normal"/>
        <w:spacing w:before="0" w:after="40"/>
        <w:ind w:start="255"/>
        <w:rPr/>
      </w:pPr>
      <w:r>
        <w:rPr>
          <w:b/>
          <w:color w:val="D4A017"/>
          <w:sz w:val="16"/>
        </w:rPr>
        <w:t xml:space="preserve">Réponse : </w:t>
      </w:r>
      <w:r>
        <w:rPr>
          <w:color w:val="1F2937"/>
          <w:sz w:val="16"/>
        </w:rPr>
        <w:t>L’information doit rester à jour et provenir des canaux officiels.</w:t>
      </w:r>
    </w:p>
    <w:p>
      <w:pPr>
        <w:pStyle w:val="Normal"/>
        <w:keepNext w:val="true"/>
        <w:keepLines/>
        <w:spacing w:before="40" w:after="0"/>
        <w:ind w:start="57"/>
        <w:rPr/>
      </w:pPr>
      <w:r>
        <w:rPr>
          <w:b/>
          <w:color w:val="0B3D91"/>
          <w:sz w:val="17"/>
        </w:rPr>
        <w:t>Q10. Quelle réponse essentielle faut-il retenir au sujet de « Une rentrée réussie commence par une information claire » ?</w:t>
      </w:r>
    </w:p>
    <w:p>
      <w:pPr>
        <w:pStyle w:val="Normal"/>
        <w:spacing w:before="0" w:after="40"/>
        <w:ind w:start="255"/>
        <w:rPr/>
      </w:pPr>
      <w:r>
        <w:rPr>
          <w:b/>
          <w:color w:val="D4A017"/>
          <w:sz w:val="16"/>
        </w:rPr>
        <w:t xml:space="preserve">Réponse : </w:t>
      </w:r>
      <w:r>
        <w:rPr>
          <w:color w:val="1F2937"/>
          <w:sz w:val="16"/>
        </w:rPr>
        <w:t>La clarté de l’information est le point de départ d’une rentrée bien préparée.</w:t>
      </w:r>
    </w:p>
    <w:p>
      <w:pPr>
        <w:pStyle w:val="Heading2"/>
        <w:keepNext w:val="true"/>
        <w:rPr/>
      </w:pPr>
      <w:r>
        <w:rPr/>
        <w:t>12. Accompagnement par le service Admissions</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service Admissions accompagne les familles dans plusieurs dimensions de la préparation de la rentrée.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identifie l’acteur institutionnel chargé de guider les familles.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Cet accompagnement améliore l’accueil, la conformité des dossiers et la relation école-famille.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Préinscription, Inscription définitive, Pièces à fournir et Contact.</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Service de référence</w:t>
      </w:r>
    </w:p>
    <w:p>
      <w:pPr>
        <w:pStyle w:val="ListBullet"/>
        <w:numPr>
          <w:ilvl w:val="0"/>
          <w:numId w:val="1"/>
        </w:numPr>
        <w:spacing w:before="0" w:after="20"/>
        <w:ind w:hanging="360" w:start="283"/>
        <w:contextualSpacing/>
        <w:rPr/>
      </w:pPr>
      <w:r>
        <w:rPr>
          <w:sz w:val="17"/>
        </w:rPr>
        <w:t>Guide des familles</w:t>
      </w:r>
    </w:p>
    <w:p>
      <w:pPr>
        <w:pStyle w:val="ListBullet"/>
        <w:numPr>
          <w:ilvl w:val="0"/>
          <w:numId w:val="1"/>
        </w:numPr>
        <w:spacing w:before="0" w:after="20"/>
        <w:ind w:hanging="360" w:start="283"/>
        <w:contextualSpacing/>
        <w:rPr/>
      </w:pPr>
      <w:r>
        <w:rPr>
          <w:sz w:val="17"/>
        </w:rPr>
        <w:t>Démarches d’inscription</w:t>
      </w:r>
    </w:p>
    <w:p>
      <w:pPr>
        <w:pStyle w:val="ListBullet"/>
        <w:numPr>
          <w:ilvl w:val="0"/>
          <w:numId w:val="1"/>
        </w:numPr>
        <w:spacing w:before="0" w:after="20"/>
        <w:ind w:hanging="360" w:start="283"/>
        <w:contextualSpacing/>
        <w:rPr/>
      </w:pPr>
      <w:r>
        <w:rPr>
          <w:sz w:val="17"/>
        </w:rPr>
        <w:t>Validation encadrée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Accompagnement par le service Admissions » ?</w:t>
      </w:r>
    </w:p>
    <w:p>
      <w:pPr>
        <w:pStyle w:val="Normal"/>
        <w:spacing w:before="0" w:after="40"/>
        <w:ind w:start="255"/>
        <w:rPr/>
      </w:pPr>
      <w:r>
        <w:rPr>
          <w:b/>
          <w:color w:val="D4A017"/>
          <w:sz w:val="16"/>
        </w:rPr>
        <w:t xml:space="preserve">Réponse : </w:t>
      </w:r>
      <w:r>
        <w:rPr>
          <w:color w:val="1F2937"/>
          <w:sz w:val="16"/>
        </w:rPr>
        <w:t>Le service Admissions accompagne les familles dans plusieurs dimensions de la préparation de la rentrée.</w:t>
      </w:r>
    </w:p>
    <w:p>
      <w:pPr>
        <w:pStyle w:val="Normal"/>
        <w:keepNext w:val="true"/>
        <w:keepLines/>
        <w:spacing w:before="40" w:after="0"/>
        <w:ind w:start="57"/>
        <w:rPr/>
      </w:pPr>
      <w:r>
        <w:rPr>
          <w:b/>
          <w:color w:val="0B3D91"/>
          <w:sz w:val="17"/>
        </w:rPr>
        <w:t>Q2. Quelle est l’idée centrale de « Accompagnement par le service Admissions » ?</w:t>
      </w:r>
    </w:p>
    <w:p>
      <w:pPr>
        <w:pStyle w:val="Normal"/>
        <w:spacing w:before="0" w:after="40"/>
        <w:ind w:start="255"/>
        <w:rPr/>
      </w:pPr>
      <w:r>
        <w:rPr>
          <w:b/>
          <w:color w:val="D4A017"/>
          <w:sz w:val="16"/>
        </w:rPr>
        <w:t xml:space="preserve">Réponse : </w:t>
      </w:r>
      <w:r>
        <w:rPr>
          <w:color w:val="1F2937"/>
          <w:sz w:val="16"/>
        </w:rPr>
        <w:t>L’école ne laisse pas les familles seules face aux démarches.</w:t>
      </w:r>
    </w:p>
    <w:p>
      <w:pPr>
        <w:pStyle w:val="Normal"/>
        <w:keepNext w:val="true"/>
        <w:keepLines/>
        <w:spacing w:before="40" w:after="0"/>
        <w:ind w:start="57"/>
        <w:rPr/>
      </w:pPr>
      <w:r>
        <w:rPr>
          <w:b/>
          <w:color w:val="0B3D91"/>
          <w:sz w:val="17"/>
        </w:rPr>
        <w:t>Q3. Quels éléments sont explicitement développés sous « Accompagnement par le service Admissions » ?</w:t>
      </w:r>
    </w:p>
    <w:p>
      <w:pPr>
        <w:pStyle w:val="Normal"/>
        <w:spacing w:before="0" w:after="40"/>
        <w:ind w:start="255"/>
        <w:rPr/>
      </w:pPr>
      <w:r>
        <w:rPr>
          <w:b/>
          <w:color w:val="D4A017"/>
          <w:sz w:val="16"/>
        </w:rPr>
        <w:t xml:space="preserve">Réponse : </w:t>
      </w:r>
      <w:r>
        <w:rPr>
          <w:color w:val="1F2937"/>
          <w:sz w:val="16"/>
        </w:rPr>
        <w:t>Orientation, explication, constitution du dossier et préparation pratique.</w:t>
      </w:r>
    </w:p>
    <w:p>
      <w:pPr>
        <w:pStyle w:val="Normal"/>
        <w:keepNext w:val="true"/>
        <w:keepLines/>
        <w:spacing w:before="40" w:after="0"/>
        <w:ind w:start="57"/>
        <w:rPr/>
      </w:pPr>
      <w:r>
        <w:rPr>
          <w:b/>
          <w:color w:val="0B3D91"/>
          <w:sz w:val="17"/>
        </w:rPr>
        <w:t>Q4. À quel public ou à quels acteurs « Accompagnement par le service Admissions » s’adresse-t-il ?</w:t>
      </w:r>
    </w:p>
    <w:p>
      <w:pPr>
        <w:pStyle w:val="Normal"/>
        <w:spacing w:before="0" w:after="40"/>
        <w:ind w:start="255"/>
        <w:rPr/>
      </w:pPr>
      <w:r>
        <w:rPr>
          <w:b/>
          <w:color w:val="D4A017"/>
          <w:sz w:val="16"/>
        </w:rPr>
        <w:t xml:space="preserve">Réponse : </w:t>
      </w:r>
      <w:r>
        <w:rPr>
          <w:color w:val="1F2937"/>
          <w:sz w:val="16"/>
        </w:rPr>
        <w:t>Familles candidates et agents du service Admissions.</w:t>
      </w:r>
    </w:p>
    <w:p>
      <w:pPr>
        <w:pStyle w:val="Normal"/>
        <w:keepNext w:val="true"/>
        <w:keepLines/>
        <w:spacing w:before="40" w:after="0"/>
        <w:ind w:start="57"/>
        <w:rPr/>
      </w:pPr>
      <w:r>
        <w:rPr>
          <w:b/>
          <w:color w:val="0B3D91"/>
          <w:sz w:val="17"/>
        </w:rPr>
        <w:t>Q5. Quelle action ou conduite « Accompagnement par le service Admissions » invite-t-il à adopter ?</w:t>
      </w:r>
    </w:p>
    <w:p>
      <w:pPr>
        <w:pStyle w:val="Normal"/>
        <w:spacing w:before="0" w:after="40"/>
        <w:ind w:start="255"/>
        <w:rPr/>
      </w:pPr>
      <w:r>
        <w:rPr>
          <w:b/>
          <w:color w:val="D4A017"/>
          <w:sz w:val="16"/>
        </w:rPr>
        <w:t xml:space="preserve">Réponse : </w:t>
      </w:r>
      <w:r>
        <w:rPr>
          <w:color w:val="1F2937"/>
          <w:sz w:val="16"/>
        </w:rPr>
        <w:t>Échanger avec le service Admissions pendant le parcours d’inscription.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identifie l’acteur institutionnel chargé de guider les familles.</w:t>
      </w:r>
    </w:p>
    <w:p>
      <w:pPr>
        <w:pStyle w:val="Normal"/>
        <w:keepNext w:val="true"/>
        <w:keepLines/>
        <w:spacing w:before="40" w:after="0"/>
        <w:ind w:start="57"/>
        <w:rPr/>
      </w:pPr>
      <w:r>
        <w:rPr>
          <w:b/>
          <w:color w:val="0B3D91"/>
          <w:sz w:val="17"/>
        </w:rPr>
        <w:t>Q7. Quelle est l’importance de « Accompagnement par le service Admissions » dans le projet du GSE ?</w:t>
      </w:r>
    </w:p>
    <w:p>
      <w:pPr>
        <w:pStyle w:val="Normal"/>
        <w:spacing w:before="0" w:after="40"/>
        <w:ind w:start="255"/>
        <w:rPr/>
      </w:pPr>
      <w:r>
        <w:rPr>
          <w:b/>
          <w:color w:val="D4A017"/>
          <w:sz w:val="16"/>
        </w:rPr>
        <w:t xml:space="preserve">Réponse : </w:t>
      </w:r>
      <w:r>
        <w:rPr>
          <w:color w:val="1F2937"/>
          <w:sz w:val="16"/>
        </w:rPr>
        <w:t>Cet accompagnement améliore l’accueil, la conformité des dossiers et la relation école-famille.</w:t>
      </w:r>
    </w:p>
    <w:p>
      <w:pPr>
        <w:pStyle w:val="Normal"/>
        <w:keepNext w:val="true"/>
        <w:keepLines/>
        <w:spacing w:before="40" w:after="0"/>
        <w:ind w:start="57"/>
        <w:rPr/>
      </w:pPr>
      <w:r>
        <w:rPr>
          <w:b/>
          <w:color w:val="0B3D91"/>
          <w:sz w:val="17"/>
        </w:rPr>
        <w:t>Q8. Quels liens « Accompagnement par le service Admissions » entretient-il avec les autres pages ou services ?</w:t>
      </w:r>
    </w:p>
    <w:p>
      <w:pPr>
        <w:pStyle w:val="Normal"/>
        <w:spacing w:before="0" w:after="40"/>
        <w:ind w:start="255"/>
        <w:rPr/>
      </w:pPr>
      <w:r>
        <w:rPr>
          <w:b/>
          <w:color w:val="D4A017"/>
          <w:sz w:val="16"/>
        </w:rPr>
        <w:t xml:space="preserve">Réponse : </w:t>
      </w:r>
      <w:r>
        <w:rPr>
          <w:color w:val="1F2937"/>
          <w:sz w:val="16"/>
        </w:rPr>
        <w:t>Liens avec Préinscription, Inscription définitive, Pièces à fournir et Contact.</w:t>
      </w:r>
    </w:p>
    <w:p>
      <w:pPr>
        <w:pStyle w:val="Normal"/>
        <w:keepNext w:val="true"/>
        <w:keepLines/>
        <w:spacing w:before="40" w:after="0"/>
        <w:ind w:start="57"/>
        <w:rPr/>
      </w:pPr>
      <w:r>
        <w:rPr>
          <w:b/>
          <w:color w:val="0B3D91"/>
          <w:sz w:val="17"/>
        </w:rPr>
        <w:t>Q9. Quelle précision, limite ou réserve faut-il conserver à propos de « Accompagnement par le service Admissions » ?</w:t>
      </w:r>
    </w:p>
    <w:p>
      <w:pPr>
        <w:pStyle w:val="Normal"/>
        <w:spacing w:before="0" w:after="40"/>
        <w:ind w:start="255"/>
        <w:rPr/>
      </w:pPr>
      <w:r>
        <w:rPr>
          <w:b/>
          <w:color w:val="D4A017"/>
          <w:sz w:val="16"/>
        </w:rPr>
        <w:t xml:space="preserve">Réponse : </w:t>
      </w:r>
      <w:r>
        <w:rPr>
          <w:color w:val="1F2937"/>
          <w:sz w:val="16"/>
        </w:rPr>
        <w:t>Le service accompagne, mais la validation reste soumise aux procédures et pièces requises.</w:t>
      </w:r>
    </w:p>
    <w:p>
      <w:pPr>
        <w:pStyle w:val="Normal"/>
        <w:keepNext w:val="true"/>
        <w:keepLines/>
        <w:spacing w:before="40" w:after="0"/>
        <w:ind w:start="57"/>
        <w:rPr/>
      </w:pPr>
      <w:r>
        <w:rPr>
          <w:b/>
          <w:color w:val="0B3D91"/>
          <w:sz w:val="17"/>
        </w:rPr>
        <w:t>Q10. Quelle réponse essentielle faut-il retenir au sujet de « Accompagnement par le service Admissions » ?</w:t>
      </w:r>
    </w:p>
    <w:p>
      <w:pPr>
        <w:pStyle w:val="Normal"/>
        <w:spacing w:before="0" w:after="40"/>
        <w:ind w:start="255"/>
        <w:rPr/>
      </w:pPr>
      <w:r>
        <w:rPr>
          <w:b/>
          <w:color w:val="D4A017"/>
          <w:sz w:val="16"/>
        </w:rPr>
        <w:t xml:space="preserve">Réponse : </w:t>
      </w:r>
      <w:r>
        <w:rPr>
          <w:color w:val="1F2937"/>
          <w:sz w:val="16"/>
        </w:rPr>
        <w:t>Admissions est le service de référence pour guider les familles vers une inscription complète.</w:t>
      </w:r>
    </w:p>
    <w:p>
      <w:pPr>
        <w:pStyle w:val="Heading2"/>
        <w:keepNext w:val="true"/>
        <w:rPr/>
      </w:pPr>
      <w:r>
        <w:rPr/>
        <w:t>13. Constitution du dossier</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L’accompagnement porte notamment sur la constitution du dossier d’admission.</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Ce titre met en évidence une étape centrale du parcours administratif.</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qualité du dossier conditionne la fluidité de l’étude et de la validation.</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Pièces à fournir, Inscription définitive et Confidentialité.</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Dossier d’admission</w:t>
      </w:r>
    </w:p>
    <w:p>
      <w:pPr>
        <w:pStyle w:val="ListBullet"/>
        <w:numPr>
          <w:ilvl w:val="0"/>
          <w:numId w:val="1"/>
        </w:numPr>
        <w:spacing w:before="0" w:after="20"/>
        <w:ind w:hanging="360" w:start="283"/>
        <w:contextualSpacing/>
        <w:rPr/>
      </w:pPr>
      <w:r>
        <w:rPr>
          <w:sz w:val="17"/>
        </w:rPr>
        <w:t>Pièces nécessaires</w:t>
      </w:r>
    </w:p>
    <w:p>
      <w:pPr>
        <w:pStyle w:val="ListBullet"/>
        <w:numPr>
          <w:ilvl w:val="0"/>
          <w:numId w:val="1"/>
        </w:numPr>
        <w:spacing w:before="0" w:after="20"/>
        <w:ind w:hanging="360" w:start="283"/>
        <w:contextualSpacing/>
        <w:rPr/>
      </w:pPr>
      <w:r>
        <w:rPr>
          <w:sz w:val="17"/>
        </w:rPr>
        <w:t>Vérification</w:t>
      </w:r>
    </w:p>
    <w:p>
      <w:pPr>
        <w:pStyle w:val="ListBullet"/>
        <w:numPr>
          <w:ilvl w:val="0"/>
          <w:numId w:val="1"/>
        </w:numPr>
        <w:spacing w:before="0" w:after="20"/>
        <w:ind w:hanging="360" w:start="283"/>
        <w:contextualSpacing/>
        <w:rPr/>
      </w:pPr>
      <w:r>
        <w:rPr>
          <w:sz w:val="17"/>
        </w:rPr>
        <w:t>Dépôt organisé</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Constitution du dossier » ?</w:t>
      </w:r>
    </w:p>
    <w:p>
      <w:pPr>
        <w:pStyle w:val="Normal"/>
        <w:spacing w:before="0" w:after="40"/>
        <w:ind w:start="255"/>
        <w:rPr/>
      </w:pPr>
      <w:r>
        <w:rPr>
          <w:b/>
          <w:color w:val="D4A017"/>
          <w:sz w:val="16"/>
        </w:rPr>
        <w:t xml:space="preserve">Réponse : </w:t>
      </w:r>
      <w:r>
        <w:rPr>
          <w:color w:val="1F2937"/>
          <w:sz w:val="16"/>
        </w:rPr>
        <w:t>L’accompagnement porte notamment sur la constitution du dossier d’admission.</w:t>
      </w:r>
    </w:p>
    <w:p>
      <w:pPr>
        <w:pStyle w:val="Normal"/>
        <w:keepNext w:val="true"/>
        <w:keepLines/>
        <w:spacing w:before="40" w:after="0"/>
        <w:ind w:start="57"/>
        <w:rPr/>
      </w:pPr>
      <w:r>
        <w:rPr>
          <w:b/>
          <w:color w:val="0B3D91"/>
          <w:sz w:val="17"/>
        </w:rPr>
        <w:t>Q2. Quelle est l’idée centrale de « Constitution du dossier » ?</w:t>
      </w:r>
    </w:p>
    <w:p>
      <w:pPr>
        <w:pStyle w:val="Normal"/>
        <w:spacing w:before="0" w:after="40"/>
        <w:ind w:start="255"/>
        <w:rPr/>
      </w:pPr>
      <w:r>
        <w:rPr>
          <w:b/>
          <w:color w:val="D4A017"/>
          <w:sz w:val="16"/>
        </w:rPr>
        <w:t xml:space="preserve">Réponse : </w:t>
      </w:r>
      <w:r>
        <w:rPr>
          <w:color w:val="1F2937"/>
          <w:sz w:val="16"/>
        </w:rPr>
        <w:t>Un dossier organisé rassemble les informations et pièces nécessaires à l’inscription.</w:t>
      </w:r>
    </w:p>
    <w:p>
      <w:pPr>
        <w:pStyle w:val="Normal"/>
        <w:keepNext w:val="true"/>
        <w:keepLines/>
        <w:spacing w:before="40" w:after="0"/>
        <w:ind w:start="57"/>
        <w:rPr/>
      </w:pPr>
      <w:r>
        <w:rPr>
          <w:b/>
          <w:color w:val="0B3D91"/>
          <w:sz w:val="17"/>
        </w:rPr>
        <w:t>Q3. Quels éléments sont explicitement développés sous « Constitution du dossier » ?</w:t>
      </w:r>
    </w:p>
    <w:p>
      <w:pPr>
        <w:pStyle w:val="Normal"/>
        <w:spacing w:before="0" w:after="40"/>
        <w:ind w:start="255"/>
        <w:rPr/>
      </w:pPr>
      <w:r>
        <w:rPr>
          <w:b/>
          <w:color w:val="D4A017"/>
          <w:sz w:val="16"/>
        </w:rPr>
        <w:t xml:space="preserve">Réponse : </w:t>
      </w:r>
      <w:r>
        <w:rPr>
          <w:color w:val="1F2937"/>
          <w:sz w:val="16"/>
        </w:rPr>
        <w:t>Collecte, vérification et dépôt des éléments demandés.</w:t>
      </w:r>
    </w:p>
    <w:p>
      <w:pPr>
        <w:pStyle w:val="Normal"/>
        <w:keepNext w:val="true"/>
        <w:keepLines/>
        <w:spacing w:before="40" w:after="0"/>
        <w:ind w:start="57"/>
        <w:rPr/>
      </w:pPr>
      <w:r>
        <w:rPr>
          <w:b/>
          <w:color w:val="0B3D91"/>
          <w:sz w:val="17"/>
        </w:rPr>
        <w:t>Q4. À quel public ou à quels acteurs « Constitution du dossier » s’adresse-t-il ?</w:t>
      </w:r>
    </w:p>
    <w:p>
      <w:pPr>
        <w:pStyle w:val="Normal"/>
        <w:spacing w:before="0" w:after="40"/>
        <w:ind w:start="255"/>
        <w:rPr/>
      </w:pPr>
      <w:r>
        <w:rPr>
          <w:b/>
          <w:color w:val="D4A017"/>
          <w:sz w:val="16"/>
        </w:rPr>
        <w:t xml:space="preserve">Réponse : </w:t>
      </w:r>
      <w:r>
        <w:rPr>
          <w:color w:val="1F2937"/>
          <w:sz w:val="16"/>
        </w:rPr>
        <w:t>Parents, responsables légaux et service Admissions.</w:t>
      </w:r>
    </w:p>
    <w:p>
      <w:pPr>
        <w:pStyle w:val="Normal"/>
        <w:keepNext w:val="true"/>
        <w:keepLines/>
        <w:spacing w:before="40" w:after="0"/>
        <w:ind w:start="57"/>
        <w:rPr/>
      </w:pPr>
      <w:r>
        <w:rPr>
          <w:b/>
          <w:color w:val="0B3D91"/>
          <w:sz w:val="17"/>
        </w:rPr>
        <w:t>Q5. Quelle action ou conduite « Constitution du dossier » invite-t-il à adopter ?</w:t>
      </w:r>
    </w:p>
    <w:p>
      <w:pPr>
        <w:pStyle w:val="Normal"/>
        <w:spacing w:before="0" w:after="40"/>
        <w:ind w:start="255"/>
        <w:rPr/>
      </w:pPr>
      <w:r>
        <w:rPr>
          <w:b/>
          <w:color w:val="D4A017"/>
          <w:sz w:val="16"/>
        </w:rPr>
        <w:t xml:space="preserve">Réponse : </w:t>
      </w:r>
      <w:r>
        <w:rPr>
          <w:color w:val="1F2937"/>
          <w:sz w:val="16"/>
        </w:rPr>
        <w:t>Préparer et compléter les pièces selon les instructions officielles.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Ce titre met en évidence une étape centrale du parcours administratif.</w:t>
      </w:r>
    </w:p>
    <w:p>
      <w:pPr>
        <w:pStyle w:val="Normal"/>
        <w:keepNext w:val="true"/>
        <w:keepLines/>
        <w:spacing w:before="40" w:after="0"/>
        <w:ind w:start="57"/>
        <w:rPr/>
      </w:pPr>
      <w:r>
        <w:rPr>
          <w:b/>
          <w:color w:val="0B3D91"/>
          <w:sz w:val="17"/>
        </w:rPr>
        <w:t>Q7. Quelle est l’importance de « Constitution du dossier » dans le projet du GSE ?</w:t>
      </w:r>
    </w:p>
    <w:p>
      <w:pPr>
        <w:pStyle w:val="Normal"/>
        <w:spacing w:before="0" w:after="40"/>
        <w:ind w:start="255"/>
        <w:rPr/>
      </w:pPr>
      <w:r>
        <w:rPr>
          <w:b/>
          <w:color w:val="D4A017"/>
          <w:sz w:val="16"/>
        </w:rPr>
        <w:t xml:space="preserve">Réponse : </w:t>
      </w:r>
      <w:r>
        <w:rPr>
          <w:color w:val="1F2937"/>
          <w:sz w:val="16"/>
        </w:rPr>
        <w:t>La qualité du dossier conditionne la fluidité de l’étude et de la validation.</w:t>
      </w:r>
    </w:p>
    <w:p>
      <w:pPr>
        <w:pStyle w:val="Normal"/>
        <w:keepNext w:val="true"/>
        <w:keepLines/>
        <w:spacing w:before="40" w:after="0"/>
        <w:ind w:start="57"/>
        <w:rPr/>
      </w:pPr>
      <w:r>
        <w:rPr>
          <w:b/>
          <w:color w:val="0B3D91"/>
          <w:sz w:val="17"/>
        </w:rPr>
        <w:t>Q8. Quels liens « Constitution du dossier » entretient-il avec les autres pages ou services ?</w:t>
      </w:r>
    </w:p>
    <w:p>
      <w:pPr>
        <w:pStyle w:val="Normal"/>
        <w:spacing w:before="0" w:after="40"/>
        <w:ind w:start="255"/>
        <w:rPr/>
      </w:pPr>
      <w:r>
        <w:rPr>
          <w:b/>
          <w:color w:val="D4A017"/>
          <w:sz w:val="16"/>
        </w:rPr>
        <w:t xml:space="preserve">Réponse : </w:t>
      </w:r>
      <w:r>
        <w:rPr>
          <w:color w:val="1F2937"/>
          <w:sz w:val="16"/>
        </w:rPr>
        <w:t>Liens avec Pièces à fournir, Inscription définitive et Confidentialité.</w:t>
      </w:r>
    </w:p>
    <w:p>
      <w:pPr>
        <w:pStyle w:val="Normal"/>
        <w:keepNext w:val="true"/>
        <w:keepLines/>
        <w:spacing w:before="40" w:after="0"/>
        <w:ind w:start="57"/>
        <w:rPr/>
      </w:pPr>
      <w:r>
        <w:rPr>
          <w:b/>
          <w:color w:val="0B3D91"/>
          <w:sz w:val="17"/>
        </w:rPr>
        <w:t>Q9. Quelle précision, limite ou réserve faut-il conserver à propos de « Constitution du dossier » ?</w:t>
      </w:r>
    </w:p>
    <w:p>
      <w:pPr>
        <w:pStyle w:val="Normal"/>
        <w:spacing w:before="0" w:after="40"/>
        <w:ind w:start="255"/>
        <w:rPr/>
      </w:pPr>
      <w:r>
        <w:rPr>
          <w:b/>
          <w:color w:val="D4A017"/>
          <w:sz w:val="16"/>
        </w:rPr>
        <w:t xml:space="preserve">Réponse : </w:t>
      </w:r>
      <w:r>
        <w:rPr>
          <w:color w:val="1F2937"/>
          <w:sz w:val="16"/>
        </w:rPr>
        <w:t>L’article ne dresse pas la liste complète des pièces ; cette liste figure dans la page spécialisée.</w:t>
      </w:r>
    </w:p>
    <w:p>
      <w:pPr>
        <w:pStyle w:val="Normal"/>
        <w:keepNext w:val="true"/>
        <w:keepLines/>
        <w:spacing w:before="40" w:after="0"/>
        <w:ind w:start="57"/>
        <w:rPr/>
      </w:pPr>
      <w:r>
        <w:rPr>
          <w:b/>
          <w:color w:val="0B3D91"/>
          <w:sz w:val="17"/>
        </w:rPr>
        <w:t>Q10. Quelle réponse essentielle faut-il retenir au sujet de « Constitution du dossier » ?</w:t>
      </w:r>
    </w:p>
    <w:p>
      <w:pPr>
        <w:pStyle w:val="Normal"/>
        <w:spacing w:before="0" w:after="40"/>
        <w:ind w:start="255"/>
        <w:rPr/>
      </w:pPr>
      <w:r>
        <w:rPr>
          <w:b/>
          <w:color w:val="D4A017"/>
          <w:sz w:val="16"/>
        </w:rPr>
        <w:t xml:space="preserve">Réponse : </w:t>
      </w:r>
      <w:r>
        <w:rPr>
          <w:color w:val="1F2937"/>
          <w:sz w:val="16"/>
        </w:rPr>
        <w:t>La constitution du dossier doit être méthodique et conforme aux exigences publiées.</w:t>
      </w:r>
    </w:p>
    <w:p>
      <w:pPr>
        <w:pStyle w:val="Heading2"/>
        <w:keepNext w:val="true"/>
        <w:rPr/>
      </w:pPr>
      <w:r>
        <w:rPr/>
        <w:t>14. Compréhension des frais</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service Admissions aide les familles à comprendre les frais liés à la scolarité et à l’inscription.</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insiste sur la transparence plutôt que sur une simple annonce de montants.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renforce la confiance et réduit les malentendus financiers.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Frais et modalités de paiement, Admissions et reçus officiels.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Transparence financière</w:t>
      </w:r>
    </w:p>
    <w:p>
      <w:pPr>
        <w:pStyle w:val="ListBullet"/>
        <w:numPr>
          <w:ilvl w:val="0"/>
          <w:numId w:val="1"/>
        </w:numPr>
        <w:spacing w:before="0" w:after="20"/>
        <w:ind w:hanging="360" w:start="283"/>
        <w:contextualSpacing/>
        <w:rPr/>
      </w:pPr>
      <w:r>
        <w:rPr>
          <w:sz w:val="17"/>
        </w:rPr>
        <w:t>Modalités</w:t>
      </w:r>
    </w:p>
    <w:p>
      <w:pPr>
        <w:pStyle w:val="ListBullet"/>
        <w:numPr>
          <w:ilvl w:val="0"/>
          <w:numId w:val="1"/>
        </w:numPr>
        <w:spacing w:before="0" w:after="20"/>
        <w:ind w:hanging="360" w:start="283"/>
        <w:contextualSpacing/>
        <w:rPr/>
      </w:pPr>
      <w:r>
        <w:rPr>
          <w:sz w:val="17"/>
        </w:rPr>
        <w:t>Décision éclairée</w:t>
      </w:r>
    </w:p>
    <w:p>
      <w:pPr>
        <w:pStyle w:val="ListBullet"/>
        <w:numPr>
          <w:ilvl w:val="0"/>
          <w:numId w:val="1"/>
        </w:numPr>
        <w:spacing w:before="0" w:after="20"/>
        <w:ind w:hanging="360" w:start="283"/>
        <w:contextualSpacing/>
        <w:rPr/>
      </w:pPr>
      <w:r>
        <w:rPr>
          <w:sz w:val="17"/>
        </w:rPr>
        <w:t>Canaux officiels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Compréhension des frais » ?</w:t>
      </w:r>
    </w:p>
    <w:p>
      <w:pPr>
        <w:pStyle w:val="Normal"/>
        <w:spacing w:before="0" w:after="40"/>
        <w:ind w:start="255"/>
        <w:rPr/>
      </w:pPr>
      <w:r>
        <w:rPr>
          <w:b/>
          <w:color w:val="D4A017"/>
          <w:sz w:val="16"/>
        </w:rPr>
        <w:t xml:space="preserve">Réponse : </w:t>
      </w:r>
      <w:r>
        <w:rPr>
          <w:color w:val="1F2937"/>
          <w:sz w:val="16"/>
        </w:rPr>
        <w:t>Le service Admissions aide les familles à comprendre les frais liés à la scolarité et à l’inscription.</w:t>
      </w:r>
    </w:p>
    <w:p>
      <w:pPr>
        <w:pStyle w:val="Normal"/>
        <w:keepNext w:val="true"/>
        <w:keepLines/>
        <w:spacing w:before="40" w:after="0"/>
        <w:ind w:start="57"/>
        <w:rPr/>
      </w:pPr>
      <w:r>
        <w:rPr>
          <w:b/>
          <w:color w:val="0B3D91"/>
          <w:sz w:val="17"/>
        </w:rPr>
        <w:t>Q2. Quelle est l’idée centrale de « Compréhension des frais » ?</w:t>
      </w:r>
    </w:p>
    <w:p>
      <w:pPr>
        <w:pStyle w:val="Normal"/>
        <w:spacing w:before="0" w:after="40"/>
        <w:ind w:start="255"/>
        <w:rPr/>
      </w:pPr>
      <w:r>
        <w:rPr>
          <w:b/>
          <w:color w:val="D4A017"/>
          <w:sz w:val="16"/>
        </w:rPr>
        <w:t xml:space="preserve">Réponse : </w:t>
      </w:r>
      <w:r>
        <w:rPr>
          <w:color w:val="1F2937"/>
          <w:sz w:val="16"/>
        </w:rPr>
        <w:t>La compréhension financière favorise une décision éclairée et une planification responsable.</w:t>
      </w:r>
    </w:p>
    <w:p>
      <w:pPr>
        <w:pStyle w:val="Normal"/>
        <w:keepNext w:val="true"/>
        <w:keepLines/>
        <w:spacing w:before="40" w:after="0"/>
        <w:ind w:start="57"/>
        <w:rPr/>
      </w:pPr>
      <w:r>
        <w:rPr>
          <w:b/>
          <w:color w:val="0B3D91"/>
          <w:sz w:val="17"/>
        </w:rPr>
        <w:t>Q3. Quels éléments sont explicitement développés sous « Compréhension des frais » ?</w:t>
      </w:r>
    </w:p>
    <w:p>
      <w:pPr>
        <w:pStyle w:val="Normal"/>
        <w:spacing w:before="0" w:after="40"/>
        <w:ind w:start="255"/>
        <w:rPr/>
      </w:pPr>
      <w:r>
        <w:rPr>
          <w:b/>
          <w:color w:val="D4A017"/>
          <w:sz w:val="16"/>
        </w:rPr>
        <w:t xml:space="preserve">Réponse : </w:t>
      </w:r>
      <w:r>
        <w:rPr>
          <w:color w:val="1F2937"/>
          <w:sz w:val="16"/>
        </w:rPr>
        <w:t>Nature des frais, modalités et explications fournies par les canaux officiels.</w:t>
      </w:r>
    </w:p>
    <w:p>
      <w:pPr>
        <w:pStyle w:val="Normal"/>
        <w:keepNext w:val="true"/>
        <w:keepLines/>
        <w:spacing w:before="40" w:after="0"/>
        <w:ind w:start="57"/>
        <w:rPr/>
      </w:pPr>
      <w:r>
        <w:rPr>
          <w:b/>
          <w:color w:val="0B3D91"/>
          <w:sz w:val="17"/>
        </w:rPr>
        <w:t>Q4. À quel public ou à quels acteurs « Compréhension des frais » s’adresse-t-il ?</w:t>
      </w:r>
    </w:p>
    <w:p>
      <w:pPr>
        <w:pStyle w:val="Normal"/>
        <w:spacing w:before="0" w:after="40"/>
        <w:ind w:start="255"/>
        <w:rPr/>
      </w:pPr>
      <w:r>
        <w:rPr>
          <w:b/>
          <w:color w:val="D4A017"/>
          <w:sz w:val="16"/>
        </w:rPr>
        <w:t xml:space="preserve">Réponse : </w:t>
      </w:r>
      <w:r>
        <w:rPr>
          <w:color w:val="1F2937"/>
          <w:sz w:val="16"/>
        </w:rPr>
        <w:t>Parents, responsables financiers et service Admissions.</w:t>
      </w:r>
    </w:p>
    <w:p>
      <w:pPr>
        <w:pStyle w:val="Normal"/>
        <w:keepNext w:val="true"/>
        <w:keepLines/>
        <w:spacing w:before="40" w:after="0"/>
        <w:ind w:start="57"/>
        <w:rPr/>
      </w:pPr>
      <w:r>
        <w:rPr>
          <w:b/>
          <w:color w:val="0B3D91"/>
          <w:sz w:val="17"/>
        </w:rPr>
        <w:t>Q5. Quelle action ou conduite « Compréhension des frais » invite-t-il à adopter ?</w:t>
      </w:r>
    </w:p>
    <w:p>
      <w:pPr>
        <w:pStyle w:val="Normal"/>
        <w:spacing w:before="0" w:after="40"/>
        <w:ind w:start="255"/>
        <w:rPr/>
      </w:pPr>
      <w:r>
        <w:rPr>
          <w:b/>
          <w:color w:val="D4A017"/>
          <w:sz w:val="16"/>
        </w:rPr>
        <w:t xml:space="preserve">Réponse : </w:t>
      </w:r>
      <w:r>
        <w:rPr>
          <w:color w:val="1F2937"/>
          <w:sz w:val="16"/>
        </w:rPr>
        <w:t>Consulter la page officielle des frais et demander des précisions en cas de doute.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insiste sur la transparence plutôt que sur une simple annonce de montants.</w:t>
      </w:r>
    </w:p>
    <w:p>
      <w:pPr>
        <w:pStyle w:val="Normal"/>
        <w:keepNext w:val="true"/>
        <w:keepLines/>
        <w:spacing w:before="40" w:after="0"/>
        <w:ind w:start="57"/>
        <w:rPr/>
      </w:pPr>
      <w:r>
        <w:rPr>
          <w:b/>
          <w:color w:val="0B3D91"/>
          <w:sz w:val="17"/>
        </w:rPr>
        <w:t>Q7. Quelle est l’importance de « Compréhension des frais » dans le projet du GSE ?</w:t>
      </w:r>
    </w:p>
    <w:p>
      <w:pPr>
        <w:pStyle w:val="Normal"/>
        <w:spacing w:before="0" w:after="40"/>
        <w:ind w:start="255"/>
        <w:rPr/>
      </w:pPr>
      <w:r>
        <w:rPr>
          <w:b/>
          <w:color w:val="D4A017"/>
          <w:sz w:val="16"/>
        </w:rPr>
        <w:t xml:space="preserve">Réponse : </w:t>
      </w:r>
      <w:r>
        <w:rPr>
          <w:color w:val="1F2937"/>
          <w:sz w:val="16"/>
        </w:rPr>
        <w:t>Il renforce la confiance et réduit les malentendus financiers.</w:t>
      </w:r>
    </w:p>
    <w:p>
      <w:pPr>
        <w:pStyle w:val="Normal"/>
        <w:keepNext w:val="true"/>
        <w:keepLines/>
        <w:spacing w:before="40" w:after="0"/>
        <w:ind w:start="57"/>
        <w:rPr/>
      </w:pPr>
      <w:r>
        <w:rPr>
          <w:b/>
          <w:color w:val="0B3D91"/>
          <w:sz w:val="17"/>
        </w:rPr>
        <w:t>Q8. Quels liens « Compréhension des frais » entretient-il avec les autres pages ou services ?</w:t>
      </w:r>
    </w:p>
    <w:p>
      <w:pPr>
        <w:pStyle w:val="Normal"/>
        <w:spacing w:before="0" w:after="40"/>
        <w:ind w:start="255"/>
        <w:rPr/>
      </w:pPr>
      <w:r>
        <w:rPr>
          <w:b/>
          <w:color w:val="D4A017"/>
          <w:sz w:val="16"/>
        </w:rPr>
        <w:t xml:space="preserve">Réponse : </w:t>
      </w:r>
      <w:r>
        <w:rPr>
          <w:color w:val="1F2937"/>
          <w:sz w:val="16"/>
        </w:rPr>
        <w:t>Liens avec Frais et modalités de paiement, Admissions et reçus officiels.</w:t>
      </w:r>
    </w:p>
    <w:p>
      <w:pPr>
        <w:pStyle w:val="Normal"/>
        <w:keepNext w:val="true"/>
        <w:keepLines/>
        <w:spacing w:before="40" w:after="0"/>
        <w:ind w:start="57"/>
        <w:rPr/>
      </w:pPr>
      <w:r>
        <w:rPr>
          <w:b/>
          <w:color w:val="0B3D91"/>
          <w:sz w:val="17"/>
        </w:rPr>
        <w:t>Q9. Quelle précision, limite ou réserve faut-il conserver à propos de « Compréhension des frais » ?</w:t>
      </w:r>
    </w:p>
    <w:p>
      <w:pPr>
        <w:pStyle w:val="Normal"/>
        <w:spacing w:before="0" w:after="40"/>
        <w:ind w:start="255"/>
        <w:rPr/>
      </w:pPr>
      <w:r>
        <w:rPr>
          <w:b/>
          <w:color w:val="D4A017"/>
          <w:sz w:val="16"/>
        </w:rPr>
        <w:t xml:space="preserve">Réponse : </w:t>
      </w:r>
      <w:r>
        <w:rPr>
          <w:color w:val="1F2937"/>
          <w:sz w:val="16"/>
        </w:rPr>
        <w:t>Les montants et modalités doivent être vérifiés sur la page officielle au moment du paiement.</w:t>
      </w:r>
    </w:p>
    <w:p>
      <w:pPr>
        <w:pStyle w:val="Normal"/>
        <w:keepNext w:val="true"/>
        <w:keepLines/>
        <w:spacing w:before="40" w:after="0"/>
        <w:ind w:start="57"/>
        <w:rPr/>
      </w:pPr>
      <w:r>
        <w:rPr>
          <w:b/>
          <w:color w:val="0B3D91"/>
          <w:sz w:val="17"/>
        </w:rPr>
        <w:t>Q10. Quelle réponse essentielle faut-il retenir au sujet de « Compréhension des frais » ?</w:t>
      </w:r>
    </w:p>
    <w:p>
      <w:pPr>
        <w:pStyle w:val="Normal"/>
        <w:spacing w:before="0" w:after="40"/>
        <w:ind w:start="255"/>
        <w:rPr/>
      </w:pPr>
      <w:r>
        <w:rPr>
          <w:b/>
          <w:color w:val="D4A017"/>
          <w:sz w:val="16"/>
        </w:rPr>
        <w:t xml:space="preserve">Réponse : </w:t>
      </w:r>
      <w:r>
        <w:rPr>
          <w:color w:val="1F2937"/>
          <w:sz w:val="16"/>
        </w:rPr>
        <w:t>Les familles doivent comprendre les frais avant de finaliser leur engagement.</w:t>
      </w:r>
    </w:p>
    <w:p>
      <w:pPr>
        <w:pStyle w:val="Heading2"/>
        <w:keepNext w:val="true"/>
        <w:rPr/>
      </w:pPr>
      <w:r>
        <w:rPr/>
        <w:t>15. Préparation des uniformes</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préparation de la rentrée comprend l’anticipation des uniformes scolaires.</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traduit une dimension concrète et visible de la rentrée.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favorise l’égalité de présentation, l’appartenance et la discipline organisationnelle.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Vie scolaire, identité visuelle et règlement intérieur.</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Tenue officielle</w:t>
      </w:r>
    </w:p>
    <w:p>
      <w:pPr>
        <w:pStyle w:val="ListBullet"/>
        <w:numPr>
          <w:ilvl w:val="0"/>
          <w:numId w:val="1"/>
        </w:numPr>
        <w:spacing w:before="0" w:after="20"/>
        <w:ind w:hanging="360" w:start="283"/>
        <w:contextualSpacing/>
        <w:rPr/>
      </w:pPr>
      <w:r>
        <w:rPr>
          <w:sz w:val="17"/>
        </w:rPr>
        <w:t>Préparation matérielle</w:t>
      </w:r>
    </w:p>
    <w:p>
      <w:pPr>
        <w:pStyle w:val="ListBullet"/>
        <w:numPr>
          <w:ilvl w:val="0"/>
          <w:numId w:val="1"/>
        </w:numPr>
        <w:spacing w:before="0" w:after="20"/>
        <w:ind w:hanging="360" w:start="283"/>
        <w:contextualSpacing/>
        <w:rPr/>
      </w:pPr>
      <w:r>
        <w:rPr>
          <w:sz w:val="17"/>
        </w:rPr>
        <w:t>Identité scolaire</w:t>
      </w:r>
    </w:p>
    <w:p>
      <w:pPr>
        <w:pStyle w:val="ListBullet"/>
        <w:numPr>
          <w:ilvl w:val="0"/>
          <w:numId w:val="1"/>
        </w:numPr>
        <w:spacing w:before="0" w:after="20"/>
        <w:ind w:hanging="360" w:start="283"/>
        <w:contextualSpacing/>
        <w:rPr/>
      </w:pPr>
      <w:r>
        <w:rPr>
          <w:sz w:val="17"/>
        </w:rPr>
        <w:t>Consignes à vérifier</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Préparation des uniformes » ?</w:t>
      </w:r>
    </w:p>
    <w:p>
      <w:pPr>
        <w:pStyle w:val="Normal"/>
        <w:spacing w:before="0" w:after="40"/>
        <w:ind w:start="255"/>
        <w:rPr/>
      </w:pPr>
      <w:r>
        <w:rPr>
          <w:b/>
          <w:color w:val="D4A017"/>
          <w:sz w:val="16"/>
        </w:rPr>
        <w:t xml:space="preserve">Réponse : </w:t>
      </w:r>
      <w:r>
        <w:rPr>
          <w:color w:val="1F2937"/>
          <w:sz w:val="16"/>
        </w:rPr>
        <w:t>La préparation de la rentrée comprend l’anticipation des uniformes scolaires.</w:t>
      </w:r>
    </w:p>
    <w:p>
      <w:pPr>
        <w:pStyle w:val="Normal"/>
        <w:keepNext w:val="true"/>
        <w:keepLines/>
        <w:spacing w:before="40" w:after="0"/>
        <w:ind w:start="57"/>
        <w:rPr/>
      </w:pPr>
      <w:r>
        <w:rPr>
          <w:b/>
          <w:color w:val="0B3D91"/>
          <w:sz w:val="17"/>
        </w:rPr>
        <w:t>Q2. Quelle est l’idée centrale de « Préparation des uniformes » ?</w:t>
      </w:r>
    </w:p>
    <w:p>
      <w:pPr>
        <w:pStyle w:val="Normal"/>
        <w:spacing w:before="0" w:after="40"/>
        <w:ind w:start="255"/>
        <w:rPr/>
      </w:pPr>
      <w:r>
        <w:rPr>
          <w:b/>
          <w:color w:val="D4A017"/>
          <w:sz w:val="16"/>
        </w:rPr>
        <w:t xml:space="preserve">Réponse : </w:t>
      </w:r>
      <w:r>
        <w:rPr>
          <w:color w:val="1F2937"/>
          <w:sz w:val="16"/>
        </w:rPr>
        <w:t>L’uniforme participe à l’identité, à l’organisation et à la préparation matérielle de l’élève.</w:t>
      </w:r>
    </w:p>
    <w:p>
      <w:pPr>
        <w:pStyle w:val="Normal"/>
        <w:keepNext w:val="true"/>
        <w:keepLines/>
        <w:spacing w:before="40" w:after="0"/>
        <w:ind w:start="57"/>
        <w:rPr/>
      </w:pPr>
      <w:r>
        <w:rPr>
          <w:b/>
          <w:color w:val="0B3D91"/>
          <w:sz w:val="17"/>
        </w:rPr>
        <w:t>Q3. Quels éléments sont explicitement développés sous « Préparation des uniformes » ?</w:t>
      </w:r>
    </w:p>
    <w:p>
      <w:pPr>
        <w:pStyle w:val="Normal"/>
        <w:spacing w:before="0" w:after="40"/>
        <w:ind w:start="255"/>
        <w:rPr/>
      </w:pPr>
      <w:r>
        <w:rPr>
          <w:b/>
          <w:color w:val="D4A017"/>
          <w:sz w:val="16"/>
        </w:rPr>
        <w:t xml:space="preserve">Réponse : </w:t>
      </w:r>
      <w:r>
        <w:rPr>
          <w:color w:val="1F2937"/>
          <w:sz w:val="16"/>
        </w:rPr>
        <w:t>Information sur la tenue, préparation avant la rentrée et conformité aux indications de l’école.</w:t>
      </w:r>
    </w:p>
    <w:p>
      <w:pPr>
        <w:pStyle w:val="Normal"/>
        <w:keepNext w:val="true"/>
        <w:keepLines/>
        <w:spacing w:before="40" w:after="0"/>
        <w:ind w:start="57"/>
        <w:rPr/>
      </w:pPr>
      <w:r>
        <w:rPr>
          <w:b/>
          <w:color w:val="0B3D91"/>
          <w:sz w:val="17"/>
        </w:rPr>
        <w:t>Q4. À quel public ou à quels acteurs « Préparation des uniformes » s’adresse-t-il ?</w:t>
      </w:r>
    </w:p>
    <w:p>
      <w:pPr>
        <w:pStyle w:val="Normal"/>
        <w:spacing w:before="0" w:after="40"/>
        <w:ind w:start="255"/>
        <w:rPr/>
      </w:pPr>
      <w:r>
        <w:rPr>
          <w:b/>
          <w:color w:val="D4A017"/>
          <w:sz w:val="16"/>
        </w:rPr>
        <w:t xml:space="preserve">Réponse : </w:t>
      </w:r>
      <w:r>
        <w:rPr>
          <w:color w:val="1F2937"/>
          <w:sz w:val="16"/>
        </w:rPr>
        <w:t>Élèves, parents et responsables de la vie scolaire.</w:t>
      </w:r>
    </w:p>
    <w:p>
      <w:pPr>
        <w:pStyle w:val="Normal"/>
        <w:keepNext w:val="true"/>
        <w:keepLines/>
        <w:spacing w:before="40" w:after="0"/>
        <w:ind w:start="57"/>
        <w:rPr/>
      </w:pPr>
      <w:r>
        <w:rPr>
          <w:b/>
          <w:color w:val="0B3D91"/>
          <w:sz w:val="17"/>
        </w:rPr>
        <w:t>Q5. Quelle action ou conduite « Préparation des uniformes » invite-t-il à adopter ?</w:t>
      </w:r>
    </w:p>
    <w:p>
      <w:pPr>
        <w:pStyle w:val="Normal"/>
        <w:spacing w:before="0" w:after="40"/>
        <w:ind w:start="255"/>
        <w:rPr/>
      </w:pPr>
      <w:r>
        <w:rPr>
          <w:b/>
          <w:color w:val="D4A017"/>
          <w:sz w:val="16"/>
        </w:rPr>
        <w:t xml:space="preserve">Réponse : </w:t>
      </w:r>
      <w:r>
        <w:rPr>
          <w:color w:val="1F2937"/>
          <w:sz w:val="16"/>
        </w:rPr>
        <w:t>Se renseigner sur la tenue officielle et la préparer à temps.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traduit une dimension concrète et visible de la rentrée.</w:t>
      </w:r>
    </w:p>
    <w:p>
      <w:pPr>
        <w:pStyle w:val="Normal"/>
        <w:keepNext w:val="true"/>
        <w:keepLines/>
        <w:spacing w:before="40" w:after="0"/>
        <w:ind w:start="57"/>
        <w:rPr/>
      </w:pPr>
      <w:r>
        <w:rPr>
          <w:b/>
          <w:color w:val="0B3D91"/>
          <w:sz w:val="17"/>
        </w:rPr>
        <w:t>Q7. Quelle est l’importance de « Préparation des uniformes » dans le projet du GSE ?</w:t>
      </w:r>
    </w:p>
    <w:p>
      <w:pPr>
        <w:pStyle w:val="Normal"/>
        <w:spacing w:before="0" w:after="40"/>
        <w:ind w:start="255"/>
        <w:rPr/>
      </w:pPr>
      <w:r>
        <w:rPr>
          <w:b/>
          <w:color w:val="D4A017"/>
          <w:sz w:val="16"/>
        </w:rPr>
        <w:t xml:space="preserve">Réponse : </w:t>
      </w:r>
      <w:r>
        <w:rPr>
          <w:color w:val="1F2937"/>
          <w:sz w:val="16"/>
        </w:rPr>
        <w:t>Il favorise l’égalité de présentation, l’appartenance et la discipline organisationnelle.</w:t>
      </w:r>
    </w:p>
    <w:p>
      <w:pPr>
        <w:pStyle w:val="Normal"/>
        <w:keepNext w:val="true"/>
        <w:keepLines/>
        <w:spacing w:before="40" w:after="0"/>
        <w:ind w:start="57"/>
        <w:rPr/>
      </w:pPr>
      <w:r>
        <w:rPr>
          <w:b/>
          <w:color w:val="0B3D91"/>
          <w:sz w:val="17"/>
        </w:rPr>
        <w:t>Q8. Quels liens « Préparation des uniformes » entretient-il avec les autres pages ou services ?</w:t>
      </w:r>
    </w:p>
    <w:p>
      <w:pPr>
        <w:pStyle w:val="Normal"/>
        <w:spacing w:before="0" w:after="40"/>
        <w:ind w:start="255"/>
        <w:rPr/>
      </w:pPr>
      <w:r>
        <w:rPr>
          <w:b/>
          <w:color w:val="D4A017"/>
          <w:sz w:val="16"/>
        </w:rPr>
        <w:t xml:space="preserve">Réponse : </w:t>
      </w:r>
      <w:r>
        <w:rPr>
          <w:color w:val="1F2937"/>
          <w:sz w:val="16"/>
        </w:rPr>
        <w:t>Liens avec Vie scolaire, identité visuelle et règlement intérieur.</w:t>
      </w:r>
    </w:p>
    <w:p>
      <w:pPr>
        <w:pStyle w:val="Normal"/>
        <w:keepNext w:val="true"/>
        <w:keepLines/>
        <w:spacing w:before="40" w:after="0"/>
        <w:ind w:start="57"/>
        <w:rPr/>
      </w:pPr>
      <w:r>
        <w:rPr>
          <w:b/>
          <w:color w:val="0B3D91"/>
          <w:sz w:val="17"/>
        </w:rPr>
        <w:t>Q9. Quelle précision, limite ou réserve faut-il conserver à propos de « Préparation des uniformes » ?</w:t>
      </w:r>
    </w:p>
    <w:p>
      <w:pPr>
        <w:pStyle w:val="Normal"/>
        <w:spacing w:before="0" w:after="40"/>
        <w:ind w:start="255"/>
        <w:rPr/>
      </w:pPr>
      <w:r>
        <w:rPr>
          <w:b/>
          <w:color w:val="D4A017"/>
          <w:sz w:val="16"/>
        </w:rPr>
        <w:t xml:space="preserve">Réponse : </w:t>
      </w:r>
      <w:r>
        <w:rPr>
          <w:color w:val="1F2937"/>
          <w:sz w:val="16"/>
        </w:rPr>
        <w:t>L’article ne détaille pas toutes les pièces de l’uniforme ; les consignes officielles doivent être consultées.</w:t>
      </w:r>
    </w:p>
    <w:p>
      <w:pPr>
        <w:pStyle w:val="Normal"/>
        <w:keepNext w:val="true"/>
        <w:keepLines/>
        <w:spacing w:before="40" w:after="0"/>
        <w:ind w:start="57"/>
        <w:rPr/>
      </w:pPr>
      <w:r>
        <w:rPr>
          <w:b/>
          <w:color w:val="0B3D91"/>
          <w:sz w:val="17"/>
        </w:rPr>
        <w:t>Q10. Quelle réponse essentielle faut-il retenir au sujet de « Préparation des uniformes » ?</w:t>
      </w:r>
    </w:p>
    <w:p>
      <w:pPr>
        <w:pStyle w:val="Normal"/>
        <w:spacing w:before="0" w:after="40"/>
        <w:ind w:start="255"/>
        <w:rPr/>
      </w:pPr>
      <w:r>
        <w:rPr>
          <w:b/>
          <w:color w:val="D4A017"/>
          <w:sz w:val="16"/>
        </w:rPr>
        <w:t xml:space="preserve">Réponse : </w:t>
      </w:r>
      <w:r>
        <w:rPr>
          <w:color w:val="1F2937"/>
          <w:sz w:val="16"/>
        </w:rPr>
        <w:t>L’uniforme fait partie des éléments à anticiper avant le premier jour de classe.</w:t>
      </w:r>
    </w:p>
    <w:p>
      <w:pPr>
        <w:pStyle w:val="Heading2"/>
        <w:keepNext w:val="true"/>
        <w:rPr/>
      </w:pPr>
      <w:r>
        <w:rPr/>
        <w:t>16. Découverte des règles de vie scolaire</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Les familles sont accompagnées pour découvrir les règles de vie scolaire avant la rentrée.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Ce titre relie l’admission à l’intégration réelle dans la communauté scolaire.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favorise la discipline positive, la sécurité et la cohérence éducative.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Vie scolaire, Valeurs, Santé &amp; sécurité et règlement intérieur.</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Règles de vie</w:t>
      </w:r>
    </w:p>
    <w:p>
      <w:pPr>
        <w:pStyle w:val="ListBullet"/>
        <w:numPr>
          <w:ilvl w:val="0"/>
          <w:numId w:val="1"/>
        </w:numPr>
        <w:spacing w:before="0" w:after="20"/>
        <w:ind w:hanging="360" w:start="283"/>
        <w:contextualSpacing/>
        <w:rPr/>
      </w:pPr>
      <w:r>
        <w:rPr>
          <w:sz w:val="17"/>
        </w:rPr>
        <w:t>Intégration</w:t>
      </w:r>
    </w:p>
    <w:p>
      <w:pPr>
        <w:pStyle w:val="ListBullet"/>
        <w:numPr>
          <w:ilvl w:val="0"/>
          <w:numId w:val="1"/>
        </w:numPr>
        <w:spacing w:before="0" w:after="20"/>
        <w:ind w:hanging="360" w:start="283"/>
        <w:contextualSpacing/>
        <w:rPr/>
      </w:pPr>
      <w:r>
        <w:rPr>
          <w:sz w:val="17"/>
        </w:rPr>
        <w:t>Discipline positive</w:t>
      </w:r>
    </w:p>
    <w:p>
      <w:pPr>
        <w:pStyle w:val="ListBullet"/>
        <w:numPr>
          <w:ilvl w:val="0"/>
          <w:numId w:val="1"/>
        </w:numPr>
        <w:spacing w:before="0" w:after="20"/>
        <w:ind w:hanging="360" w:start="283"/>
        <w:contextualSpacing/>
        <w:rPr/>
      </w:pPr>
      <w:r>
        <w:rPr>
          <w:sz w:val="17"/>
        </w:rPr>
        <w:t>Vie collective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Découverte des règles de vie scolaire » ?</w:t>
      </w:r>
    </w:p>
    <w:p>
      <w:pPr>
        <w:pStyle w:val="Normal"/>
        <w:spacing w:before="0" w:after="40"/>
        <w:ind w:start="255"/>
        <w:rPr/>
      </w:pPr>
      <w:r>
        <w:rPr>
          <w:b/>
          <w:color w:val="D4A017"/>
          <w:sz w:val="16"/>
        </w:rPr>
        <w:t xml:space="preserve">Réponse : </w:t>
      </w:r>
      <w:r>
        <w:rPr>
          <w:color w:val="1F2937"/>
          <w:sz w:val="16"/>
        </w:rPr>
        <w:t>Les familles sont accompagnées pour découvrir les règles de vie scolaire avant la rentrée.</w:t>
      </w:r>
    </w:p>
    <w:p>
      <w:pPr>
        <w:pStyle w:val="Normal"/>
        <w:keepNext w:val="true"/>
        <w:keepLines/>
        <w:spacing w:before="40" w:after="0"/>
        <w:ind w:start="57"/>
        <w:rPr/>
      </w:pPr>
      <w:r>
        <w:rPr>
          <w:b/>
          <w:color w:val="0B3D91"/>
          <w:sz w:val="17"/>
        </w:rPr>
        <w:t>Q2. Quelle est l’idée centrale de « Découverte des règles de vie scolaire » ?</w:t>
      </w:r>
    </w:p>
    <w:p>
      <w:pPr>
        <w:pStyle w:val="Normal"/>
        <w:spacing w:before="0" w:after="40"/>
        <w:ind w:start="255"/>
        <w:rPr/>
      </w:pPr>
      <w:r>
        <w:rPr>
          <w:b/>
          <w:color w:val="D4A017"/>
          <w:sz w:val="16"/>
        </w:rPr>
        <w:t xml:space="preserve">Réponse : </w:t>
      </w:r>
      <w:r>
        <w:rPr>
          <w:color w:val="1F2937"/>
          <w:sz w:val="16"/>
        </w:rPr>
        <w:t>Connaître les règles aide l’élève et sa famille à comprendre le fonctionnement quotidien.</w:t>
      </w:r>
    </w:p>
    <w:p>
      <w:pPr>
        <w:pStyle w:val="Normal"/>
        <w:keepNext w:val="true"/>
        <w:keepLines/>
        <w:spacing w:before="40" w:after="0"/>
        <w:ind w:start="57"/>
        <w:rPr/>
      </w:pPr>
      <w:r>
        <w:rPr>
          <w:b/>
          <w:color w:val="0B3D91"/>
          <w:sz w:val="17"/>
        </w:rPr>
        <w:t>Q3. Quels éléments sont explicitement développés sous « Découverte des règles de vie scolaire » ?</w:t>
      </w:r>
    </w:p>
    <w:p>
      <w:pPr>
        <w:pStyle w:val="Normal"/>
        <w:spacing w:before="0" w:after="40"/>
        <w:ind w:start="255"/>
        <w:rPr/>
      </w:pPr>
      <w:r>
        <w:rPr>
          <w:b/>
          <w:color w:val="D4A017"/>
          <w:sz w:val="16"/>
        </w:rPr>
        <w:t xml:space="preserve">Réponse : </w:t>
      </w:r>
      <w:r>
        <w:rPr>
          <w:color w:val="1F2937"/>
          <w:sz w:val="16"/>
        </w:rPr>
        <w:t>Comportements attendus, organisation et principes de vie collective.</w:t>
      </w:r>
    </w:p>
    <w:p>
      <w:pPr>
        <w:pStyle w:val="Normal"/>
        <w:keepNext w:val="true"/>
        <w:keepLines/>
        <w:spacing w:before="40" w:after="0"/>
        <w:ind w:start="57"/>
        <w:rPr/>
      </w:pPr>
      <w:r>
        <w:rPr>
          <w:b/>
          <w:color w:val="0B3D91"/>
          <w:sz w:val="17"/>
        </w:rPr>
        <w:t>Q4. À quel public ou à quels acteurs « Découverte des règles de vie scolaire » s’adresse-t-il ?</w:t>
      </w:r>
    </w:p>
    <w:p>
      <w:pPr>
        <w:pStyle w:val="Normal"/>
        <w:spacing w:before="0" w:after="40"/>
        <w:ind w:start="255"/>
        <w:rPr/>
      </w:pPr>
      <w:r>
        <w:rPr>
          <w:b/>
          <w:color w:val="D4A017"/>
          <w:sz w:val="16"/>
        </w:rPr>
        <w:t xml:space="preserve">Réponse : </w:t>
      </w:r>
      <w:r>
        <w:rPr>
          <w:color w:val="1F2937"/>
          <w:sz w:val="16"/>
        </w:rPr>
        <w:t>Élèves, familles, enseignants et encadreurs.</w:t>
      </w:r>
    </w:p>
    <w:p>
      <w:pPr>
        <w:pStyle w:val="Normal"/>
        <w:keepNext w:val="true"/>
        <w:keepLines/>
        <w:spacing w:before="40" w:after="0"/>
        <w:ind w:start="57"/>
        <w:rPr/>
      </w:pPr>
      <w:r>
        <w:rPr>
          <w:b/>
          <w:color w:val="0B3D91"/>
          <w:sz w:val="17"/>
        </w:rPr>
        <w:t>Q5. Quelle action ou conduite « Découverte des règles de vie scolaire » invite-t-il à adopter ?</w:t>
      </w:r>
    </w:p>
    <w:p>
      <w:pPr>
        <w:pStyle w:val="Normal"/>
        <w:spacing w:before="0" w:after="40"/>
        <w:ind w:start="255"/>
        <w:rPr/>
      </w:pPr>
      <w:r>
        <w:rPr>
          <w:b/>
          <w:color w:val="D4A017"/>
          <w:sz w:val="16"/>
        </w:rPr>
        <w:t xml:space="preserve">Réponse : </w:t>
      </w:r>
      <w:r>
        <w:rPr>
          <w:color w:val="1F2937"/>
          <w:sz w:val="16"/>
        </w:rPr>
        <w:t>Prendre connaissance des règles et préparer l’enfant à les respecter.</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Ce titre relie l’admission à l’intégration réelle dans la communauté scolaire.</w:t>
      </w:r>
    </w:p>
    <w:p>
      <w:pPr>
        <w:pStyle w:val="Normal"/>
        <w:keepNext w:val="true"/>
        <w:keepLines/>
        <w:spacing w:before="40" w:after="0"/>
        <w:ind w:start="57"/>
        <w:rPr/>
      </w:pPr>
      <w:r>
        <w:rPr>
          <w:b/>
          <w:color w:val="0B3D91"/>
          <w:sz w:val="17"/>
        </w:rPr>
        <w:t>Q7. Quelle est l’importance de « Découverte des règles de vie scolaire » dans le projet du GSE ?</w:t>
      </w:r>
    </w:p>
    <w:p>
      <w:pPr>
        <w:pStyle w:val="Normal"/>
        <w:spacing w:before="0" w:after="40"/>
        <w:ind w:start="255"/>
        <w:rPr/>
      </w:pPr>
      <w:r>
        <w:rPr>
          <w:b/>
          <w:color w:val="D4A017"/>
          <w:sz w:val="16"/>
        </w:rPr>
        <w:t xml:space="preserve">Réponse : </w:t>
      </w:r>
      <w:r>
        <w:rPr>
          <w:color w:val="1F2937"/>
          <w:sz w:val="16"/>
        </w:rPr>
        <w:t>Il favorise la discipline positive, la sécurité et la cohérence éducative.</w:t>
      </w:r>
    </w:p>
    <w:p>
      <w:pPr>
        <w:pStyle w:val="Normal"/>
        <w:keepNext w:val="true"/>
        <w:keepLines/>
        <w:spacing w:before="40" w:after="0"/>
        <w:ind w:start="57"/>
        <w:rPr/>
      </w:pPr>
      <w:r>
        <w:rPr>
          <w:b/>
          <w:color w:val="0B3D91"/>
          <w:sz w:val="17"/>
        </w:rPr>
        <w:t>Q8. Quels liens « Découverte des règles de vie scolaire » entretient-il avec les autres pages ou services ?</w:t>
      </w:r>
    </w:p>
    <w:p>
      <w:pPr>
        <w:pStyle w:val="Normal"/>
        <w:spacing w:before="0" w:after="40"/>
        <w:ind w:start="255"/>
        <w:rPr/>
      </w:pPr>
      <w:r>
        <w:rPr>
          <w:b/>
          <w:color w:val="D4A017"/>
          <w:sz w:val="16"/>
        </w:rPr>
        <w:t xml:space="preserve">Réponse : </w:t>
      </w:r>
      <w:r>
        <w:rPr>
          <w:color w:val="1F2937"/>
          <w:sz w:val="16"/>
        </w:rPr>
        <w:t>Liens avec Vie scolaire, Valeurs, Santé &amp; sécurité et règlement intérieur.</w:t>
      </w:r>
    </w:p>
    <w:p>
      <w:pPr>
        <w:pStyle w:val="Normal"/>
        <w:keepNext w:val="true"/>
        <w:keepLines/>
        <w:spacing w:before="40" w:after="0"/>
        <w:ind w:start="57"/>
        <w:rPr/>
      </w:pPr>
      <w:r>
        <w:rPr>
          <w:b/>
          <w:color w:val="0B3D91"/>
          <w:sz w:val="17"/>
        </w:rPr>
        <w:t>Q9. Quelle précision, limite ou réserve faut-il conserver à propos de « Découverte des règles de vie scolaire » ?</w:t>
      </w:r>
    </w:p>
    <w:p>
      <w:pPr>
        <w:pStyle w:val="Normal"/>
        <w:spacing w:before="0" w:after="40"/>
        <w:ind w:start="255"/>
        <w:rPr/>
      </w:pPr>
      <w:r>
        <w:rPr>
          <w:b/>
          <w:color w:val="D4A017"/>
          <w:sz w:val="16"/>
        </w:rPr>
        <w:t xml:space="preserve">Réponse : </w:t>
      </w:r>
      <w:r>
        <w:rPr>
          <w:color w:val="1F2937"/>
          <w:sz w:val="16"/>
        </w:rPr>
        <w:t>L’article évoque les règles sans les reproduire intégralement.</w:t>
      </w:r>
    </w:p>
    <w:p>
      <w:pPr>
        <w:pStyle w:val="Normal"/>
        <w:keepNext w:val="true"/>
        <w:keepLines/>
        <w:spacing w:before="40" w:after="0"/>
        <w:ind w:start="57"/>
        <w:rPr/>
      </w:pPr>
      <w:r>
        <w:rPr>
          <w:b/>
          <w:color w:val="0B3D91"/>
          <w:sz w:val="17"/>
        </w:rPr>
        <w:t>Q10. Quelle réponse essentielle faut-il retenir au sujet de « Découverte des règles de vie scolaire » ?</w:t>
      </w:r>
    </w:p>
    <w:p>
      <w:pPr>
        <w:pStyle w:val="Normal"/>
        <w:spacing w:before="0" w:after="40"/>
        <w:ind w:start="255"/>
        <w:rPr/>
      </w:pPr>
      <w:r>
        <w:rPr>
          <w:b/>
          <w:color w:val="D4A017"/>
          <w:sz w:val="16"/>
        </w:rPr>
        <w:t xml:space="preserve">Réponse : </w:t>
      </w:r>
      <w:r>
        <w:rPr>
          <w:color w:val="1F2937"/>
          <w:sz w:val="16"/>
        </w:rPr>
        <w:t>La préparation de la rentrée comprend aussi la compréhension de la vie collective.</w:t>
      </w:r>
    </w:p>
    <w:p>
      <w:pPr>
        <w:pStyle w:val="Heading2"/>
        <w:keepNext w:val="true"/>
        <w:rPr/>
      </w:pPr>
      <w:r>
        <w:rPr/>
        <w:t>17. ÉMINA explique les procédures dans un langage simple</w:t>
      </w:r>
    </w:p>
    <w:p>
      <w:pPr>
        <w:pStyle w:val="Normal"/>
        <w:spacing w:before="20" w:after="80"/>
        <w:rPr/>
      </w:pPr>
      <w:r>
        <w:rPr>
          <w:b/>
          <w:color w:val="0B3D91"/>
          <w:sz w:val="16"/>
        </w:rPr>
        <w:t xml:space="preserve">Source contrôlée : </w:t>
      </w:r>
      <w:r>
        <w:rPr>
          <w:color w:val="555555"/>
          <w:sz w:val="16"/>
        </w:rPr>
        <w:t>Article 1 — https://test.gsleseminents.com/preparer-rentree-avec-confiance/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indique qu’ÉMINA reste disponible sur le site pour expliquer les procédures avec des mots simples.</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met en avant l’accessibilité de l’information et le rôle de l’assistante institutionnelle.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réduit les obstacles de compréhension et améliore l’orientation des usagers.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Admissions, Documentation, FAQ, langues du site et assistance humaine.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Assistance sur le site</w:t>
      </w:r>
    </w:p>
    <w:p>
      <w:pPr>
        <w:pStyle w:val="ListBullet"/>
        <w:numPr>
          <w:ilvl w:val="0"/>
          <w:numId w:val="1"/>
        </w:numPr>
        <w:spacing w:before="0" w:after="20"/>
        <w:ind w:hanging="360" w:start="283"/>
        <w:contextualSpacing/>
        <w:rPr/>
      </w:pPr>
      <w:r>
        <w:rPr>
          <w:sz w:val="17"/>
        </w:rPr>
        <w:t>Langage simple</w:t>
      </w:r>
    </w:p>
    <w:p>
      <w:pPr>
        <w:pStyle w:val="ListBullet"/>
        <w:numPr>
          <w:ilvl w:val="0"/>
          <w:numId w:val="1"/>
        </w:numPr>
        <w:spacing w:before="0" w:after="20"/>
        <w:ind w:hanging="360" w:start="283"/>
        <w:contextualSpacing/>
        <w:rPr/>
      </w:pPr>
      <w:r>
        <w:rPr>
          <w:sz w:val="17"/>
        </w:rPr>
        <w:t>Orientation générale</w:t>
      </w:r>
    </w:p>
    <w:p>
      <w:pPr>
        <w:pStyle w:val="ListBullet"/>
        <w:numPr>
          <w:ilvl w:val="0"/>
          <w:numId w:val="1"/>
        </w:numPr>
        <w:spacing w:before="0" w:after="20"/>
        <w:ind w:hanging="360" w:start="283"/>
        <w:contextualSpacing/>
        <w:rPr/>
      </w:pPr>
      <w:r>
        <w:rPr>
          <w:sz w:val="17"/>
        </w:rPr>
        <w:t>Validation humaine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ÉMINA explique les procédures dans un langage simple » ?</w:t>
      </w:r>
    </w:p>
    <w:p>
      <w:pPr>
        <w:pStyle w:val="Normal"/>
        <w:spacing w:before="0" w:after="40"/>
        <w:ind w:start="255"/>
        <w:rPr/>
      </w:pPr>
      <w:r>
        <w:rPr>
          <w:b/>
          <w:color w:val="D4A017"/>
          <w:sz w:val="16"/>
        </w:rPr>
        <w:t xml:space="preserve">Réponse : </w:t>
      </w:r>
      <w:r>
        <w:rPr>
          <w:color w:val="1F2937"/>
          <w:sz w:val="16"/>
        </w:rPr>
        <w:t>L’article indique qu’ÉMINA reste disponible sur le site pour expliquer les procédures avec des mots simples.</w:t>
      </w:r>
    </w:p>
    <w:p>
      <w:pPr>
        <w:pStyle w:val="Normal"/>
        <w:keepNext w:val="true"/>
        <w:keepLines/>
        <w:spacing w:before="40" w:after="0"/>
        <w:ind w:start="57"/>
        <w:rPr/>
      </w:pPr>
      <w:r>
        <w:rPr>
          <w:b/>
          <w:color w:val="0B3D91"/>
          <w:sz w:val="17"/>
        </w:rPr>
        <w:t>Q2. Quelle est l’idée centrale de « ÉMINA explique les procédures dans un langage simple » ?</w:t>
      </w:r>
    </w:p>
    <w:p>
      <w:pPr>
        <w:pStyle w:val="Normal"/>
        <w:spacing w:before="0" w:after="40"/>
        <w:ind w:start="255"/>
        <w:rPr/>
      </w:pPr>
      <w:r>
        <w:rPr>
          <w:b/>
          <w:color w:val="D4A017"/>
          <w:sz w:val="16"/>
        </w:rPr>
        <w:t xml:space="preserve">Réponse : </w:t>
      </w:r>
      <w:r>
        <w:rPr>
          <w:color w:val="1F2937"/>
          <w:sz w:val="16"/>
        </w:rPr>
        <w:t>L’assistance facilite l’accès à l’information institutionnelle.</w:t>
      </w:r>
    </w:p>
    <w:p>
      <w:pPr>
        <w:pStyle w:val="Normal"/>
        <w:keepNext w:val="true"/>
        <w:keepLines/>
        <w:spacing w:before="40" w:after="0"/>
        <w:ind w:start="57"/>
        <w:rPr/>
      </w:pPr>
      <w:r>
        <w:rPr>
          <w:b/>
          <w:color w:val="0B3D91"/>
          <w:sz w:val="17"/>
        </w:rPr>
        <w:t>Q3. Quels éléments sont explicitement développés sous « ÉMINA explique les procédures dans un langage simple » ?</w:t>
      </w:r>
    </w:p>
    <w:p>
      <w:pPr>
        <w:pStyle w:val="Normal"/>
        <w:spacing w:before="0" w:after="40"/>
        <w:ind w:start="255"/>
        <w:rPr/>
      </w:pPr>
      <w:r>
        <w:rPr>
          <w:b/>
          <w:color w:val="D4A017"/>
          <w:sz w:val="16"/>
        </w:rPr>
        <w:t xml:space="preserve">Réponse : </w:t>
      </w:r>
      <w:r>
        <w:rPr>
          <w:color w:val="1F2937"/>
          <w:sz w:val="16"/>
        </w:rPr>
        <w:t>Disponibilité sur le site, explication des procédures et langage accessible.</w:t>
      </w:r>
    </w:p>
    <w:p>
      <w:pPr>
        <w:pStyle w:val="Normal"/>
        <w:keepNext w:val="true"/>
        <w:keepLines/>
        <w:spacing w:before="40" w:after="0"/>
        <w:ind w:start="57"/>
        <w:rPr/>
      </w:pPr>
      <w:r>
        <w:rPr>
          <w:b/>
          <w:color w:val="0B3D91"/>
          <w:sz w:val="17"/>
        </w:rPr>
        <w:t>Q4. À quel public ou à quels acteurs « ÉMINA explique les procédures dans un langage simple » s’adresse-t-il ?</w:t>
      </w:r>
    </w:p>
    <w:p>
      <w:pPr>
        <w:pStyle w:val="Normal"/>
        <w:spacing w:before="0" w:after="40"/>
        <w:ind w:start="255"/>
        <w:rPr/>
      </w:pPr>
      <w:r>
        <w:rPr>
          <w:b/>
          <w:color w:val="D4A017"/>
          <w:sz w:val="16"/>
        </w:rPr>
        <w:t xml:space="preserve">Réponse : </w:t>
      </w:r>
      <w:r>
        <w:rPr>
          <w:color w:val="1F2937"/>
          <w:sz w:val="16"/>
        </w:rPr>
        <w:t>Familles et visiteurs ayant besoin d’orientation générale.</w:t>
      </w:r>
    </w:p>
    <w:p>
      <w:pPr>
        <w:pStyle w:val="Normal"/>
        <w:keepNext w:val="true"/>
        <w:keepLines/>
        <w:spacing w:before="40" w:after="0"/>
        <w:ind w:start="57"/>
        <w:rPr/>
      </w:pPr>
      <w:r>
        <w:rPr>
          <w:b/>
          <w:color w:val="0B3D91"/>
          <w:sz w:val="17"/>
        </w:rPr>
        <w:t>Q5. Quelle action ou conduite « ÉMINA explique les procédures dans un langage simple » invite-t-il à adopter ?</w:t>
      </w:r>
    </w:p>
    <w:p>
      <w:pPr>
        <w:pStyle w:val="Normal"/>
        <w:spacing w:before="0" w:after="40"/>
        <w:ind w:start="255"/>
        <w:rPr/>
      </w:pPr>
      <w:r>
        <w:rPr>
          <w:b/>
          <w:color w:val="D4A017"/>
          <w:sz w:val="16"/>
        </w:rPr>
        <w:t xml:space="preserve">Réponse : </w:t>
      </w:r>
      <w:r>
        <w:rPr>
          <w:color w:val="1F2937"/>
          <w:sz w:val="16"/>
        </w:rPr>
        <w:t>Poser une question à ÉMINA puis confirmer les points sensibles auprès du personnel habilité.</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met en avant l’accessibilité de l’information et le rôle de l’assistante institutionnelle.</w:t>
      </w:r>
    </w:p>
    <w:p>
      <w:pPr>
        <w:pStyle w:val="Normal"/>
        <w:keepNext w:val="true"/>
        <w:keepLines/>
        <w:spacing w:before="40" w:after="0"/>
        <w:ind w:start="57"/>
        <w:rPr/>
      </w:pPr>
      <w:r>
        <w:rPr>
          <w:b/>
          <w:color w:val="0B3D91"/>
          <w:sz w:val="17"/>
        </w:rPr>
        <w:t>Q7. Quelle est l’importance de « ÉMINA explique les procédures dans un langage simple » dans le projet du GSE ?</w:t>
      </w:r>
    </w:p>
    <w:p>
      <w:pPr>
        <w:pStyle w:val="Normal"/>
        <w:spacing w:before="0" w:after="40"/>
        <w:ind w:start="255"/>
        <w:rPr/>
      </w:pPr>
      <w:r>
        <w:rPr>
          <w:b/>
          <w:color w:val="D4A017"/>
          <w:sz w:val="16"/>
        </w:rPr>
        <w:t xml:space="preserve">Réponse : </w:t>
      </w:r>
      <w:r>
        <w:rPr>
          <w:color w:val="1F2937"/>
          <w:sz w:val="16"/>
        </w:rPr>
        <w:t>Il réduit les obstacles de compréhension et améliore l’orientation des usagers.</w:t>
      </w:r>
    </w:p>
    <w:p>
      <w:pPr>
        <w:pStyle w:val="Normal"/>
        <w:keepNext w:val="true"/>
        <w:keepLines/>
        <w:spacing w:before="40" w:after="0"/>
        <w:ind w:start="57"/>
        <w:rPr/>
      </w:pPr>
      <w:r>
        <w:rPr>
          <w:b/>
          <w:color w:val="0B3D91"/>
          <w:sz w:val="17"/>
        </w:rPr>
        <w:t>Q8. Quels liens « ÉMINA explique les procédures dans un langage simple » entretient-il avec les autres pages ou services ?</w:t>
      </w:r>
    </w:p>
    <w:p>
      <w:pPr>
        <w:pStyle w:val="Normal"/>
        <w:spacing w:before="0" w:after="40"/>
        <w:ind w:start="255"/>
        <w:rPr/>
      </w:pPr>
      <w:r>
        <w:rPr>
          <w:b/>
          <w:color w:val="D4A017"/>
          <w:sz w:val="16"/>
        </w:rPr>
        <w:t xml:space="preserve">Réponse : </w:t>
      </w:r>
      <w:r>
        <w:rPr>
          <w:color w:val="1F2937"/>
          <w:sz w:val="16"/>
        </w:rPr>
        <w:t>Liens avec Admissions, Documentation, FAQ, langues du site et assistance humaine.</w:t>
      </w:r>
    </w:p>
    <w:p>
      <w:pPr>
        <w:pStyle w:val="Normal"/>
        <w:keepNext w:val="true"/>
        <w:keepLines/>
        <w:spacing w:before="40" w:after="0"/>
        <w:ind w:start="57"/>
        <w:rPr/>
      </w:pPr>
      <w:r>
        <w:rPr>
          <w:b/>
          <w:color w:val="0B3D91"/>
          <w:sz w:val="17"/>
        </w:rPr>
        <w:t>Q9. Quelle précision, limite ou réserve faut-il conserver à propos de « ÉMINA explique les procédures dans un langage simple » ?</w:t>
      </w:r>
    </w:p>
    <w:p>
      <w:pPr>
        <w:pStyle w:val="Normal"/>
        <w:spacing w:before="0" w:after="40"/>
        <w:ind w:start="255"/>
        <w:rPr/>
      </w:pPr>
      <w:r>
        <w:rPr>
          <w:b/>
          <w:color w:val="D4A017"/>
          <w:sz w:val="16"/>
        </w:rPr>
        <w:t xml:space="preserve">Réponse : </w:t>
      </w:r>
      <w:r>
        <w:rPr>
          <w:color w:val="1F2937"/>
          <w:sz w:val="16"/>
        </w:rPr>
        <w:t>ÉMINA fournit des informations publiques et ne prend pas de décision à la place du personnel.</w:t>
      </w:r>
    </w:p>
    <w:p>
      <w:pPr>
        <w:pStyle w:val="Normal"/>
        <w:keepNext w:val="true"/>
        <w:keepLines/>
        <w:spacing w:before="40" w:after="0"/>
        <w:ind w:start="57"/>
        <w:rPr/>
      </w:pPr>
      <w:r>
        <w:rPr>
          <w:b/>
          <w:color w:val="0B3D91"/>
          <w:sz w:val="17"/>
        </w:rPr>
        <w:t>Q10. Quelle réponse essentielle faut-il retenir au sujet de « ÉMINA explique les procédures dans un langage simple » ?</w:t>
      </w:r>
    </w:p>
    <w:p>
      <w:pPr>
        <w:pStyle w:val="Normal"/>
        <w:spacing w:before="0" w:after="40"/>
        <w:ind w:start="255"/>
        <w:rPr/>
      </w:pPr>
      <w:r>
        <w:rPr>
          <w:b/>
          <w:color w:val="D4A017"/>
          <w:sz w:val="16"/>
        </w:rPr>
        <w:t xml:space="preserve">Réponse : </w:t>
      </w:r>
      <w:r>
        <w:rPr>
          <w:color w:val="1F2937"/>
          <w:sz w:val="16"/>
        </w:rPr>
        <w:t>ÉMINA simplifie l’information, tandis que les validations officielles restent humaines.</w:t>
      </w:r>
    </w:p>
    <w:p>
      <w:pPr>
        <w:pStyle w:val="Normal"/>
        <w:rPr/>
      </w:pPr>
      <w:r>
        <w:rPr/>
      </w:r>
      <w:r>
        <w:br w:type="page"/>
      </w:r>
    </w:p>
    <w:p>
      <w:pPr>
        <w:pStyle w:val="Heading1"/>
        <w:keepNext w:val="true"/>
        <w:spacing w:before="0" w:after="0"/>
        <w:jc w:val="center"/>
        <w:rPr/>
      </w:pPr>
      <w:r>
        <w:rPr/>
        <w:t>PARTIE III — ACTUALITÉ 2 : UNE ÉCOLE CHRÉTIENNE BILINGUE TOURNÉE VERS L’AVENIR</w:t>
      </w:r>
    </w:p>
    <w:p>
      <w:pPr>
        <w:pStyle w:val="Heading2"/>
        <w:keepNext w:val="true"/>
        <w:rPr/>
      </w:pPr>
      <w:r>
        <w:rPr/>
        <w:t>18. Une école chrétienne bilingue tournée vers l’avenir</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présente un projet éducatif associant programmes officiels, bilinguisme, caractère, sciences, numérique, créativité et service.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résume l’identité confessionnelle, linguistique et prospective de l’école.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positionne clairement le GSE et donne une cohérence aux programmes et valeurs.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Vision &amp; mission, Valeurs, Programmes, Bilinguisme et Vie scolaire.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Identité chrétienne</w:t>
      </w:r>
    </w:p>
    <w:p>
      <w:pPr>
        <w:pStyle w:val="ListBullet"/>
        <w:numPr>
          <w:ilvl w:val="0"/>
          <w:numId w:val="1"/>
        </w:numPr>
        <w:spacing w:before="0" w:after="20"/>
        <w:ind w:hanging="360" w:start="283"/>
        <w:contextualSpacing/>
        <w:rPr/>
      </w:pPr>
      <w:r>
        <w:rPr>
          <w:sz w:val="17"/>
        </w:rPr>
        <w:t>Bilinguisme</w:t>
      </w:r>
    </w:p>
    <w:p>
      <w:pPr>
        <w:pStyle w:val="ListBullet"/>
        <w:numPr>
          <w:ilvl w:val="0"/>
          <w:numId w:val="1"/>
        </w:numPr>
        <w:spacing w:before="0" w:after="20"/>
        <w:ind w:hanging="360" w:start="283"/>
        <w:contextualSpacing/>
        <w:rPr/>
      </w:pPr>
      <w:r>
        <w:rPr>
          <w:sz w:val="17"/>
        </w:rPr>
        <w:t>Préparation à l’avenir</w:t>
      </w:r>
    </w:p>
    <w:p>
      <w:pPr>
        <w:pStyle w:val="ListBullet"/>
        <w:numPr>
          <w:ilvl w:val="0"/>
          <w:numId w:val="1"/>
        </w:numPr>
        <w:spacing w:before="0" w:after="20"/>
        <w:ind w:hanging="360" w:start="283"/>
        <w:contextualSpacing/>
        <w:rPr/>
      </w:pPr>
      <w:r>
        <w:rPr>
          <w:sz w:val="17"/>
        </w:rPr>
        <w:t>Projet éducatif complet</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Une école chrétienne bilingue tournée vers l’avenir » ?</w:t>
      </w:r>
    </w:p>
    <w:p>
      <w:pPr>
        <w:pStyle w:val="Normal"/>
        <w:spacing w:before="0" w:after="40"/>
        <w:ind w:start="255"/>
        <w:rPr/>
      </w:pPr>
      <w:r>
        <w:rPr>
          <w:b/>
          <w:color w:val="D4A017"/>
          <w:sz w:val="16"/>
        </w:rPr>
        <w:t xml:space="preserve">Réponse : </w:t>
      </w:r>
      <w:r>
        <w:rPr>
          <w:color w:val="1F2937"/>
          <w:sz w:val="16"/>
        </w:rPr>
        <w:t>L’article présente un projet éducatif associant programmes officiels, bilinguisme, caractère, sciences, numérique, créativité et service.</w:t>
      </w:r>
    </w:p>
    <w:p>
      <w:pPr>
        <w:pStyle w:val="Normal"/>
        <w:keepNext w:val="true"/>
        <w:keepLines/>
        <w:spacing w:before="40" w:after="0"/>
        <w:ind w:start="57"/>
        <w:rPr/>
      </w:pPr>
      <w:r>
        <w:rPr>
          <w:b/>
          <w:color w:val="0B3D91"/>
          <w:sz w:val="17"/>
        </w:rPr>
        <w:t>Q2. Quelle est l’idée centrale de « Une école chrétienne bilingue tournée vers l’avenir » ?</w:t>
      </w:r>
    </w:p>
    <w:p>
      <w:pPr>
        <w:pStyle w:val="Normal"/>
        <w:spacing w:before="0" w:after="40"/>
        <w:ind w:start="255"/>
        <w:rPr/>
      </w:pPr>
      <w:r>
        <w:rPr>
          <w:b/>
          <w:color w:val="D4A017"/>
          <w:sz w:val="16"/>
        </w:rPr>
        <w:t xml:space="preserve">Réponse : </w:t>
      </w:r>
      <w:r>
        <w:rPr>
          <w:color w:val="1F2937"/>
          <w:sz w:val="16"/>
        </w:rPr>
        <w:t>L’école veut unir identité chrétienne, apprentissages solides et préparation au monde contemporain.</w:t>
      </w:r>
    </w:p>
    <w:p>
      <w:pPr>
        <w:pStyle w:val="Normal"/>
        <w:keepNext w:val="true"/>
        <w:keepLines/>
        <w:spacing w:before="40" w:after="0"/>
        <w:ind w:start="57"/>
        <w:rPr/>
      </w:pPr>
      <w:r>
        <w:rPr>
          <w:b/>
          <w:color w:val="0B3D91"/>
          <w:sz w:val="17"/>
        </w:rPr>
        <w:t>Q3. Quels éléments sont explicitement développés sous « Une école chrétienne bilingue tournée vers l’avenir » ?</w:t>
      </w:r>
    </w:p>
    <w:p>
      <w:pPr>
        <w:pStyle w:val="Normal"/>
        <w:spacing w:before="0" w:after="40"/>
        <w:ind w:start="255"/>
        <w:rPr/>
      </w:pPr>
      <w:r>
        <w:rPr>
          <w:b/>
          <w:color w:val="D4A017"/>
          <w:sz w:val="16"/>
        </w:rPr>
        <w:t xml:space="preserve">Réponse : </w:t>
      </w:r>
      <w:r>
        <w:rPr>
          <w:color w:val="1F2937"/>
          <w:sz w:val="16"/>
        </w:rPr>
        <w:t>Programmes, langues, caractère, sciences, numérique, créativité, service et responsabilités.</w:t>
      </w:r>
    </w:p>
    <w:p>
      <w:pPr>
        <w:pStyle w:val="Normal"/>
        <w:keepNext w:val="true"/>
        <w:keepLines/>
        <w:spacing w:before="40" w:after="0"/>
        <w:ind w:start="57"/>
        <w:rPr/>
      </w:pPr>
      <w:r>
        <w:rPr>
          <w:b/>
          <w:color w:val="0B3D91"/>
          <w:sz w:val="17"/>
        </w:rPr>
        <w:t>Q4. À quel public ou à quels acteurs « Une école chrétienne bilingue tournée vers l’avenir » s’adresse-t-il ?</w:t>
      </w:r>
    </w:p>
    <w:p>
      <w:pPr>
        <w:pStyle w:val="Normal"/>
        <w:spacing w:before="0" w:after="40"/>
        <w:ind w:start="255"/>
        <w:rPr/>
      </w:pPr>
      <w:r>
        <w:rPr>
          <w:b/>
          <w:color w:val="D4A017"/>
          <w:sz w:val="16"/>
        </w:rPr>
        <w:t xml:space="preserve">Réponse : </w:t>
      </w:r>
      <w:r>
        <w:rPr>
          <w:color w:val="1F2937"/>
          <w:sz w:val="16"/>
        </w:rPr>
        <w:t>Familles recherchant une formation complète pour leur enfant.</w:t>
      </w:r>
    </w:p>
    <w:p>
      <w:pPr>
        <w:pStyle w:val="Normal"/>
        <w:keepNext w:val="true"/>
        <w:keepLines/>
        <w:spacing w:before="40" w:after="0"/>
        <w:ind w:start="57"/>
        <w:rPr/>
      </w:pPr>
      <w:r>
        <w:rPr>
          <w:b/>
          <w:color w:val="0B3D91"/>
          <w:sz w:val="17"/>
        </w:rPr>
        <w:t>Q5. Quelle action ou conduite « Une école chrétienne bilingue tournée vers l’avenir » invite-t-il à adopter ?</w:t>
      </w:r>
    </w:p>
    <w:p>
      <w:pPr>
        <w:pStyle w:val="Normal"/>
        <w:spacing w:before="0" w:after="40"/>
        <w:ind w:start="255"/>
        <w:rPr/>
      </w:pPr>
      <w:r>
        <w:rPr>
          <w:b/>
          <w:color w:val="D4A017"/>
          <w:sz w:val="16"/>
        </w:rPr>
        <w:t xml:space="preserve">Réponse : </w:t>
      </w:r>
      <w:r>
        <w:rPr>
          <w:color w:val="1F2937"/>
          <w:sz w:val="16"/>
        </w:rPr>
        <w:t>Comprendre les composantes du projet éducatif avant l’inscription.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résume l’identité confessionnelle, linguistique et prospective de l’école.</w:t>
      </w:r>
    </w:p>
    <w:p>
      <w:pPr>
        <w:pStyle w:val="Normal"/>
        <w:keepNext w:val="true"/>
        <w:keepLines/>
        <w:spacing w:before="40" w:after="0"/>
        <w:ind w:start="57"/>
        <w:rPr/>
      </w:pPr>
      <w:r>
        <w:rPr>
          <w:b/>
          <w:color w:val="0B3D91"/>
          <w:sz w:val="17"/>
        </w:rPr>
        <w:t>Q7. Quelle est l’importance de « Une école chrétienne bilingue tournée vers l’avenir » dans le projet du GSE ?</w:t>
      </w:r>
    </w:p>
    <w:p>
      <w:pPr>
        <w:pStyle w:val="Normal"/>
        <w:spacing w:before="0" w:after="40"/>
        <w:ind w:start="255"/>
        <w:rPr/>
      </w:pPr>
      <w:r>
        <w:rPr>
          <w:b/>
          <w:color w:val="D4A017"/>
          <w:sz w:val="16"/>
        </w:rPr>
        <w:t xml:space="preserve">Réponse : </w:t>
      </w:r>
      <w:r>
        <w:rPr>
          <w:color w:val="1F2937"/>
          <w:sz w:val="16"/>
        </w:rPr>
        <w:t>Il positionne clairement le GSE et donne une cohérence aux programmes et valeurs.</w:t>
      </w:r>
    </w:p>
    <w:p>
      <w:pPr>
        <w:pStyle w:val="Normal"/>
        <w:keepNext w:val="true"/>
        <w:keepLines/>
        <w:spacing w:before="40" w:after="0"/>
        <w:ind w:start="57"/>
        <w:rPr/>
      </w:pPr>
      <w:r>
        <w:rPr>
          <w:b/>
          <w:color w:val="0B3D91"/>
          <w:sz w:val="17"/>
        </w:rPr>
        <w:t>Q8. Quels liens « Une école chrétienne bilingue tournée vers l’avenir » entretient-il avec les autres pages ou services ?</w:t>
      </w:r>
    </w:p>
    <w:p>
      <w:pPr>
        <w:pStyle w:val="Normal"/>
        <w:spacing w:before="0" w:after="40"/>
        <w:ind w:start="255"/>
        <w:rPr/>
      </w:pPr>
      <w:r>
        <w:rPr>
          <w:b/>
          <w:color w:val="D4A017"/>
          <w:sz w:val="16"/>
        </w:rPr>
        <w:t xml:space="preserve">Réponse : </w:t>
      </w:r>
      <w:r>
        <w:rPr>
          <w:color w:val="1F2937"/>
          <w:sz w:val="16"/>
        </w:rPr>
        <w:t>Liens avec Vision &amp; mission, Valeurs, Programmes, Bilinguisme et Vie scolaire.</w:t>
      </w:r>
    </w:p>
    <w:p>
      <w:pPr>
        <w:pStyle w:val="Normal"/>
        <w:keepNext w:val="true"/>
        <w:keepLines/>
        <w:spacing w:before="40" w:after="0"/>
        <w:ind w:start="57"/>
        <w:rPr/>
      </w:pPr>
      <w:r>
        <w:rPr>
          <w:b/>
          <w:color w:val="0B3D91"/>
          <w:sz w:val="17"/>
        </w:rPr>
        <w:t>Q9. Quelle précision, limite ou réserve faut-il conserver à propos de « Une école chrétienne bilingue tournée vers l’avenir » ?</w:t>
      </w:r>
    </w:p>
    <w:p>
      <w:pPr>
        <w:pStyle w:val="Normal"/>
        <w:spacing w:before="0" w:after="40"/>
        <w:ind w:start="255"/>
        <w:rPr/>
      </w:pPr>
      <w:r>
        <w:rPr>
          <w:b/>
          <w:color w:val="D4A017"/>
          <w:sz w:val="16"/>
        </w:rPr>
        <w:t xml:space="preserve">Réponse : </w:t>
      </w:r>
      <w:r>
        <w:rPr>
          <w:color w:val="1F2937"/>
          <w:sz w:val="16"/>
        </w:rPr>
        <w:t>L’article expose une orientation générale ; les programmes détaillés sont présentés dans leurs pages spécifiques.</w:t>
      </w:r>
    </w:p>
    <w:p>
      <w:pPr>
        <w:pStyle w:val="Normal"/>
        <w:keepNext w:val="true"/>
        <w:keepLines/>
        <w:spacing w:before="40" w:after="0"/>
        <w:ind w:start="57"/>
        <w:rPr/>
      </w:pPr>
      <w:r>
        <w:rPr>
          <w:b/>
          <w:color w:val="0B3D91"/>
          <w:sz w:val="17"/>
        </w:rPr>
        <w:t>Q10. Quelle réponse essentielle faut-il retenir au sujet de « Une école chrétienne bilingue tournée vers l’avenir » ?</w:t>
      </w:r>
    </w:p>
    <w:p>
      <w:pPr>
        <w:pStyle w:val="Normal"/>
        <w:spacing w:before="0" w:after="40"/>
        <w:ind w:start="255"/>
        <w:rPr/>
      </w:pPr>
      <w:r>
        <w:rPr>
          <w:b/>
          <w:color w:val="D4A017"/>
          <w:sz w:val="16"/>
        </w:rPr>
        <w:t xml:space="preserve">Réponse : </w:t>
      </w:r>
      <w:r>
        <w:rPr>
          <w:color w:val="1F2937"/>
          <w:sz w:val="16"/>
        </w:rPr>
        <w:t>Le projet éducatif combine exigences officielles, bilinguisme, valeurs et compétences d’avenir.</w:t>
      </w:r>
    </w:p>
    <w:p>
      <w:pPr>
        <w:pStyle w:val="Heading2"/>
        <w:keepNext w:val="true"/>
        <w:rPr/>
      </w:pPr>
      <w:r>
        <w:rPr/>
        <w:t>19. Date et durée de lecture de l’article sur le projet éducatif</w:t>
      </w:r>
    </w:p>
    <w:p>
      <w:pPr>
        <w:pStyle w:val="Normal"/>
        <w:spacing w:before="20" w:after="80"/>
        <w:rPr/>
      </w:pPr>
      <w:r>
        <w:rPr>
          <w:b/>
          <w:color w:val="0B3D91"/>
          <w:sz w:val="16"/>
        </w:rPr>
        <w:t xml:space="preserve">Source contrôlée : </w:t>
      </w:r>
      <w:r>
        <w:rPr>
          <w:color w:val="555555"/>
          <w:sz w:val="16"/>
        </w:rPr>
        <w:t>Métadonnées de l’article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est daté du 29 juin 2026 et annoncé comme une lecture d’environ une minute.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La date situe le message dans la communication préparatoire à l’ouverture 2026-2027.</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permet de suivre la construction publique du projet éducatif.</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la carte correspondante sur la page principale.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29 juin 2026</w:t>
      </w:r>
    </w:p>
    <w:p>
      <w:pPr>
        <w:pStyle w:val="ListBullet"/>
        <w:numPr>
          <w:ilvl w:val="0"/>
          <w:numId w:val="1"/>
        </w:numPr>
        <w:spacing w:before="0" w:after="20"/>
        <w:ind w:hanging="360" w:start="283"/>
        <w:contextualSpacing/>
        <w:rPr/>
      </w:pPr>
      <w:r>
        <w:rPr>
          <w:sz w:val="17"/>
        </w:rPr>
        <w:t>1 minute</w:t>
      </w:r>
    </w:p>
    <w:p>
      <w:pPr>
        <w:pStyle w:val="ListBullet"/>
        <w:numPr>
          <w:ilvl w:val="0"/>
          <w:numId w:val="1"/>
        </w:numPr>
        <w:spacing w:before="0" w:after="20"/>
        <w:ind w:hanging="360" w:start="283"/>
        <w:contextualSpacing/>
        <w:rPr/>
      </w:pPr>
      <w:r>
        <w:rPr>
          <w:sz w:val="17"/>
        </w:rPr>
        <w:t>Synthèse</w:t>
      </w:r>
    </w:p>
    <w:p>
      <w:pPr>
        <w:pStyle w:val="ListBullet"/>
        <w:numPr>
          <w:ilvl w:val="0"/>
          <w:numId w:val="1"/>
        </w:numPr>
        <w:spacing w:before="0" w:after="20"/>
        <w:ind w:hanging="360" w:start="283"/>
        <w:contextualSpacing/>
        <w:rPr/>
      </w:pPr>
      <w:r>
        <w:rPr>
          <w:sz w:val="17"/>
        </w:rPr>
        <w:t>Renvoi vers les pages détaillées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Date et durée de lecture de l’article sur le projet éducatif » ?</w:t>
      </w:r>
    </w:p>
    <w:p>
      <w:pPr>
        <w:pStyle w:val="Normal"/>
        <w:spacing w:before="0" w:after="40"/>
        <w:ind w:start="255"/>
        <w:rPr/>
      </w:pPr>
      <w:r>
        <w:rPr>
          <w:b/>
          <w:color w:val="D4A017"/>
          <w:sz w:val="16"/>
        </w:rPr>
        <w:t xml:space="preserve">Réponse : </w:t>
      </w:r>
      <w:r>
        <w:rPr>
          <w:color w:val="1F2937"/>
          <w:sz w:val="16"/>
        </w:rPr>
        <w:t>L’article est daté du 29 juin 2026 et annoncé comme une lecture d’environ une minute.</w:t>
      </w:r>
    </w:p>
    <w:p>
      <w:pPr>
        <w:pStyle w:val="Normal"/>
        <w:keepNext w:val="true"/>
        <w:keepLines/>
        <w:spacing w:before="40" w:after="0"/>
        <w:ind w:start="57"/>
        <w:rPr/>
      </w:pPr>
      <w:r>
        <w:rPr>
          <w:b/>
          <w:color w:val="0B3D91"/>
          <w:sz w:val="17"/>
        </w:rPr>
        <w:t>Q2. Quelle est l’idée centrale de « Date et durée de lecture de l’article sur le projet éducatif » ?</w:t>
      </w:r>
    </w:p>
    <w:p>
      <w:pPr>
        <w:pStyle w:val="Normal"/>
        <w:spacing w:before="0" w:after="40"/>
        <w:ind w:start="255"/>
        <w:rPr/>
      </w:pPr>
      <w:r>
        <w:rPr>
          <w:b/>
          <w:color w:val="D4A017"/>
          <w:sz w:val="16"/>
        </w:rPr>
        <w:t xml:space="preserve">Réponse : </w:t>
      </w:r>
      <w:r>
        <w:rPr>
          <w:color w:val="1F2937"/>
          <w:sz w:val="16"/>
        </w:rPr>
        <w:t>Ces repères montrent une publication récente et synthétique.</w:t>
      </w:r>
    </w:p>
    <w:p>
      <w:pPr>
        <w:pStyle w:val="Normal"/>
        <w:keepNext w:val="true"/>
        <w:keepLines/>
        <w:spacing w:before="40" w:after="0"/>
        <w:ind w:start="57"/>
        <w:rPr/>
      </w:pPr>
      <w:r>
        <w:rPr>
          <w:b/>
          <w:color w:val="0B3D91"/>
          <w:sz w:val="17"/>
        </w:rPr>
        <w:t>Q3. Quels éléments sont explicitement développés sous « Date et durée de lecture de l’article sur le projet éducatif » ?</w:t>
      </w:r>
    </w:p>
    <w:p>
      <w:pPr>
        <w:pStyle w:val="Normal"/>
        <w:spacing w:before="0" w:after="40"/>
        <w:ind w:start="255"/>
        <w:rPr/>
      </w:pPr>
      <w:r>
        <w:rPr>
          <w:b/>
          <w:color w:val="D4A017"/>
          <w:sz w:val="16"/>
        </w:rPr>
        <w:t xml:space="preserve">Réponse : </w:t>
      </w:r>
      <w:r>
        <w:rPr>
          <w:color w:val="1F2937"/>
          <w:sz w:val="16"/>
        </w:rPr>
        <w:t>Date et durée de lecture estimée.</w:t>
      </w:r>
    </w:p>
    <w:p>
      <w:pPr>
        <w:pStyle w:val="Normal"/>
        <w:keepNext w:val="true"/>
        <w:keepLines/>
        <w:spacing w:before="40" w:after="0"/>
        <w:ind w:start="57"/>
        <w:rPr/>
      </w:pPr>
      <w:r>
        <w:rPr>
          <w:b/>
          <w:color w:val="0B3D91"/>
          <w:sz w:val="17"/>
        </w:rPr>
        <w:t>Q4. À quel public ou à quels acteurs « Date et durée de lecture de l’article sur le projet éducatif » s’adresse-t-il ?</w:t>
      </w:r>
    </w:p>
    <w:p>
      <w:pPr>
        <w:pStyle w:val="Normal"/>
        <w:spacing w:before="0" w:after="40"/>
        <w:ind w:start="255"/>
        <w:rPr/>
      </w:pPr>
      <w:r>
        <w:rPr>
          <w:b/>
          <w:color w:val="D4A017"/>
          <w:sz w:val="16"/>
        </w:rPr>
        <w:t xml:space="preserve">Réponse : </w:t>
      </w:r>
      <w:r>
        <w:rPr>
          <w:color w:val="1F2937"/>
          <w:sz w:val="16"/>
        </w:rPr>
        <w:t>Lecteurs qui évaluent la fraîcheur et la longueur de l’article.</w:t>
      </w:r>
    </w:p>
    <w:p>
      <w:pPr>
        <w:pStyle w:val="Normal"/>
        <w:keepNext w:val="true"/>
        <w:keepLines/>
        <w:spacing w:before="40" w:after="0"/>
        <w:ind w:start="57"/>
        <w:rPr/>
      </w:pPr>
      <w:r>
        <w:rPr>
          <w:b/>
          <w:color w:val="0B3D91"/>
          <w:sz w:val="17"/>
        </w:rPr>
        <w:t>Q5. Quelle action ou conduite « Date et durée de lecture de l’article sur le projet éducatif » invite-t-il à adopter ?</w:t>
      </w:r>
    </w:p>
    <w:p>
      <w:pPr>
        <w:pStyle w:val="Normal"/>
        <w:spacing w:before="0" w:after="40"/>
        <w:ind w:start="255"/>
        <w:rPr/>
      </w:pPr>
      <w:r>
        <w:rPr>
          <w:b/>
          <w:color w:val="D4A017"/>
          <w:sz w:val="16"/>
        </w:rPr>
        <w:t xml:space="preserve">Réponse : </w:t>
      </w:r>
      <w:r>
        <w:rPr>
          <w:color w:val="1F2937"/>
          <w:sz w:val="16"/>
        </w:rPr>
        <w:t>Lire la synthèse puis consulter les pages Programmes et Valeurs.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La date situe le message dans la communication préparatoire à l’ouverture 2026-2027.</w:t>
      </w:r>
    </w:p>
    <w:p>
      <w:pPr>
        <w:pStyle w:val="Normal"/>
        <w:keepNext w:val="true"/>
        <w:keepLines/>
        <w:spacing w:before="40" w:after="0"/>
        <w:ind w:start="57"/>
        <w:rPr/>
      </w:pPr>
      <w:r>
        <w:rPr>
          <w:b/>
          <w:color w:val="0B3D91"/>
          <w:sz w:val="17"/>
        </w:rPr>
        <w:t>Q7. Quelle est l’importance de « Date et durée de lecture de l’article sur le projet éducatif » dans le projet du GSE ?</w:t>
      </w:r>
    </w:p>
    <w:p>
      <w:pPr>
        <w:pStyle w:val="Normal"/>
        <w:spacing w:before="0" w:after="40"/>
        <w:ind w:start="255"/>
        <w:rPr/>
      </w:pPr>
      <w:r>
        <w:rPr>
          <w:b/>
          <w:color w:val="D4A017"/>
          <w:sz w:val="16"/>
        </w:rPr>
        <w:t xml:space="preserve">Réponse : </w:t>
      </w:r>
      <w:r>
        <w:rPr>
          <w:color w:val="1F2937"/>
          <w:sz w:val="16"/>
        </w:rPr>
        <w:t>Elle permet de suivre la construction publique du projet éducatif.</w:t>
      </w:r>
    </w:p>
    <w:p>
      <w:pPr>
        <w:pStyle w:val="Normal"/>
        <w:keepNext w:val="true"/>
        <w:keepLines/>
        <w:spacing w:before="40" w:after="0"/>
        <w:ind w:start="57"/>
        <w:rPr/>
      </w:pPr>
      <w:r>
        <w:rPr>
          <w:b/>
          <w:color w:val="0B3D91"/>
          <w:sz w:val="17"/>
        </w:rPr>
        <w:t>Q8. Quels liens « Date et durée de lecture de l’article sur le projet éducatif » entretient-il avec les autres pages ou services ?</w:t>
      </w:r>
    </w:p>
    <w:p>
      <w:pPr>
        <w:pStyle w:val="Normal"/>
        <w:spacing w:before="0" w:after="40"/>
        <w:ind w:start="255"/>
        <w:rPr/>
      </w:pPr>
      <w:r>
        <w:rPr>
          <w:b/>
          <w:color w:val="D4A017"/>
          <w:sz w:val="16"/>
        </w:rPr>
        <w:t xml:space="preserve">Réponse : </w:t>
      </w:r>
      <w:r>
        <w:rPr>
          <w:color w:val="1F2937"/>
          <w:sz w:val="16"/>
        </w:rPr>
        <w:t>Liens avec la carte correspondante sur la page principale.</w:t>
      </w:r>
    </w:p>
    <w:p>
      <w:pPr>
        <w:pStyle w:val="Normal"/>
        <w:keepNext w:val="true"/>
        <w:keepLines/>
        <w:spacing w:before="40" w:after="0"/>
        <w:ind w:start="57"/>
        <w:rPr/>
      </w:pPr>
      <w:r>
        <w:rPr>
          <w:b/>
          <w:color w:val="0B3D91"/>
          <w:sz w:val="17"/>
        </w:rPr>
        <w:t>Q9. Quelle précision, limite ou réserve faut-il conserver à propos de « Date et durée de lecture de l’article sur le projet éducatif » ?</w:t>
      </w:r>
    </w:p>
    <w:p>
      <w:pPr>
        <w:pStyle w:val="Normal"/>
        <w:spacing w:before="0" w:after="40"/>
        <w:ind w:start="255"/>
        <w:rPr/>
      </w:pPr>
      <w:r>
        <w:rPr>
          <w:b/>
          <w:color w:val="D4A017"/>
          <w:sz w:val="16"/>
        </w:rPr>
        <w:t xml:space="preserve">Réponse : </w:t>
      </w:r>
      <w:r>
        <w:rPr>
          <w:color w:val="1F2937"/>
          <w:sz w:val="16"/>
        </w:rPr>
        <w:t>La brièveté implique de se reporter aux pages détaillées pour approfondir.</w:t>
      </w:r>
    </w:p>
    <w:p>
      <w:pPr>
        <w:pStyle w:val="Normal"/>
        <w:keepNext w:val="true"/>
        <w:keepLines/>
        <w:spacing w:before="40" w:after="0"/>
        <w:ind w:start="57"/>
        <w:rPr/>
      </w:pPr>
      <w:r>
        <w:rPr>
          <w:b/>
          <w:color w:val="0B3D91"/>
          <w:sz w:val="17"/>
        </w:rPr>
        <w:t>Q10. Quelle réponse essentielle faut-il retenir au sujet de « Date et durée de lecture de l’article sur le projet éducatif » ?</w:t>
      </w:r>
    </w:p>
    <w:p>
      <w:pPr>
        <w:pStyle w:val="Normal"/>
        <w:spacing w:before="0" w:after="40"/>
        <w:ind w:start="255"/>
        <w:rPr/>
      </w:pPr>
      <w:r>
        <w:rPr>
          <w:b/>
          <w:color w:val="D4A017"/>
          <w:sz w:val="16"/>
        </w:rPr>
        <w:t xml:space="preserve">Réponse : </w:t>
      </w:r>
      <w:r>
        <w:rPr>
          <w:color w:val="1F2937"/>
          <w:sz w:val="16"/>
        </w:rPr>
        <w:t>Il s’agit d’un aperçu rapide du positionnement éducatif du GSE.</w:t>
      </w:r>
    </w:p>
    <w:p>
      <w:pPr>
        <w:pStyle w:val="Heading2"/>
        <w:keepNext w:val="true"/>
        <w:rPr/>
      </w:pPr>
      <w:r>
        <w:rPr/>
        <w:t>20. Association des programmes officiels et de la progression bilingue</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projet éducatif associe les programmes officiels à une progression bilingue.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met en relation conformité académique et ouverture linguistique.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garantit un socle reconnu et prépare les élèves à communiquer dans un environnement plus large.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Programmes, Bilinguisme, Maternelle et Primaire.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Programmes officiels</w:t>
      </w:r>
    </w:p>
    <w:p>
      <w:pPr>
        <w:pStyle w:val="ListBullet"/>
        <w:numPr>
          <w:ilvl w:val="0"/>
          <w:numId w:val="1"/>
        </w:numPr>
        <w:spacing w:before="0" w:after="20"/>
        <w:ind w:hanging="360" w:start="283"/>
        <w:contextualSpacing/>
        <w:rPr/>
      </w:pPr>
      <w:r>
        <w:rPr>
          <w:sz w:val="17"/>
        </w:rPr>
        <w:t>Progression bilingue</w:t>
      </w:r>
    </w:p>
    <w:p>
      <w:pPr>
        <w:pStyle w:val="ListBullet"/>
        <w:numPr>
          <w:ilvl w:val="0"/>
          <w:numId w:val="1"/>
        </w:numPr>
        <w:spacing w:before="0" w:after="20"/>
        <w:ind w:hanging="360" w:start="283"/>
        <w:contextualSpacing/>
        <w:rPr/>
      </w:pPr>
      <w:r>
        <w:rPr>
          <w:sz w:val="17"/>
        </w:rPr>
        <w:t>Français et anglais</w:t>
      </w:r>
    </w:p>
    <w:p>
      <w:pPr>
        <w:pStyle w:val="ListBullet"/>
        <w:numPr>
          <w:ilvl w:val="0"/>
          <w:numId w:val="1"/>
        </w:numPr>
        <w:spacing w:before="0" w:after="20"/>
        <w:ind w:hanging="360" w:start="283"/>
        <w:contextualSpacing/>
        <w:rPr/>
      </w:pPr>
      <w:r>
        <w:rPr>
          <w:sz w:val="17"/>
        </w:rPr>
        <w:t>Adaptation au niveau</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Association des programmes officiels et de la progression bilingue » ?</w:t>
      </w:r>
    </w:p>
    <w:p>
      <w:pPr>
        <w:pStyle w:val="Normal"/>
        <w:spacing w:before="0" w:after="40"/>
        <w:ind w:start="255"/>
        <w:rPr/>
      </w:pPr>
      <w:r>
        <w:rPr>
          <w:b/>
          <w:color w:val="D4A017"/>
          <w:sz w:val="16"/>
        </w:rPr>
        <w:t xml:space="preserve">Réponse : </w:t>
      </w:r>
      <w:r>
        <w:rPr>
          <w:color w:val="1F2937"/>
          <w:sz w:val="16"/>
        </w:rPr>
        <w:t>Le projet éducatif associe les programmes officiels à une progression bilingue.</w:t>
      </w:r>
    </w:p>
    <w:p>
      <w:pPr>
        <w:pStyle w:val="Normal"/>
        <w:keepNext w:val="true"/>
        <w:keepLines/>
        <w:spacing w:before="40" w:after="0"/>
        <w:ind w:start="57"/>
        <w:rPr/>
      </w:pPr>
      <w:r>
        <w:rPr>
          <w:b/>
          <w:color w:val="0B3D91"/>
          <w:sz w:val="17"/>
        </w:rPr>
        <w:t>Q2. Quelle est l’idée centrale de « Association des programmes officiels et de la progression bilingue » ?</w:t>
      </w:r>
    </w:p>
    <w:p>
      <w:pPr>
        <w:pStyle w:val="Normal"/>
        <w:spacing w:before="0" w:after="40"/>
        <w:ind w:start="255"/>
        <w:rPr/>
      </w:pPr>
      <w:r>
        <w:rPr>
          <w:b/>
          <w:color w:val="D4A017"/>
          <w:sz w:val="16"/>
        </w:rPr>
        <w:t xml:space="preserve">Réponse : </w:t>
      </w:r>
      <w:r>
        <w:rPr>
          <w:color w:val="1F2937"/>
          <w:sz w:val="16"/>
        </w:rPr>
        <w:t>Le GSE entend respecter le cadre scolaire tout en développant progressivement le français et l’anglais.</w:t>
      </w:r>
    </w:p>
    <w:p>
      <w:pPr>
        <w:pStyle w:val="Normal"/>
        <w:keepNext w:val="true"/>
        <w:keepLines/>
        <w:spacing w:before="40" w:after="0"/>
        <w:ind w:start="57"/>
        <w:rPr/>
      </w:pPr>
      <w:r>
        <w:rPr>
          <w:b/>
          <w:color w:val="0B3D91"/>
          <w:sz w:val="17"/>
        </w:rPr>
        <w:t>Q3. Quels éléments sont explicitement développés sous « Association des programmes officiels et de la progression bilingue » ?</w:t>
      </w:r>
    </w:p>
    <w:p>
      <w:pPr>
        <w:pStyle w:val="Normal"/>
        <w:spacing w:before="0" w:after="40"/>
        <w:ind w:start="255"/>
        <w:rPr/>
      </w:pPr>
      <w:r>
        <w:rPr>
          <w:b/>
          <w:color w:val="D4A017"/>
          <w:sz w:val="16"/>
        </w:rPr>
        <w:t xml:space="preserve">Réponse : </w:t>
      </w:r>
      <w:r>
        <w:rPr>
          <w:color w:val="1F2937"/>
          <w:sz w:val="16"/>
        </w:rPr>
        <w:t>Programmes officiels et apprentissage linguistique structuré.</w:t>
      </w:r>
    </w:p>
    <w:p>
      <w:pPr>
        <w:pStyle w:val="Normal"/>
        <w:keepNext w:val="true"/>
        <w:keepLines/>
        <w:spacing w:before="40" w:after="0"/>
        <w:ind w:start="57"/>
        <w:rPr/>
      </w:pPr>
      <w:r>
        <w:rPr>
          <w:b/>
          <w:color w:val="0B3D91"/>
          <w:sz w:val="17"/>
        </w:rPr>
        <w:t>Q4. À quel public ou à quels acteurs « Association des programmes officiels et de la progression bilingue » s’adresse-t-il ?</w:t>
      </w:r>
    </w:p>
    <w:p>
      <w:pPr>
        <w:pStyle w:val="Normal"/>
        <w:spacing w:before="0" w:after="40"/>
        <w:ind w:start="255"/>
        <w:rPr/>
      </w:pPr>
      <w:r>
        <w:rPr>
          <w:b/>
          <w:color w:val="D4A017"/>
          <w:sz w:val="16"/>
        </w:rPr>
        <w:t xml:space="preserve">Réponse : </w:t>
      </w:r>
      <w:r>
        <w:rPr>
          <w:color w:val="1F2937"/>
          <w:sz w:val="16"/>
        </w:rPr>
        <w:t>Élèves, familles et enseignants.</w:t>
      </w:r>
    </w:p>
    <w:p>
      <w:pPr>
        <w:pStyle w:val="Normal"/>
        <w:keepNext w:val="true"/>
        <w:keepLines/>
        <w:spacing w:before="40" w:after="0"/>
        <w:ind w:start="57"/>
        <w:rPr/>
      </w:pPr>
      <w:r>
        <w:rPr>
          <w:b/>
          <w:color w:val="0B3D91"/>
          <w:sz w:val="17"/>
        </w:rPr>
        <w:t>Q5. Quelle action ou conduite « Association des programmes officiels et de la progression bilingue » invite-t-il à adopter ?</w:t>
      </w:r>
    </w:p>
    <w:p>
      <w:pPr>
        <w:pStyle w:val="Normal"/>
        <w:spacing w:before="0" w:after="40"/>
        <w:ind w:start="255"/>
        <w:rPr/>
      </w:pPr>
      <w:r>
        <w:rPr>
          <w:b/>
          <w:color w:val="D4A017"/>
          <w:sz w:val="16"/>
        </w:rPr>
        <w:t xml:space="preserve">Réponse : </w:t>
      </w:r>
      <w:r>
        <w:rPr>
          <w:color w:val="1F2937"/>
          <w:sz w:val="16"/>
        </w:rPr>
        <w:t>Suivre les programmes tout en progressant dans les deux langues d’apprentissage.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met en relation conformité académique et ouverture linguistique.</w:t>
      </w:r>
    </w:p>
    <w:p>
      <w:pPr>
        <w:pStyle w:val="Normal"/>
        <w:keepNext w:val="true"/>
        <w:keepLines/>
        <w:spacing w:before="40" w:after="0"/>
        <w:ind w:start="57"/>
        <w:rPr/>
      </w:pPr>
      <w:r>
        <w:rPr>
          <w:b/>
          <w:color w:val="0B3D91"/>
          <w:sz w:val="17"/>
        </w:rPr>
        <w:t>Q7. Quelle est l’importance de « Association des programmes officiels et de la progression bilingue » dans le projet du GSE ?</w:t>
      </w:r>
    </w:p>
    <w:p>
      <w:pPr>
        <w:pStyle w:val="Normal"/>
        <w:spacing w:before="0" w:after="40"/>
        <w:ind w:start="255"/>
        <w:rPr/>
      </w:pPr>
      <w:r>
        <w:rPr>
          <w:b/>
          <w:color w:val="D4A017"/>
          <w:sz w:val="16"/>
        </w:rPr>
        <w:t xml:space="preserve">Réponse : </w:t>
      </w:r>
      <w:r>
        <w:rPr>
          <w:color w:val="1F2937"/>
          <w:sz w:val="16"/>
        </w:rPr>
        <w:t>Il garantit un socle reconnu et prépare les élèves à communiquer dans un environnement plus large.</w:t>
      </w:r>
    </w:p>
    <w:p>
      <w:pPr>
        <w:pStyle w:val="Normal"/>
        <w:keepNext w:val="true"/>
        <w:keepLines/>
        <w:spacing w:before="40" w:after="0"/>
        <w:ind w:start="57"/>
        <w:rPr/>
      </w:pPr>
      <w:r>
        <w:rPr>
          <w:b/>
          <w:color w:val="0B3D91"/>
          <w:sz w:val="17"/>
        </w:rPr>
        <w:t>Q8. Quels liens « Association des programmes officiels et de la progression bilingue » entretient-il avec les autres pages ou services ?</w:t>
      </w:r>
    </w:p>
    <w:p>
      <w:pPr>
        <w:pStyle w:val="Normal"/>
        <w:spacing w:before="0" w:after="40"/>
        <w:ind w:start="255"/>
        <w:rPr/>
      </w:pPr>
      <w:r>
        <w:rPr>
          <w:b/>
          <w:color w:val="D4A017"/>
          <w:sz w:val="16"/>
        </w:rPr>
        <w:t xml:space="preserve">Réponse : </w:t>
      </w:r>
      <w:r>
        <w:rPr>
          <w:color w:val="1F2937"/>
          <w:sz w:val="16"/>
        </w:rPr>
        <w:t>Liens avec Programmes, Bilinguisme, Maternelle et Primaire.</w:t>
      </w:r>
    </w:p>
    <w:p>
      <w:pPr>
        <w:pStyle w:val="Normal"/>
        <w:keepNext w:val="true"/>
        <w:keepLines/>
        <w:spacing w:before="40" w:after="0"/>
        <w:ind w:start="57"/>
        <w:rPr/>
      </w:pPr>
      <w:r>
        <w:rPr>
          <w:b/>
          <w:color w:val="0B3D91"/>
          <w:sz w:val="17"/>
        </w:rPr>
        <w:t>Q9. Quelle précision, limite ou réserve faut-il conserver à propos de « Association des programmes officiels et de la progression bilingue » ?</w:t>
      </w:r>
    </w:p>
    <w:p>
      <w:pPr>
        <w:pStyle w:val="Normal"/>
        <w:spacing w:before="0" w:after="40"/>
        <w:ind w:start="255"/>
        <w:rPr/>
      </w:pPr>
      <w:r>
        <w:rPr>
          <w:b/>
          <w:color w:val="D4A017"/>
          <w:sz w:val="16"/>
        </w:rPr>
        <w:t xml:space="preserve">Réponse : </w:t>
      </w:r>
      <w:r>
        <w:rPr>
          <w:color w:val="1F2937"/>
          <w:sz w:val="16"/>
        </w:rPr>
        <w:t>La progression bilingue doit rester adaptée à l’âge et au niveau des élèves.</w:t>
      </w:r>
    </w:p>
    <w:p>
      <w:pPr>
        <w:pStyle w:val="Normal"/>
        <w:keepNext w:val="true"/>
        <w:keepLines/>
        <w:spacing w:before="40" w:after="0"/>
        <w:ind w:start="57"/>
        <w:rPr/>
      </w:pPr>
      <w:r>
        <w:rPr>
          <w:b/>
          <w:color w:val="0B3D91"/>
          <w:sz w:val="17"/>
        </w:rPr>
        <w:t>Q10. Quelle réponse essentielle faut-il retenir au sujet de « Association des programmes officiels et de la progression bilingue » ?</w:t>
      </w:r>
    </w:p>
    <w:p>
      <w:pPr>
        <w:pStyle w:val="Normal"/>
        <w:spacing w:before="0" w:after="40"/>
        <w:ind w:start="255"/>
        <w:rPr/>
      </w:pPr>
      <w:r>
        <w:rPr>
          <w:b/>
          <w:color w:val="D4A017"/>
          <w:sz w:val="16"/>
        </w:rPr>
        <w:t xml:space="preserve">Réponse : </w:t>
      </w:r>
      <w:r>
        <w:rPr>
          <w:color w:val="1F2937"/>
          <w:sz w:val="16"/>
        </w:rPr>
        <w:t>Le bilinguisme enrichit les programmes officiels sans les remplacer.</w:t>
      </w:r>
    </w:p>
    <w:p>
      <w:pPr>
        <w:pStyle w:val="Heading2"/>
        <w:keepNext w:val="true"/>
        <w:rPr/>
      </w:pPr>
      <w:r>
        <w:rPr/>
        <w:t>21. Formation du caractère</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formation du caractère fait partie des composantes du projet éducatif.</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souligne que l’éducation concerne la personne entière.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l’intégrité, la discipline positive, le leadership et le service.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Valeurs, Vie scolaire, Foi et Leadership.</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Valeurs</w:t>
      </w:r>
    </w:p>
    <w:p>
      <w:pPr>
        <w:pStyle w:val="ListBullet"/>
        <w:numPr>
          <w:ilvl w:val="0"/>
          <w:numId w:val="1"/>
        </w:numPr>
        <w:spacing w:before="0" w:after="20"/>
        <w:ind w:hanging="360" w:start="283"/>
        <w:contextualSpacing/>
        <w:rPr/>
      </w:pPr>
      <w:r>
        <w:rPr>
          <w:sz w:val="17"/>
        </w:rPr>
        <w:t>Responsabilité</w:t>
      </w:r>
    </w:p>
    <w:p>
      <w:pPr>
        <w:pStyle w:val="ListBullet"/>
        <w:numPr>
          <w:ilvl w:val="0"/>
          <w:numId w:val="1"/>
        </w:numPr>
        <w:spacing w:before="0" w:after="20"/>
        <w:ind w:hanging="360" w:start="283"/>
        <w:contextualSpacing/>
        <w:rPr/>
      </w:pPr>
      <w:r>
        <w:rPr>
          <w:sz w:val="17"/>
        </w:rPr>
        <w:t>Attitudes</w:t>
      </w:r>
    </w:p>
    <w:p>
      <w:pPr>
        <w:pStyle w:val="ListBullet"/>
        <w:numPr>
          <w:ilvl w:val="0"/>
          <w:numId w:val="1"/>
        </w:numPr>
        <w:spacing w:before="0" w:after="20"/>
        <w:ind w:hanging="360" w:start="283"/>
        <w:contextualSpacing/>
        <w:rPr/>
      </w:pPr>
      <w:r>
        <w:rPr>
          <w:sz w:val="17"/>
        </w:rPr>
        <w:t>Éducation intégrale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Formation du caractère » ?</w:t>
      </w:r>
    </w:p>
    <w:p>
      <w:pPr>
        <w:pStyle w:val="Normal"/>
        <w:spacing w:before="0" w:after="40"/>
        <w:ind w:start="255"/>
        <w:rPr/>
      </w:pPr>
      <w:r>
        <w:rPr>
          <w:b/>
          <w:color w:val="D4A017"/>
          <w:sz w:val="16"/>
        </w:rPr>
        <w:t xml:space="preserve">Réponse : </w:t>
      </w:r>
      <w:r>
        <w:rPr>
          <w:color w:val="1F2937"/>
          <w:sz w:val="16"/>
        </w:rPr>
        <w:t>La formation du caractère fait partie des composantes du projet éducatif.</w:t>
      </w:r>
    </w:p>
    <w:p>
      <w:pPr>
        <w:pStyle w:val="Normal"/>
        <w:keepNext w:val="true"/>
        <w:keepLines/>
        <w:spacing w:before="40" w:after="0"/>
        <w:ind w:start="57"/>
        <w:rPr/>
      </w:pPr>
      <w:r>
        <w:rPr>
          <w:b/>
          <w:color w:val="0B3D91"/>
          <w:sz w:val="17"/>
        </w:rPr>
        <w:t>Q2. Quelle est l’idée centrale de « Formation du caractère » ?</w:t>
      </w:r>
    </w:p>
    <w:p>
      <w:pPr>
        <w:pStyle w:val="Normal"/>
        <w:spacing w:before="0" w:after="40"/>
        <w:ind w:start="255"/>
        <w:rPr/>
      </w:pPr>
      <w:r>
        <w:rPr>
          <w:b/>
          <w:color w:val="D4A017"/>
          <w:sz w:val="16"/>
        </w:rPr>
        <w:t xml:space="preserve">Réponse : </w:t>
      </w:r>
      <w:r>
        <w:rPr>
          <w:color w:val="1F2937"/>
          <w:sz w:val="16"/>
        </w:rPr>
        <w:t>L’école vise le développement de comportements, attitudes et valeurs, en plus des connaissances.</w:t>
      </w:r>
    </w:p>
    <w:p>
      <w:pPr>
        <w:pStyle w:val="Normal"/>
        <w:keepNext w:val="true"/>
        <w:keepLines/>
        <w:spacing w:before="40" w:after="0"/>
        <w:ind w:start="57"/>
        <w:rPr/>
      </w:pPr>
      <w:r>
        <w:rPr>
          <w:b/>
          <w:color w:val="0B3D91"/>
          <w:sz w:val="17"/>
        </w:rPr>
        <w:t>Q3. Quels éléments sont explicitement développés sous « Formation du caractère » ?</w:t>
      </w:r>
    </w:p>
    <w:p>
      <w:pPr>
        <w:pStyle w:val="Normal"/>
        <w:spacing w:before="0" w:after="40"/>
        <w:ind w:start="255"/>
        <w:rPr/>
      </w:pPr>
      <w:r>
        <w:rPr>
          <w:b/>
          <w:color w:val="D4A017"/>
          <w:sz w:val="16"/>
        </w:rPr>
        <w:t xml:space="preserve">Réponse : </w:t>
      </w:r>
      <w:r>
        <w:rPr>
          <w:color w:val="1F2937"/>
          <w:sz w:val="16"/>
        </w:rPr>
        <w:t>Valeurs, responsabilité, conduite et maturation personnelle.</w:t>
      </w:r>
    </w:p>
    <w:p>
      <w:pPr>
        <w:pStyle w:val="Normal"/>
        <w:keepNext w:val="true"/>
        <w:keepLines/>
        <w:spacing w:before="40" w:after="0"/>
        <w:ind w:start="57"/>
        <w:rPr/>
      </w:pPr>
      <w:r>
        <w:rPr>
          <w:b/>
          <w:color w:val="0B3D91"/>
          <w:sz w:val="17"/>
        </w:rPr>
        <w:t>Q4. À quel public ou à quels acteurs « Formation du caractère » s’adresse-t-il ?</w:t>
      </w:r>
    </w:p>
    <w:p>
      <w:pPr>
        <w:pStyle w:val="Normal"/>
        <w:spacing w:before="0" w:after="40"/>
        <w:ind w:start="255"/>
        <w:rPr/>
      </w:pPr>
      <w:r>
        <w:rPr>
          <w:b/>
          <w:color w:val="D4A017"/>
          <w:sz w:val="16"/>
        </w:rPr>
        <w:t xml:space="preserve">Réponse : </w:t>
      </w:r>
      <w:r>
        <w:rPr>
          <w:color w:val="1F2937"/>
          <w:sz w:val="16"/>
        </w:rPr>
        <w:t>Élèves, éducateurs et familles.</w:t>
      </w:r>
    </w:p>
    <w:p>
      <w:pPr>
        <w:pStyle w:val="Normal"/>
        <w:keepNext w:val="true"/>
        <w:keepLines/>
        <w:spacing w:before="40" w:after="0"/>
        <w:ind w:start="57"/>
        <w:rPr/>
      </w:pPr>
      <w:r>
        <w:rPr>
          <w:b/>
          <w:color w:val="0B3D91"/>
          <w:sz w:val="17"/>
        </w:rPr>
        <w:t>Q5. Quelle action ou conduite « Formation du caractère » invite-t-il à adopter ?</w:t>
      </w:r>
    </w:p>
    <w:p>
      <w:pPr>
        <w:pStyle w:val="Normal"/>
        <w:spacing w:before="0" w:after="40"/>
        <w:ind w:start="255"/>
        <w:rPr/>
      </w:pPr>
      <w:r>
        <w:rPr>
          <w:b/>
          <w:color w:val="D4A017"/>
          <w:sz w:val="16"/>
        </w:rPr>
        <w:t xml:space="preserve">Réponse : </w:t>
      </w:r>
      <w:r>
        <w:rPr>
          <w:color w:val="1F2937"/>
          <w:sz w:val="16"/>
        </w:rPr>
        <w:t>Relier les apprentissages à des attitudes responsables et cohérentes.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souligne que l’éducation concerne la personne entière.</w:t>
      </w:r>
    </w:p>
    <w:p>
      <w:pPr>
        <w:pStyle w:val="Normal"/>
        <w:keepNext w:val="true"/>
        <w:keepLines/>
        <w:spacing w:before="40" w:after="0"/>
        <w:ind w:start="57"/>
        <w:rPr/>
      </w:pPr>
      <w:r>
        <w:rPr>
          <w:b/>
          <w:color w:val="0B3D91"/>
          <w:sz w:val="17"/>
        </w:rPr>
        <w:t>Q7. Quelle est l’importance de « Formation du caractère » dans le projet du GSE ?</w:t>
      </w:r>
    </w:p>
    <w:p>
      <w:pPr>
        <w:pStyle w:val="Normal"/>
        <w:spacing w:before="0" w:after="40"/>
        <w:ind w:start="255"/>
        <w:rPr/>
      </w:pPr>
      <w:r>
        <w:rPr>
          <w:b/>
          <w:color w:val="D4A017"/>
          <w:sz w:val="16"/>
        </w:rPr>
        <w:t xml:space="preserve">Réponse : </w:t>
      </w:r>
      <w:r>
        <w:rPr>
          <w:color w:val="1F2937"/>
          <w:sz w:val="16"/>
        </w:rPr>
        <w:t>Il soutient l’intégrité, la discipline positive, le leadership et le service.</w:t>
      </w:r>
    </w:p>
    <w:p>
      <w:pPr>
        <w:pStyle w:val="Normal"/>
        <w:keepNext w:val="true"/>
        <w:keepLines/>
        <w:spacing w:before="40" w:after="0"/>
        <w:ind w:start="57"/>
        <w:rPr/>
      </w:pPr>
      <w:r>
        <w:rPr>
          <w:b/>
          <w:color w:val="0B3D91"/>
          <w:sz w:val="17"/>
        </w:rPr>
        <w:t>Q8. Quels liens « Formation du caractère » entretient-il avec les autres pages ou services ?</w:t>
      </w:r>
    </w:p>
    <w:p>
      <w:pPr>
        <w:pStyle w:val="Normal"/>
        <w:spacing w:before="0" w:after="40"/>
        <w:ind w:start="255"/>
        <w:rPr/>
      </w:pPr>
      <w:r>
        <w:rPr>
          <w:b/>
          <w:color w:val="D4A017"/>
          <w:sz w:val="16"/>
        </w:rPr>
        <w:t xml:space="preserve">Réponse : </w:t>
      </w:r>
      <w:r>
        <w:rPr>
          <w:color w:val="1F2937"/>
          <w:sz w:val="16"/>
        </w:rPr>
        <w:t>Liens avec Valeurs, Vie scolaire, Foi et Leadership.</w:t>
      </w:r>
    </w:p>
    <w:p>
      <w:pPr>
        <w:pStyle w:val="Normal"/>
        <w:keepNext w:val="true"/>
        <w:keepLines/>
        <w:spacing w:before="40" w:after="0"/>
        <w:ind w:start="57"/>
        <w:rPr/>
      </w:pPr>
      <w:r>
        <w:rPr>
          <w:b/>
          <w:color w:val="0B3D91"/>
          <w:sz w:val="17"/>
        </w:rPr>
        <w:t>Q9. Quelle précision, limite ou réserve faut-il conserver à propos de « Formation du caractère » ?</w:t>
      </w:r>
    </w:p>
    <w:p>
      <w:pPr>
        <w:pStyle w:val="Normal"/>
        <w:spacing w:before="0" w:after="40"/>
        <w:ind w:start="255"/>
        <w:rPr/>
      </w:pPr>
      <w:r>
        <w:rPr>
          <w:b/>
          <w:color w:val="D4A017"/>
          <w:sz w:val="16"/>
        </w:rPr>
        <w:t xml:space="preserve">Réponse : </w:t>
      </w:r>
      <w:r>
        <w:rPr>
          <w:color w:val="1F2937"/>
          <w:sz w:val="16"/>
        </w:rPr>
        <w:t>La formation du caractère doit se traduire dans des pratiques concrètes et adaptées à l’âge.</w:t>
      </w:r>
    </w:p>
    <w:p>
      <w:pPr>
        <w:pStyle w:val="Normal"/>
        <w:keepNext w:val="true"/>
        <w:keepLines/>
        <w:spacing w:before="40" w:after="0"/>
        <w:ind w:start="57"/>
        <w:rPr/>
      </w:pPr>
      <w:r>
        <w:rPr>
          <w:b/>
          <w:color w:val="0B3D91"/>
          <w:sz w:val="17"/>
        </w:rPr>
        <w:t>Q10. Quelle réponse essentielle faut-il retenir au sujet de « Formation du caractère » ?</w:t>
      </w:r>
    </w:p>
    <w:p>
      <w:pPr>
        <w:pStyle w:val="Normal"/>
        <w:spacing w:before="0" w:after="40"/>
        <w:ind w:start="255"/>
        <w:rPr/>
      </w:pPr>
      <w:r>
        <w:rPr>
          <w:b/>
          <w:color w:val="D4A017"/>
          <w:sz w:val="16"/>
        </w:rPr>
        <w:t xml:space="preserve">Réponse : </w:t>
      </w:r>
      <w:r>
        <w:rPr>
          <w:color w:val="1F2937"/>
          <w:sz w:val="16"/>
        </w:rPr>
        <w:t>Le GSE veut former des élèves compétents et responsables.</w:t>
      </w:r>
    </w:p>
    <w:p>
      <w:pPr>
        <w:pStyle w:val="Heading2"/>
        <w:keepNext w:val="true"/>
        <w:rPr/>
      </w:pPr>
      <w:r>
        <w:rPr/>
        <w:t>22. Sciences et numérique</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intègre les sciences et le numérique dans le projet éducatif.</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met en avant des compétences nécessaires au monde moderne.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favorise la curiosité, la résolution de problèmes et la préparation technologique.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Programmes, Infrastructures, salle informatique et activités scientifiques.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Sciences</w:t>
      </w:r>
    </w:p>
    <w:p>
      <w:pPr>
        <w:pStyle w:val="ListBullet"/>
        <w:numPr>
          <w:ilvl w:val="0"/>
          <w:numId w:val="1"/>
        </w:numPr>
        <w:spacing w:before="0" w:after="20"/>
        <w:ind w:hanging="360" w:start="283"/>
        <w:contextualSpacing/>
        <w:rPr/>
      </w:pPr>
      <w:r>
        <w:rPr>
          <w:sz w:val="17"/>
        </w:rPr>
        <w:t>Raisonnement</w:t>
      </w:r>
    </w:p>
    <w:p>
      <w:pPr>
        <w:pStyle w:val="ListBullet"/>
        <w:numPr>
          <w:ilvl w:val="0"/>
          <w:numId w:val="1"/>
        </w:numPr>
        <w:spacing w:before="0" w:after="20"/>
        <w:ind w:hanging="360" w:start="283"/>
        <w:contextualSpacing/>
        <w:rPr/>
      </w:pPr>
      <w:r>
        <w:rPr>
          <w:sz w:val="17"/>
        </w:rPr>
        <w:t>Numérique</w:t>
      </w:r>
    </w:p>
    <w:p>
      <w:pPr>
        <w:pStyle w:val="ListBullet"/>
        <w:numPr>
          <w:ilvl w:val="0"/>
          <w:numId w:val="1"/>
        </w:numPr>
        <w:spacing w:before="0" w:after="20"/>
        <w:ind w:hanging="360" w:start="283"/>
        <w:contextualSpacing/>
        <w:rPr/>
      </w:pPr>
      <w:r>
        <w:rPr>
          <w:sz w:val="17"/>
        </w:rPr>
        <w:t>Adaptation à l’âge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Sciences et numérique » ?</w:t>
      </w:r>
    </w:p>
    <w:p>
      <w:pPr>
        <w:pStyle w:val="Normal"/>
        <w:spacing w:before="0" w:after="40"/>
        <w:ind w:start="255"/>
        <w:rPr/>
      </w:pPr>
      <w:r>
        <w:rPr>
          <w:b/>
          <w:color w:val="D4A017"/>
          <w:sz w:val="16"/>
        </w:rPr>
        <w:t xml:space="preserve">Réponse : </w:t>
      </w:r>
      <w:r>
        <w:rPr>
          <w:color w:val="1F2937"/>
          <w:sz w:val="16"/>
        </w:rPr>
        <w:t>L’article intègre les sciences et le numérique dans le projet éducatif.</w:t>
      </w:r>
    </w:p>
    <w:p>
      <w:pPr>
        <w:pStyle w:val="Normal"/>
        <w:keepNext w:val="true"/>
        <w:keepLines/>
        <w:spacing w:before="40" w:after="0"/>
        <w:ind w:start="57"/>
        <w:rPr/>
      </w:pPr>
      <w:r>
        <w:rPr>
          <w:b/>
          <w:color w:val="0B3D91"/>
          <w:sz w:val="17"/>
        </w:rPr>
        <w:t>Q2. Quelle est l’idée centrale de « Sciences et numérique » ?</w:t>
      </w:r>
    </w:p>
    <w:p>
      <w:pPr>
        <w:pStyle w:val="Normal"/>
        <w:spacing w:before="0" w:after="40"/>
        <w:ind w:start="255"/>
        <w:rPr/>
      </w:pPr>
      <w:r>
        <w:rPr>
          <w:b/>
          <w:color w:val="D4A017"/>
          <w:sz w:val="16"/>
        </w:rPr>
        <w:t xml:space="preserve">Réponse : </w:t>
      </w:r>
      <w:r>
        <w:rPr>
          <w:color w:val="1F2937"/>
          <w:sz w:val="16"/>
        </w:rPr>
        <w:t>Ces domaines préparent les élèves à observer, raisonner et utiliser les outils contemporains.</w:t>
      </w:r>
    </w:p>
    <w:p>
      <w:pPr>
        <w:pStyle w:val="Normal"/>
        <w:keepNext w:val="true"/>
        <w:keepLines/>
        <w:spacing w:before="40" w:after="0"/>
        <w:ind w:start="57"/>
        <w:rPr/>
      </w:pPr>
      <w:r>
        <w:rPr>
          <w:b/>
          <w:color w:val="0B3D91"/>
          <w:sz w:val="17"/>
        </w:rPr>
        <w:t>Q3. Quels éléments sont explicitement développés sous « Sciences et numérique » ?</w:t>
      </w:r>
    </w:p>
    <w:p>
      <w:pPr>
        <w:pStyle w:val="Normal"/>
        <w:spacing w:before="0" w:after="40"/>
        <w:ind w:start="255"/>
        <w:rPr/>
      </w:pPr>
      <w:r>
        <w:rPr>
          <w:b/>
          <w:color w:val="D4A017"/>
          <w:sz w:val="16"/>
        </w:rPr>
        <w:t xml:space="preserve">Réponse : </w:t>
      </w:r>
      <w:r>
        <w:rPr>
          <w:color w:val="1F2937"/>
          <w:sz w:val="16"/>
        </w:rPr>
        <w:t>Sciences, raisonnement, technologies et compétences numériques.</w:t>
      </w:r>
    </w:p>
    <w:p>
      <w:pPr>
        <w:pStyle w:val="Normal"/>
        <w:keepNext w:val="true"/>
        <w:keepLines/>
        <w:spacing w:before="40" w:after="0"/>
        <w:ind w:start="57"/>
        <w:rPr/>
      </w:pPr>
      <w:r>
        <w:rPr>
          <w:b/>
          <w:color w:val="0B3D91"/>
          <w:sz w:val="17"/>
        </w:rPr>
        <w:t>Q4. À quel public ou à quels acteurs « Sciences et numérique » s’adresse-t-il ?</w:t>
      </w:r>
    </w:p>
    <w:p>
      <w:pPr>
        <w:pStyle w:val="Normal"/>
        <w:spacing w:before="0" w:after="40"/>
        <w:ind w:start="255"/>
        <w:rPr/>
      </w:pPr>
      <w:r>
        <w:rPr>
          <w:b/>
          <w:color w:val="D4A017"/>
          <w:sz w:val="16"/>
        </w:rPr>
        <w:t xml:space="preserve">Réponse : </w:t>
      </w:r>
      <w:r>
        <w:rPr>
          <w:color w:val="1F2937"/>
          <w:sz w:val="16"/>
        </w:rPr>
        <w:t>Élèves et enseignants.</w:t>
      </w:r>
    </w:p>
    <w:p>
      <w:pPr>
        <w:pStyle w:val="Normal"/>
        <w:keepNext w:val="true"/>
        <w:keepLines/>
        <w:spacing w:before="40" w:after="0"/>
        <w:ind w:start="57"/>
        <w:rPr/>
      </w:pPr>
      <w:r>
        <w:rPr>
          <w:b/>
          <w:color w:val="0B3D91"/>
          <w:sz w:val="17"/>
        </w:rPr>
        <w:t>Q5. Quelle action ou conduite « Sciences et numérique » invite-t-il à adopter ?</w:t>
      </w:r>
    </w:p>
    <w:p>
      <w:pPr>
        <w:pStyle w:val="Normal"/>
        <w:spacing w:before="0" w:after="40"/>
        <w:ind w:start="255"/>
        <w:rPr/>
      </w:pPr>
      <w:r>
        <w:rPr>
          <w:b/>
          <w:color w:val="D4A017"/>
          <w:sz w:val="16"/>
        </w:rPr>
        <w:t xml:space="preserve">Réponse : </w:t>
      </w:r>
      <w:r>
        <w:rPr>
          <w:color w:val="1F2937"/>
          <w:sz w:val="16"/>
        </w:rPr>
        <w:t>Participer à des apprentissages scientifiques et numériques adaptés aux niveaux ouverts.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met en avant des compétences nécessaires au monde moderne.</w:t>
      </w:r>
    </w:p>
    <w:p>
      <w:pPr>
        <w:pStyle w:val="Normal"/>
        <w:keepNext w:val="true"/>
        <w:keepLines/>
        <w:spacing w:before="40" w:after="0"/>
        <w:ind w:start="57"/>
        <w:rPr/>
      </w:pPr>
      <w:r>
        <w:rPr>
          <w:b/>
          <w:color w:val="0B3D91"/>
          <w:sz w:val="17"/>
        </w:rPr>
        <w:t>Q7. Quelle est l’importance de « Sciences et numérique » dans le projet du GSE ?</w:t>
      </w:r>
    </w:p>
    <w:p>
      <w:pPr>
        <w:pStyle w:val="Normal"/>
        <w:spacing w:before="0" w:after="40"/>
        <w:ind w:start="255"/>
        <w:rPr/>
      </w:pPr>
      <w:r>
        <w:rPr>
          <w:b/>
          <w:color w:val="D4A017"/>
          <w:sz w:val="16"/>
        </w:rPr>
        <w:t xml:space="preserve">Réponse : </w:t>
      </w:r>
      <w:r>
        <w:rPr>
          <w:color w:val="1F2937"/>
          <w:sz w:val="16"/>
        </w:rPr>
        <w:t>Il favorise la curiosité, la résolution de problèmes et la préparation technologique.</w:t>
      </w:r>
    </w:p>
    <w:p>
      <w:pPr>
        <w:pStyle w:val="Normal"/>
        <w:keepNext w:val="true"/>
        <w:keepLines/>
        <w:spacing w:before="40" w:after="0"/>
        <w:ind w:start="57"/>
        <w:rPr/>
      </w:pPr>
      <w:r>
        <w:rPr>
          <w:b/>
          <w:color w:val="0B3D91"/>
          <w:sz w:val="17"/>
        </w:rPr>
        <w:t>Q8. Quels liens « Sciences et numérique » entretient-il avec les autres pages ou services ?</w:t>
      </w:r>
    </w:p>
    <w:p>
      <w:pPr>
        <w:pStyle w:val="Normal"/>
        <w:spacing w:before="0" w:after="40"/>
        <w:ind w:start="255"/>
        <w:rPr/>
      </w:pPr>
      <w:r>
        <w:rPr>
          <w:b/>
          <w:color w:val="D4A017"/>
          <w:sz w:val="16"/>
        </w:rPr>
        <w:t xml:space="preserve">Réponse : </w:t>
      </w:r>
      <w:r>
        <w:rPr>
          <w:color w:val="1F2937"/>
          <w:sz w:val="16"/>
        </w:rPr>
        <w:t>Liens avec Programmes, Infrastructures, salle informatique et activités scientifiques.</w:t>
      </w:r>
    </w:p>
    <w:p>
      <w:pPr>
        <w:pStyle w:val="Normal"/>
        <w:keepNext w:val="true"/>
        <w:keepLines/>
        <w:spacing w:before="40" w:after="0"/>
        <w:ind w:start="57"/>
        <w:rPr/>
      </w:pPr>
      <w:r>
        <w:rPr>
          <w:b/>
          <w:color w:val="0B3D91"/>
          <w:sz w:val="17"/>
        </w:rPr>
        <w:t>Q9. Quelle précision, limite ou réserve faut-il conserver à propos de « Sciences et numérique » ?</w:t>
      </w:r>
    </w:p>
    <w:p>
      <w:pPr>
        <w:pStyle w:val="Normal"/>
        <w:spacing w:before="0" w:after="40"/>
        <w:ind w:start="255"/>
        <w:rPr/>
      </w:pPr>
      <w:r>
        <w:rPr>
          <w:b/>
          <w:color w:val="D4A017"/>
          <w:sz w:val="16"/>
        </w:rPr>
        <w:t xml:space="preserve">Réponse : </w:t>
      </w:r>
      <w:r>
        <w:rPr>
          <w:color w:val="1F2937"/>
          <w:sz w:val="16"/>
        </w:rPr>
        <w:t>Les contenus et outils doivent être adaptés à l’âge et aux ressources effectivement disponibles.</w:t>
      </w:r>
    </w:p>
    <w:p>
      <w:pPr>
        <w:pStyle w:val="Normal"/>
        <w:keepNext w:val="true"/>
        <w:keepLines/>
        <w:spacing w:before="40" w:after="0"/>
        <w:ind w:start="57"/>
        <w:rPr/>
      </w:pPr>
      <w:r>
        <w:rPr>
          <w:b/>
          <w:color w:val="0B3D91"/>
          <w:sz w:val="17"/>
        </w:rPr>
        <w:t>Q10. Quelle réponse essentielle faut-il retenir au sujet de « Sciences et numérique » ?</w:t>
      </w:r>
    </w:p>
    <w:p>
      <w:pPr>
        <w:pStyle w:val="Normal"/>
        <w:spacing w:before="0" w:after="40"/>
        <w:ind w:start="255"/>
        <w:rPr/>
      </w:pPr>
      <w:r>
        <w:rPr>
          <w:b/>
          <w:color w:val="D4A017"/>
          <w:sz w:val="16"/>
        </w:rPr>
        <w:t xml:space="preserve">Réponse : </w:t>
      </w:r>
      <w:r>
        <w:rPr>
          <w:color w:val="1F2937"/>
          <w:sz w:val="16"/>
        </w:rPr>
        <w:t>Sciences et numérique enrichissent les apprentissages et la préparation à l’avenir.</w:t>
      </w:r>
    </w:p>
    <w:p>
      <w:pPr>
        <w:pStyle w:val="Heading2"/>
        <w:keepNext w:val="true"/>
        <w:rPr/>
      </w:pPr>
      <w:r>
        <w:rPr/>
        <w:t>23. Créativité et service</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créativité et le service figurent parmi les dimensions associées au projet éducatif.</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relie développement personnel et contribution collective.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nourrit le leadership responsable, les talents et l’engagement.</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Activités &amp; talents, Valeurs, Leadership et éducation chrétienne.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Créativité</w:t>
      </w:r>
    </w:p>
    <w:p>
      <w:pPr>
        <w:pStyle w:val="ListBullet"/>
        <w:numPr>
          <w:ilvl w:val="0"/>
          <w:numId w:val="1"/>
        </w:numPr>
        <w:spacing w:before="0" w:after="20"/>
        <w:ind w:hanging="360" w:start="283"/>
        <w:contextualSpacing/>
        <w:rPr/>
      </w:pPr>
      <w:r>
        <w:rPr>
          <w:sz w:val="17"/>
        </w:rPr>
        <w:t>Initiative</w:t>
      </w:r>
    </w:p>
    <w:p>
      <w:pPr>
        <w:pStyle w:val="ListBullet"/>
        <w:numPr>
          <w:ilvl w:val="0"/>
          <w:numId w:val="1"/>
        </w:numPr>
        <w:spacing w:before="0" w:after="20"/>
        <w:ind w:hanging="360" w:start="283"/>
        <w:contextualSpacing/>
        <w:rPr/>
      </w:pPr>
      <w:r>
        <w:rPr>
          <w:sz w:val="17"/>
        </w:rPr>
        <w:t>Service</w:t>
      </w:r>
    </w:p>
    <w:p>
      <w:pPr>
        <w:pStyle w:val="ListBullet"/>
        <w:numPr>
          <w:ilvl w:val="0"/>
          <w:numId w:val="1"/>
        </w:numPr>
        <w:spacing w:before="0" w:after="20"/>
        <w:ind w:hanging="360" w:start="283"/>
        <w:contextualSpacing/>
        <w:rPr/>
      </w:pPr>
      <w:r>
        <w:rPr>
          <w:sz w:val="17"/>
        </w:rPr>
        <w:t>Bien commun</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Créativité et service » ?</w:t>
      </w:r>
    </w:p>
    <w:p>
      <w:pPr>
        <w:pStyle w:val="Normal"/>
        <w:spacing w:before="0" w:after="40"/>
        <w:ind w:start="255"/>
        <w:rPr/>
      </w:pPr>
      <w:r>
        <w:rPr>
          <w:b/>
          <w:color w:val="D4A017"/>
          <w:sz w:val="16"/>
        </w:rPr>
        <w:t xml:space="preserve">Réponse : </w:t>
      </w:r>
      <w:r>
        <w:rPr>
          <w:color w:val="1F2937"/>
          <w:sz w:val="16"/>
        </w:rPr>
        <w:t>La créativité et le service figurent parmi les dimensions associées au projet éducatif.</w:t>
      </w:r>
    </w:p>
    <w:p>
      <w:pPr>
        <w:pStyle w:val="Normal"/>
        <w:keepNext w:val="true"/>
        <w:keepLines/>
        <w:spacing w:before="40" w:after="0"/>
        <w:ind w:start="57"/>
        <w:rPr/>
      </w:pPr>
      <w:r>
        <w:rPr>
          <w:b/>
          <w:color w:val="0B3D91"/>
          <w:sz w:val="17"/>
        </w:rPr>
        <w:t>Q2. Quelle est l’idée centrale de « Créativité et service » ?</w:t>
      </w:r>
    </w:p>
    <w:p>
      <w:pPr>
        <w:pStyle w:val="Normal"/>
        <w:spacing w:before="0" w:after="40"/>
        <w:ind w:start="255"/>
        <w:rPr/>
      </w:pPr>
      <w:r>
        <w:rPr>
          <w:b/>
          <w:color w:val="D4A017"/>
          <w:sz w:val="16"/>
        </w:rPr>
        <w:t xml:space="preserve">Réponse : </w:t>
      </w:r>
      <w:r>
        <w:rPr>
          <w:color w:val="1F2937"/>
          <w:sz w:val="16"/>
        </w:rPr>
        <w:t>L’élève est encouragé à imaginer, produire et agir utilement pour les autres.</w:t>
      </w:r>
    </w:p>
    <w:p>
      <w:pPr>
        <w:pStyle w:val="Normal"/>
        <w:keepNext w:val="true"/>
        <w:keepLines/>
        <w:spacing w:before="40" w:after="0"/>
        <w:ind w:start="57"/>
        <w:rPr/>
      </w:pPr>
      <w:r>
        <w:rPr>
          <w:b/>
          <w:color w:val="0B3D91"/>
          <w:sz w:val="17"/>
        </w:rPr>
        <w:t>Q3. Quels éléments sont explicitement développés sous « Créativité et service » ?</w:t>
      </w:r>
    </w:p>
    <w:p>
      <w:pPr>
        <w:pStyle w:val="Normal"/>
        <w:spacing w:before="0" w:after="40"/>
        <w:ind w:start="255"/>
        <w:rPr/>
      </w:pPr>
      <w:r>
        <w:rPr>
          <w:b/>
          <w:color w:val="D4A017"/>
          <w:sz w:val="16"/>
        </w:rPr>
        <w:t xml:space="preserve">Réponse : </w:t>
      </w:r>
      <w:r>
        <w:rPr>
          <w:color w:val="1F2937"/>
          <w:sz w:val="16"/>
        </w:rPr>
        <w:t>Expression créative, initiatives et service de la communauté.</w:t>
      </w:r>
    </w:p>
    <w:p>
      <w:pPr>
        <w:pStyle w:val="Normal"/>
        <w:keepNext w:val="true"/>
        <w:keepLines/>
        <w:spacing w:before="40" w:after="0"/>
        <w:ind w:start="57"/>
        <w:rPr/>
      </w:pPr>
      <w:r>
        <w:rPr>
          <w:b/>
          <w:color w:val="0B3D91"/>
          <w:sz w:val="17"/>
        </w:rPr>
        <w:t>Q4. À quel public ou à quels acteurs « Créativité et service » s’adresse-t-il ?</w:t>
      </w:r>
    </w:p>
    <w:p>
      <w:pPr>
        <w:pStyle w:val="Normal"/>
        <w:spacing w:before="0" w:after="40"/>
        <w:ind w:start="255"/>
        <w:rPr/>
      </w:pPr>
      <w:r>
        <w:rPr>
          <w:b/>
          <w:color w:val="D4A017"/>
          <w:sz w:val="16"/>
        </w:rPr>
        <w:t xml:space="preserve">Réponse : </w:t>
      </w:r>
      <w:r>
        <w:rPr>
          <w:color w:val="1F2937"/>
          <w:sz w:val="16"/>
        </w:rPr>
        <w:t>Élèves, enseignants et communauté éducative.</w:t>
      </w:r>
    </w:p>
    <w:p>
      <w:pPr>
        <w:pStyle w:val="Normal"/>
        <w:keepNext w:val="true"/>
        <w:keepLines/>
        <w:spacing w:before="40" w:after="0"/>
        <w:ind w:start="57"/>
        <w:rPr/>
      </w:pPr>
      <w:r>
        <w:rPr>
          <w:b/>
          <w:color w:val="0B3D91"/>
          <w:sz w:val="17"/>
        </w:rPr>
        <w:t>Q5. Quelle action ou conduite « Créativité et service » invite-t-il à adopter ?</w:t>
      </w:r>
    </w:p>
    <w:p>
      <w:pPr>
        <w:pStyle w:val="Normal"/>
        <w:spacing w:before="0" w:after="40"/>
        <w:ind w:start="255"/>
        <w:rPr/>
      </w:pPr>
      <w:r>
        <w:rPr>
          <w:b/>
          <w:color w:val="D4A017"/>
          <w:sz w:val="16"/>
        </w:rPr>
        <w:t xml:space="preserve">Réponse : </w:t>
      </w:r>
      <w:r>
        <w:rPr>
          <w:color w:val="1F2937"/>
          <w:sz w:val="16"/>
        </w:rPr>
        <w:t>Développer des idées et les mettre au service du bien commun.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relie développement personnel et contribution collective.</w:t>
      </w:r>
    </w:p>
    <w:p>
      <w:pPr>
        <w:pStyle w:val="Normal"/>
        <w:keepNext w:val="true"/>
        <w:keepLines/>
        <w:spacing w:before="40" w:after="0"/>
        <w:ind w:start="57"/>
        <w:rPr/>
      </w:pPr>
      <w:r>
        <w:rPr>
          <w:b/>
          <w:color w:val="0B3D91"/>
          <w:sz w:val="17"/>
        </w:rPr>
        <w:t>Q7. Quelle est l’importance de « Créativité et service » dans le projet du GSE ?</w:t>
      </w:r>
    </w:p>
    <w:p>
      <w:pPr>
        <w:pStyle w:val="Normal"/>
        <w:spacing w:before="0" w:after="40"/>
        <w:ind w:start="255"/>
        <w:rPr/>
      </w:pPr>
      <w:r>
        <w:rPr>
          <w:b/>
          <w:color w:val="D4A017"/>
          <w:sz w:val="16"/>
        </w:rPr>
        <w:t xml:space="preserve">Réponse : </w:t>
      </w:r>
      <w:r>
        <w:rPr>
          <w:color w:val="1F2937"/>
          <w:sz w:val="16"/>
        </w:rPr>
        <w:t>Il nourrit le leadership responsable, les talents et l’engagement.</w:t>
      </w:r>
    </w:p>
    <w:p>
      <w:pPr>
        <w:pStyle w:val="Normal"/>
        <w:keepNext w:val="true"/>
        <w:keepLines/>
        <w:spacing w:before="40" w:after="0"/>
        <w:ind w:start="57"/>
        <w:rPr/>
      </w:pPr>
      <w:r>
        <w:rPr>
          <w:b/>
          <w:color w:val="0B3D91"/>
          <w:sz w:val="17"/>
        </w:rPr>
        <w:t>Q8. Quels liens « Créativité et service » entretient-il avec les autres pages ou services ?</w:t>
      </w:r>
    </w:p>
    <w:p>
      <w:pPr>
        <w:pStyle w:val="Normal"/>
        <w:spacing w:before="0" w:after="40"/>
        <w:ind w:start="255"/>
        <w:rPr/>
      </w:pPr>
      <w:r>
        <w:rPr>
          <w:b/>
          <w:color w:val="D4A017"/>
          <w:sz w:val="16"/>
        </w:rPr>
        <w:t xml:space="preserve">Réponse : </w:t>
      </w:r>
      <w:r>
        <w:rPr>
          <w:color w:val="1F2937"/>
          <w:sz w:val="16"/>
        </w:rPr>
        <w:t>Liens avec Activités &amp; talents, Valeurs, Leadership et éducation chrétienne.</w:t>
      </w:r>
    </w:p>
    <w:p>
      <w:pPr>
        <w:pStyle w:val="Normal"/>
        <w:keepNext w:val="true"/>
        <w:keepLines/>
        <w:spacing w:before="40" w:after="0"/>
        <w:ind w:start="57"/>
        <w:rPr/>
      </w:pPr>
      <w:r>
        <w:rPr>
          <w:b/>
          <w:color w:val="0B3D91"/>
          <w:sz w:val="17"/>
        </w:rPr>
        <w:t>Q9. Quelle précision, limite ou réserve faut-il conserver à propos de « Créativité et service » ?</w:t>
      </w:r>
    </w:p>
    <w:p>
      <w:pPr>
        <w:pStyle w:val="Normal"/>
        <w:spacing w:before="0" w:after="40"/>
        <w:ind w:start="255"/>
        <w:rPr/>
      </w:pPr>
      <w:r>
        <w:rPr>
          <w:b/>
          <w:color w:val="D4A017"/>
          <w:sz w:val="16"/>
        </w:rPr>
        <w:t xml:space="preserve">Réponse : </w:t>
      </w:r>
      <w:r>
        <w:rPr>
          <w:color w:val="1F2937"/>
          <w:sz w:val="16"/>
        </w:rPr>
        <w:t>Le service doit être encadré et adapté à l’âge des enfants.</w:t>
      </w:r>
    </w:p>
    <w:p>
      <w:pPr>
        <w:pStyle w:val="Normal"/>
        <w:keepNext w:val="true"/>
        <w:keepLines/>
        <w:spacing w:before="40" w:after="0"/>
        <w:ind w:start="57"/>
        <w:rPr/>
      </w:pPr>
      <w:r>
        <w:rPr>
          <w:b/>
          <w:color w:val="0B3D91"/>
          <w:sz w:val="17"/>
        </w:rPr>
        <w:t>Q10. Quelle réponse essentielle faut-il retenir au sujet de « Créativité et service » ?</w:t>
      </w:r>
    </w:p>
    <w:p>
      <w:pPr>
        <w:pStyle w:val="Normal"/>
        <w:spacing w:before="0" w:after="40"/>
        <w:ind w:start="255"/>
        <w:rPr/>
      </w:pPr>
      <w:r>
        <w:rPr>
          <w:b/>
          <w:color w:val="D4A017"/>
          <w:sz w:val="16"/>
        </w:rPr>
        <w:t xml:space="preserve">Réponse : </w:t>
      </w:r>
      <w:r>
        <w:rPr>
          <w:color w:val="1F2937"/>
          <w:sz w:val="16"/>
        </w:rPr>
        <w:t>La créativité prend tout son sens lorsqu’elle contribue aussi au bien commun.</w:t>
      </w:r>
    </w:p>
    <w:p>
      <w:pPr>
        <w:pStyle w:val="Heading2"/>
        <w:keepNext w:val="true"/>
        <w:rPr/>
      </w:pPr>
      <w:r>
        <w:rPr/>
        <w:t>24. Développement de connaissances solides</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L’école veut que chaque enfant développe des connaissances solides.</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précise le résultat académique attendu.</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Des connaissances solides soutiennent la réussite, l’autonomie et les apprentissages futurs.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Excellence, Programmes, évaluation et suivi personnalisé.</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Connaissances</w:t>
      </w:r>
    </w:p>
    <w:p>
      <w:pPr>
        <w:pStyle w:val="ListBullet"/>
        <w:numPr>
          <w:ilvl w:val="0"/>
          <w:numId w:val="1"/>
        </w:numPr>
        <w:spacing w:before="0" w:after="20"/>
        <w:ind w:hanging="360" w:start="283"/>
        <w:contextualSpacing/>
        <w:rPr/>
      </w:pPr>
      <w:r>
        <w:rPr>
          <w:sz w:val="17"/>
        </w:rPr>
        <w:t>Bases solides</w:t>
      </w:r>
    </w:p>
    <w:p>
      <w:pPr>
        <w:pStyle w:val="ListBullet"/>
        <w:numPr>
          <w:ilvl w:val="0"/>
          <w:numId w:val="1"/>
        </w:numPr>
        <w:spacing w:before="0" w:after="20"/>
        <w:ind w:hanging="360" w:start="283"/>
        <w:contextualSpacing/>
        <w:rPr/>
      </w:pPr>
      <w:r>
        <w:rPr>
          <w:sz w:val="17"/>
        </w:rPr>
        <w:t>Progression</w:t>
      </w:r>
    </w:p>
    <w:p>
      <w:pPr>
        <w:pStyle w:val="ListBullet"/>
        <w:numPr>
          <w:ilvl w:val="0"/>
          <w:numId w:val="1"/>
        </w:numPr>
        <w:spacing w:before="0" w:after="20"/>
        <w:ind w:hanging="360" w:start="283"/>
        <w:contextualSpacing/>
        <w:rPr/>
      </w:pPr>
      <w:r>
        <w:rPr>
          <w:sz w:val="17"/>
        </w:rPr>
        <w:t>Réussite future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Développement de connaissances solides » ?</w:t>
      </w:r>
    </w:p>
    <w:p>
      <w:pPr>
        <w:pStyle w:val="Normal"/>
        <w:spacing w:before="0" w:after="40"/>
        <w:ind w:start="255"/>
        <w:rPr/>
      </w:pPr>
      <w:r>
        <w:rPr>
          <w:b/>
          <w:color w:val="D4A017"/>
          <w:sz w:val="16"/>
        </w:rPr>
        <w:t xml:space="preserve">Réponse : </w:t>
      </w:r>
      <w:r>
        <w:rPr>
          <w:color w:val="1F2937"/>
          <w:sz w:val="16"/>
        </w:rPr>
        <w:t>L’école veut que chaque enfant développe des connaissances solides.</w:t>
      </w:r>
    </w:p>
    <w:p>
      <w:pPr>
        <w:pStyle w:val="Normal"/>
        <w:keepNext w:val="true"/>
        <w:keepLines/>
        <w:spacing w:before="40" w:after="0"/>
        <w:ind w:start="57"/>
        <w:rPr/>
      </w:pPr>
      <w:r>
        <w:rPr>
          <w:b/>
          <w:color w:val="0B3D91"/>
          <w:sz w:val="17"/>
        </w:rPr>
        <w:t>Q2. Quelle est l’idée centrale de « Développement de connaissances solides » ?</w:t>
      </w:r>
    </w:p>
    <w:p>
      <w:pPr>
        <w:pStyle w:val="Normal"/>
        <w:spacing w:before="0" w:after="40"/>
        <w:ind w:start="255"/>
        <w:rPr/>
      </w:pPr>
      <w:r>
        <w:rPr>
          <w:b/>
          <w:color w:val="D4A017"/>
          <w:sz w:val="16"/>
        </w:rPr>
        <w:t xml:space="preserve">Réponse : </w:t>
      </w:r>
      <w:r>
        <w:rPr>
          <w:color w:val="1F2937"/>
          <w:sz w:val="16"/>
        </w:rPr>
        <w:t>Le projet vise une base académique fiable et durable.</w:t>
      </w:r>
    </w:p>
    <w:p>
      <w:pPr>
        <w:pStyle w:val="Normal"/>
        <w:keepNext w:val="true"/>
        <w:keepLines/>
        <w:spacing w:before="40" w:after="0"/>
        <w:ind w:start="57"/>
        <w:rPr/>
      </w:pPr>
      <w:r>
        <w:rPr>
          <w:b/>
          <w:color w:val="0B3D91"/>
          <w:sz w:val="17"/>
        </w:rPr>
        <w:t>Q3. Quels éléments sont explicitement développés sous « Développement de connaissances solides » ?</w:t>
      </w:r>
    </w:p>
    <w:p>
      <w:pPr>
        <w:pStyle w:val="Normal"/>
        <w:spacing w:before="0" w:after="40"/>
        <w:ind w:start="255"/>
        <w:rPr/>
      </w:pPr>
      <w:r>
        <w:rPr>
          <w:b/>
          <w:color w:val="D4A017"/>
          <w:sz w:val="16"/>
        </w:rPr>
        <w:t xml:space="preserve">Réponse : </w:t>
      </w:r>
      <w:r>
        <w:rPr>
          <w:color w:val="1F2937"/>
          <w:sz w:val="16"/>
        </w:rPr>
        <w:t>Acquisition, compréhension et consolidation des connaissances.</w:t>
      </w:r>
    </w:p>
    <w:p>
      <w:pPr>
        <w:pStyle w:val="Normal"/>
        <w:keepNext w:val="true"/>
        <w:keepLines/>
        <w:spacing w:before="40" w:after="0"/>
        <w:ind w:start="57"/>
        <w:rPr/>
      </w:pPr>
      <w:r>
        <w:rPr>
          <w:b/>
          <w:color w:val="0B3D91"/>
          <w:sz w:val="17"/>
        </w:rPr>
        <w:t>Q4. À quel public ou à quels acteurs « Développement de connaissances solides » s’adresse-t-il ?</w:t>
      </w:r>
    </w:p>
    <w:p>
      <w:pPr>
        <w:pStyle w:val="Normal"/>
        <w:spacing w:before="0" w:after="40"/>
        <w:ind w:start="255"/>
        <w:rPr/>
      </w:pPr>
      <w:r>
        <w:rPr>
          <w:b/>
          <w:color w:val="D4A017"/>
          <w:sz w:val="16"/>
        </w:rPr>
        <w:t xml:space="preserve">Réponse : </w:t>
      </w:r>
      <w:r>
        <w:rPr>
          <w:color w:val="1F2937"/>
          <w:sz w:val="16"/>
        </w:rPr>
        <w:t>Chaque enfant scolarisé au GSE.</w:t>
      </w:r>
    </w:p>
    <w:p>
      <w:pPr>
        <w:pStyle w:val="Normal"/>
        <w:keepNext w:val="true"/>
        <w:keepLines/>
        <w:spacing w:before="40" w:after="0"/>
        <w:ind w:start="57"/>
        <w:rPr/>
      </w:pPr>
      <w:r>
        <w:rPr>
          <w:b/>
          <w:color w:val="0B3D91"/>
          <w:sz w:val="17"/>
        </w:rPr>
        <w:t>Q5. Quelle action ou conduite « Développement de connaissances solides » invite-t-il à adopter ?</w:t>
      </w:r>
    </w:p>
    <w:p>
      <w:pPr>
        <w:pStyle w:val="Normal"/>
        <w:spacing w:before="0" w:after="40"/>
        <w:ind w:start="255"/>
        <w:rPr/>
      </w:pPr>
      <w:r>
        <w:rPr>
          <w:b/>
          <w:color w:val="D4A017"/>
          <w:sz w:val="16"/>
        </w:rPr>
        <w:t xml:space="preserve">Réponse : </w:t>
      </w:r>
      <w:r>
        <w:rPr>
          <w:color w:val="1F2937"/>
          <w:sz w:val="16"/>
        </w:rPr>
        <w:t>Apprendre avec régularité et construire des bases durables.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précise le résultat académique attendu.</w:t>
      </w:r>
    </w:p>
    <w:p>
      <w:pPr>
        <w:pStyle w:val="Normal"/>
        <w:keepNext w:val="true"/>
        <w:keepLines/>
        <w:spacing w:before="40" w:after="0"/>
        <w:ind w:start="57"/>
        <w:rPr/>
      </w:pPr>
      <w:r>
        <w:rPr>
          <w:b/>
          <w:color w:val="0B3D91"/>
          <w:sz w:val="17"/>
        </w:rPr>
        <w:t>Q7. Quelle est l’importance de « Développement de connaissances solides » dans le projet du GSE ?</w:t>
      </w:r>
    </w:p>
    <w:p>
      <w:pPr>
        <w:pStyle w:val="Normal"/>
        <w:spacing w:before="0" w:after="40"/>
        <w:ind w:start="255"/>
        <w:rPr/>
      </w:pPr>
      <w:r>
        <w:rPr>
          <w:b/>
          <w:color w:val="D4A017"/>
          <w:sz w:val="16"/>
        </w:rPr>
        <w:t xml:space="preserve">Réponse : </w:t>
      </w:r>
      <w:r>
        <w:rPr>
          <w:color w:val="1F2937"/>
          <w:sz w:val="16"/>
        </w:rPr>
        <w:t>Des connaissances solides soutiennent la réussite, l’autonomie et les apprentissages futurs.</w:t>
      </w:r>
    </w:p>
    <w:p>
      <w:pPr>
        <w:pStyle w:val="Normal"/>
        <w:keepNext w:val="true"/>
        <w:keepLines/>
        <w:spacing w:before="40" w:after="0"/>
        <w:ind w:start="57"/>
        <w:rPr/>
      </w:pPr>
      <w:r>
        <w:rPr>
          <w:b/>
          <w:color w:val="0B3D91"/>
          <w:sz w:val="17"/>
        </w:rPr>
        <w:t>Q8. Quels liens « Développement de connaissances solides » entretient-il avec les autres pages ou services ?</w:t>
      </w:r>
    </w:p>
    <w:p>
      <w:pPr>
        <w:pStyle w:val="Normal"/>
        <w:spacing w:before="0" w:after="40"/>
        <w:ind w:start="255"/>
        <w:rPr/>
      </w:pPr>
      <w:r>
        <w:rPr>
          <w:b/>
          <w:color w:val="D4A017"/>
          <w:sz w:val="16"/>
        </w:rPr>
        <w:t xml:space="preserve">Réponse : </w:t>
      </w:r>
      <w:r>
        <w:rPr>
          <w:color w:val="1F2937"/>
          <w:sz w:val="16"/>
        </w:rPr>
        <w:t>Liens avec Excellence, Programmes, évaluation et suivi personnalisé.</w:t>
      </w:r>
    </w:p>
    <w:p>
      <w:pPr>
        <w:pStyle w:val="Normal"/>
        <w:keepNext w:val="true"/>
        <w:keepLines/>
        <w:spacing w:before="40" w:after="0"/>
        <w:ind w:start="57"/>
        <w:rPr/>
      </w:pPr>
      <w:r>
        <w:rPr>
          <w:b/>
          <w:color w:val="0B3D91"/>
          <w:sz w:val="17"/>
        </w:rPr>
        <w:t>Q9. Quelle précision, limite ou réserve faut-il conserver à propos de « Développement de connaissances solides » ?</w:t>
      </w:r>
    </w:p>
    <w:p>
      <w:pPr>
        <w:pStyle w:val="Normal"/>
        <w:spacing w:before="0" w:after="40"/>
        <w:ind w:start="255"/>
        <w:rPr/>
      </w:pPr>
      <w:r>
        <w:rPr>
          <w:b/>
          <w:color w:val="D4A017"/>
          <w:sz w:val="16"/>
        </w:rPr>
        <w:t xml:space="preserve">Réponse : </w:t>
      </w:r>
      <w:r>
        <w:rPr>
          <w:color w:val="1F2937"/>
          <w:sz w:val="16"/>
        </w:rPr>
        <w:t>La solidité des connaissances doit être appréciée selon le niveau et la progression de l’enfant.</w:t>
      </w:r>
    </w:p>
    <w:p>
      <w:pPr>
        <w:pStyle w:val="Normal"/>
        <w:keepNext w:val="true"/>
        <w:keepLines/>
        <w:spacing w:before="40" w:after="0"/>
        <w:ind w:start="57"/>
        <w:rPr/>
      </w:pPr>
      <w:r>
        <w:rPr>
          <w:b/>
          <w:color w:val="0B3D91"/>
          <w:sz w:val="17"/>
        </w:rPr>
        <w:t>Q10. Quelle réponse essentielle faut-il retenir au sujet de « Développement de connaissances solides » ?</w:t>
      </w:r>
    </w:p>
    <w:p>
      <w:pPr>
        <w:pStyle w:val="Normal"/>
        <w:spacing w:before="0" w:after="40"/>
        <w:ind w:start="255"/>
        <w:rPr/>
      </w:pPr>
      <w:r>
        <w:rPr>
          <w:b/>
          <w:color w:val="D4A017"/>
          <w:sz w:val="16"/>
        </w:rPr>
        <w:t xml:space="preserve">Réponse : </w:t>
      </w:r>
      <w:r>
        <w:rPr>
          <w:color w:val="1F2937"/>
          <w:sz w:val="16"/>
        </w:rPr>
        <w:t>Le GSE recherche des apprentissages compris, consolidés et utiles dans la durée.</w:t>
      </w:r>
    </w:p>
    <w:p>
      <w:pPr>
        <w:pStyle w:val="Heading2"/>
        <w:keepNext w:val="true"/>
        <w:rPr/>
      </w:pPr>
      <w:r>
        <w:rPr/>
        <w:t>25. Confiance saine et capacité de communication</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projet veut développer chez l’enfant une confiance saine et une capacité de communication.</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associe développement personnel et compétence relationnelle.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favorise le bilinguisme, le leadership, la collaboration et l’intégration.</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Bilinguisme, Activités &amp; talents, expression orale et accompagnement personnalisé.</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Confiance saine</w:t>
      </w:r>
    </w:p>
    <w:p>
      <w:pPr>
        <w:pStyle w:val="ListBullet"/>
        <w:numPr>
          <w:ilvl w:val="0"/>
          <w:numId w:val="1"/>
        </w:numPr>
        <w:spacing w:before="0" w:after="20"/>
        <w:ind w:hanging="360" w:start="283"/>
        <w:contextualSpacing/>
        <w:rPr/>
      </w:pPr>
      <w:r>
        <w:rPr>
          <w:sz w:val="17"/>
        </w:rPr>
        <w:t>Communication</w:t>
      </w:r>
    </w:p>
    <w:p>
      <w:pPr>
        <w:pStyle w:val="ListBullet"/>
        <w:numPr>
          <w:ilvl w:val="0"/>
          <w:numId w:val="1"/>
        </w:numPr>
        <w:spacing w:before="0" w:after="20"/>
        <w:ind w:hanging="360" w:start="283"/>
        <w:contextualSpacing/>
        <w:rPr/>
      </w:pPr>
      <w:r>
        <w:rPr>
          <w:sz w:val="17"/>
        </w:rPr>
        <w:t>Expression</w:t>
      </w:r>
    </w:p>
    <w:p>
      <w:pPr>
        <w:pStyle w:val="ListBullet"/>
        <w:numPr>
          <w:ilvl w:val="0"/>
          <w:numId w:val="1"/>
        </w:numPr>
        <w:spacing w:before="0" w:after="20"/>
        <w:ind w:hanging="360" w:start="283"/>
        <w:contextualSpacing/>
        <w:rPr/>
      </w:pPr>
      <w:r>
        <w:rPr>
          <w:sz w:val="17"/>
        </w:rPr>
        <w:t>Écoute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Confiance saine et capacité de communication » ?</w:t>
      </w:r>
    </w:p>
    <w:p>
      <w:pPr>
        <w:pStyle w:val="Normal"/>
        <w:spacing w:before="0" w:after="40"/>
        <w:ind w:start="255"/>
        <w:rPr/>
      </w:pPr>
      <w:r>
        <w:rPr>
          <w:b/>
          <w:color w:val="D4A017"/>
          <w:sz w:val="16"/>
        </w:rPr>
        <w:t xml:space="preserve">Réponse : </w:t>
      </w:r>
      <w:r>
        <w:rPr>
          <w:color w:val="1F2937"/>
          <w:sz w:val="16"/>
        </w:rPr>
        <w:t>Le projet veut développer chez l’enfant une confiance saine et une capacité de communication.</w:t>
      </w:r>
    </w:p>
    <w:p>
      <w:pPr>
        <w:pStyle w:val="Normal"/>
        <w:keepNext w:val="true"/>
        <w:keepLines/>
        <w:spacing w:before="40" w:after="0"/>
        <w:ind w:start="57"/>
        <w:rPr/>
      </w:pPr>
      <w:r>
        <w:rPr>
          <w:b/>
          <w:color w:val="0B3D91"/>
          <w:sz w:val="17"/>
        </w:rPr>
        <w:t>Q2. Quelle est l’idée centrale de « Confiance saine et capacité de communication » ?</w:t>
      </w:r>
    </w:p>
    <w:p>
      <w:pPr>
        <w:pStyle w:val="Normal"/>
        <w:spacing w:before="0" w:after="40"/>
        <w:ind w:start="255"/>
        <w:rPr/>
      </w:pPr>
      <w:r>
        <w:rPr>
          <w:b/>
          <w:color w:val="D4A017"/>
          <w:sz w:val="16"/>
        </w:rPr>
        <w:t xml:space="preserve">Réponse : </w:t>
      </w:r>
      <w:r>
        <w:rPr>
          <w:color w:val="1F2937"/>
          <w:sz w:val="16"/>
        </w:rPr>
        <w:t>L’élève doit pouvoir s’exprimer avec assurance sans perdre le respect et l’écoute.</w:t>
      </w:r>
    </w:p>
    <w:p>
      <w:pPr>
        <w:pStyle w:val="Normal"/>
        <w:keepNext w:val="true"/>
        <w:keepLines/>
        <w:spacing w:before="40" w:after="0"/>
        <w:ind w:start="57"/>
        <w:rPr/>
      </w:pPr>
      <w:r>
        <w:rPr>
          <w:b/>
          <w:color w:val="0B3D91"/>
          <w:sz w:val="17"/>
        </w:rPr>
        <w:t>Q3. Quels éléments sont explicitement développés sous « Confiance saine et capacité de communication » ?</w:t>
      </w:r>
    </w:p>
    <w:p>
      <w:pPr>
        <w:pStyle w:val="Normal"/>
        <w:spacing w:before="0" w:after="40"/>
        <w:ind w:start="255"/>
        <w:rPr/>
      </w:pPr>
      <w:r>
        <w:rPr>
          <w:b/>
          <w:color w:val="D4A017"/>
          <w:sz w:val="16"/>
        </w:rPr>
        <w:t xml:space="preserve">Réponse : </w:t>
      </w:r>
      <w:r>
        <w:rPr>
          <w:color w:val="1F2937"/>
          <w:sz w:val="16"/>
        </w:rPr>
        <w:t>Confiance, expression, écoute et communication.</w:t>
      </w:r>
    </w:p>
    <w:p>
      <w:pPr>
        <w:pStyle w:val="Normal"/>
        <w:keepNext w:val="true"/>
        <w:keepLines/>
        <w:spacing w:before="40" w:after="0"/>
        <w:ind w:start="57"/>
        <w:rPr/>
      </w:pPr>
      <w:r>
        <w:rPr>
          <w:b/>
          <w:color w:val="0B3D91"/>
          <w:sz w:val="17"/>
        </w:rPr>
        <w:t>Q4. À quel public ou à quels acteurs « Confiance saine et capacité de communication » s’adresse-t-il ?</w:t>
      </w:r>
    </w:p>
    <w:p>
      <w:pPr>
        <w:pStyle w:val="Normal"/>
        <w:spacing w:before="0" w:after="40"/>
        <w:ind w:start="255"/>
        <w:rPr/>
      </w:pPr>
      <w:r>
        <w:rPr>
          <w:b/>
          <w:color w:val="D4A017"/>
          <w:sz w:val="16"/>
        </w:rPr>
        <w:t xml:space="preserve">Réponse : </w:t>
      </w:r>
      <w:r>
        <w:rPr>
          <w:color w:val="1F2937"/>
          <w:sz w:val="16"/>
        </w:rPr>
        <w:t>Chaque enfant, dans ses relations scolaires et sociales.</w:t>
      </w:r>
    </w:p>
    <w:p>
      <w:pPr>
        <w:pStyle w:val="Normal"/>
        <w:keepNext w:val="true"/>
        <w:keepLines/>
        <w:spacing w:before="40" w:after="0"/>
        <w:ind w:start="57"/>
        <w:rPr/>
      </w:pPr>
      <w:r>
        <w:rPr>
          <w:b/>
          <w:color w:val="0B3D91"/>
          <w:sz w:val="17"/>
        </w:rPr>
        <w:t>Q5. Quelle action ou conduite « Confiance saine et capacité de communication » invite-t-il à adopter ?</w:t>
      </w:r>
    </w:p>
    <w:p>
      <w:pPr>
        <w:pStyle w:val="Normal"/>
        <w:spacing w:before="0" w:after="40"/>
        <w:ind w:start="255"/>
        <w:rPr/>
      </w:pPr>
      <w:r>
        <w:rPr>
          <w:b/>
          <w:color w:val="D4A017"/>
          <w:sz w:val="16"/>
        </w:rPr>
        <w:t xml:space="preserve">Réponse : </w:t>
      </w:r>
      <w:r>
        <w:rPr>
          <w:color w:val="1F2937"/>
          <w:sz w:val="16"/>
        </w:rPr>
        <w:t>Prendre la parole, communiquer progressivement et respecter les autres.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associe développement personnel et compétence relationnelle.</w:t>
      </w:r>
    </w:p>
    <w:p>
      <w:pPr>
        <w:pStyle w:val="Normal"/>
        <w:keepNext w:val="true"/>
        <w:keepLines/>
        <w:spacing w:before="40" w:after="0"/>
        <w:ind w:start="57"/>
        <w:rPr/>
      </w:pPr>
      <w:r>
        <w:rPr>
          <w:b/>
          <w:color w:val="0B3D91"/>
          <w:sz w:val="17"/>
        </w:rPr>
        <w:t>Q7. Quelle est l’importance de « Confiance saine et capacité de communication » dans le projet du GSE ?</w:t>
      </w:r>
    </w:p>
    <w:p>
      <w:pPr>
        <w:pStyle w:val="Normal"/>
        <w:spacing w:before="0" w:after="40"/>
        <w:ind w:start="255"/>
        <w:rPr/>
      </w:pPr>
      <w:r>
        <w:rPr>
          <w:b/>
          <w:color w:val="D4A017"/>
          <w:sz w:val="16"/>
        </w:rPr>
        <w:t xml:space="preserve">Réponse : </w:t>
      </w:r>
      <w:r>
        <w:rPr>
          <w:color w:val="1F2937"/>
          <w:sz w:val="16"/>
        </w:rPr>
        <w:t>Il favorise le bilinguisme, le leadership, la collaboration et l’intégration.</w:t>
      </w:r>
    </w:p>
    <w:p>
      <w:pPr>
        <w:pStyle w:val="Normal"/>
        <w:keepNext w:val="true"/>
        <w:keepLines/>
        <w:spacing w:before="40" w:after="0"/>
        <w:ind w:start="57"/>
        <w:rPr/>
      </w:pPr>
      <w:r>
        <w:rPr>
          <w:b/>
          <w:color w:val="0B3D91"/>
          <w:sz w:val="17"/>
        </w:rPr>
        <w:t>Q8. Quels liens « Confiance saine et capacité de communication » entretient-il avec les autres pages ou services ?</w:t>
      </w:r>
    </w:p>
    <w:p>
      <w:pPr>
        <w:pStyle w:val="Normal"/>
        <w:spacing w:before="0" w:after="40"/>
        <w:ind w:start="255"/>
        <w:rPr/>
      </w:pPr>
      <w:r>
        <w:rPr>
          <w:b/>
          <w:color w:val="D4A017"/>
          <w:sz w:val="16"/>
        </w:rPr>
        <w:t xml:space="preserve">Réponse : </w:t>
      </w:r>
      <w:r>
        <w:rPr>
          <w:color w:val="1F2937"/>
          <w:sz w:val="16"/>
        </w:rPr>
        <w:t>Liens avec Bilinguisme, Activités &amp; talents, expression orale et accompagnement personnalisé.</w:t>
      </w:r>
    </w:p>
    <w:p>
      <w:pPr>
        <w:pStyle w:val="Normal"/>
        <w:keepNext w:val="true"/>
        <w:keepLines/>
        <w:spacing w:before="40" w:after="0"/>
        <w:ind w:start="57"/>
        <w:rPr/>
      </w:pPr>
      <w:r>
        <w:rPr>
          <w:b/>
          <w:color w:val="0B3D91"/>
          <w:sz w:val="17"/>
        </w:rPr>
        <w:t>Q9. Quelle précision, limite ou réserve faut-il conserver à propos de « Confiance saine et capacité de communication » ?</w:t>
      </w:r>
    </w:p>
    <w:p>
      <w:pPr>
        <w:pStyle w:val="Normal"/>
        <w:spacing w:before="0" w:after="40"/>
        <w:ind w:start="255"/>
        <w:rPr/>
      </w:pPr>
      <w:r>
        <w:rPr>
          <w:b/>
          <w:color w:val="D4A017"/>
          <w:sz w:val="16"/>
        </w:rPr>
        <w:t xml:space="preserve">Réponse : </w:t>
      </w:r>
      <w:r>
        <w:rPr>
          <w:color w:val="1F2937"/>
          <w:sz w:val="16"/>
        </w:rPr>
        <w:t>La confiance recherchée est dite saine : elle doit rester équilibrée, responsable et respectueuse.</w:t>
      </w:r>
    </w:p>
    <w:p>
      <w:pPr>
        <w:pStyle w:val="Normal"/>
        <w:keepNext w:val="true"/>
        <w:keepLines/>
        <w:spacing w:before="40" w:after="0"/>
        <w:ind w:start="57"/>
        <w:rPr/>
      </w:pPr>
      <w:r>
        <w:rPr>
          <w:b/>
          <w:color w:val="0B3D91"/>
          <w:sz w:val="17"/>
        </w:rPr>
        <w:t>Q10. Quelle réponse essentielle faut-il retenir au sujet de « Confiance saine et capacité de communication » ?</w:t>
      </w:r>
    </w:p>
    <w:p>
      <w:pPr>
        <w:pStyle w:val="Normal"/>
        <w:spacing w:before="0" w:after="40"/>
        <w:ind w:start="255"/>
        <w:rPr/>
      </w:pPr>
      <w:r>
        <w:rPr>
          <w:b/>
          <w:color w:val="D4A017"/>
          <w:sz w:val="16"/>
        </w:rPr>
        <w:t xml:space="preserve">Réponse : </w:t>
      </w:r>
      <w:r>
        <w:rPr>
          <w:color w:val="1F2937"/>
          <w:sz w:val="16"/>
        </w:rPr>
        <w:t>L’élève est appelé à communiquer avec assurance, clarté et respect.</w:t>
      </w:r>
    </w:p>
    <w:p>
      <w:pPr>
        <w:pStyle w:val="Heading2"/>
        <w:keepNext w:val="true"/>
        <w:rPr/>
      </w:pPr>
      <w:r>
        <w:rPr/>
        <w:t>26. Sens des responsabilités</w:t>
      </w:r>
    </w:p>
    <w:p>
      <w:pPr>
        <w:pStyle w:val="Normal"/>
        <w:spacing w:before="20" w:after="80"/>
        <w:rPr/>
      </w:pPr>
      <w:r>
        <w:rPr>
          <w:b/>
          <w:color w:val="0B3D91"/>
          <w:sz w:val="16"/>
        </w:rPr>
        <w:t xml:space="preserve">Source contrôlée : </w:t>
      </w:r>
      <w:r>
        <w:rPr>
          <w:color w:val="555555"/>
          <w:sz w:val="16"/>
        </w:rPr>
        <w:t>Article 2 — https://test.gsleseminents.com/ecole-chretienne-bilingue-tournee-vers-avenir/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indique que l’école veut développer le sens des responsabilités chez chaque enfant.</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donne une finalité éthique et pratique au projet éducatif.</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l’intégrité, le leadership, l’autonomie et la citoyenneté.</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Valeurs, Vie scolaire, discipline positive et service.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Responsabilité</w:t>
      </w:r>
    </w:p>
    <w:p>
      <w:pPr>
        <w:pStyle w:val="ListBullet"/>
        <w:numPr>
          <w:ilvl w:val="0"/>
          <w:numId w:val="1"/>
        </w:numPr>
        <w:spacing w:before="0" w:after="20"/>
        <w:ind w:hanging="360" w:start="283"/>
        <w:contextualSpacing/>
        <w:rPr/>
      </w:pPr>
      <w:r>
        <w:rPr>
          <w:sz w:val="17"/>
        </w:rPr>
        <w:t>Engagement</w:t>
      </w:r>
    </w:p>
    <w:p>
      <w:pPr>
        <w:pStyle w:val="ListBullet"/>
        <w:numPr>
          <w:ilvl w:val="0"/>
          <w:numId w:val="1"/>
        </w:numPr>
        <w:spacing w:before="0" w:after="20"/>
        <w:ind w:hanging="360" w:start="283"/>
        <w:contextualSpacing/>
        <w:rPr/>
      </w:pPr>
      <w:r>
        <w:rPr>
          <w:sz w:val="17"/>
        </w:rPr>
        <w:t>Autonomie</w:t>
      </w:r>
    </w:p>
    <w:p>
      <w:pPr>
        <w:pStyle w:val="ListBullet"/>
        <w:numPr>
          <w:ilvl w:val="0"/>
          <w:numId w:val="1"/>
        </w:numPr>
        <w:spacing w:before="0" w:after="20"/>
        <w:ind w:hanging="360" w:start="283"/>
        <w:contextualSpacing/>
        <w:rPr/>
      </w:pPr>
      <w:r>
        <w:rPr>
          <w:sz w:val="17"/>
        </w:rPr>
        <w:t>Redevabilité adaptée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Sens des responsabilités » ?</w:t>
      </w:r>
    </w:p>
    <w:p>
      <w:pPr>
        <w:pStyle w:val="Normal"/>
        <w:spacing w:before="0" w:after="40"/>
        <w:ind w:start="255"/>
        <w:rPr/>
      </w:pPr>
      <w:r>
        <w:rPr>
          <w:b/>
          <w:color w:val="D4A017"/>
          <w:sz w:val="16"/>
        </w:rPr>
        <w:t xml:space="preserve">Réponse : </w:t>
      </w:r>
      <w:r>
        <w:rPr>
          <w:color w:val="1F2937"/>
          <w:sz w:val="16"/>
        </w:rPr>
        <w:t>L’article indique que l’école veut développer le sens des responsabilités chez chaque enfant.</w:t>
      </w:r>
    </w:p>
    <w:p>
      <w:pPr>
        <w:pStyle w:val="Normal"/>
        <w:keepNext w:val="true"/>
        <w:keepLines/>
        <w:spacing w:before="40" w:after="0"/>
        <w:ind w:start="57"/>
        <w:rPr/>
      </w:pPr>
      <w:r>
        <w:rPr>
          <w:b/>
          <w:color w:val="0B3D91"/>
          <w:sz w:val="17"/>
        </w:rPr>
        <w:t>Q2. Quelle est l’idée centrale de « Sens des responsabilités » ?</w:t>
      </w:r>
    </w:p>
    <w:p>
      <w:pPr>
        <w:pStyle w:val="Normal"/>
        <w:spacing w:before="0" w:after="40"/>
        <w:ind w:start="255"/>
        <w:rPr/>
      </w:pPr>
      <w:r>
        <w:rPr>
          <w:b/>
          <w:color w:val="D4A017"/>
          <w:sz w:val="16"/>
        </w:rPr>
        <w:t xml:space="preserve">Réponse : </w:t>
      </w:r>
      <w:r>
        <w:rPr>
          <w:color w:val="1F2937"/>
          <w:sz w:val="16"/>
        </w:rPr>
        <w:t>L’élève apprend à répondre de ses choix, de son travail et de sa contribution à la communauté.</w:t>
      </w:r>
    </w:p>
    <w:p>
      <w:pPr>
        <w:pStyle w:val="Normal"/>
        <w:keepNext w:val="true"/>
        <w:keepLines/>
        <w:spacing w:before="40" w:after="0"/>
        <w:ind w:start="57"/>
        <w:rPr/>
      </w:pPr>
      <w:r>
        <w:rPr>
          <w:b/>
          <w:color w:val="0B3D91"/>
          <w:sz w:val="17"/>
        </w:rPr>
        <w:t>Q3. Quels éléments sont explicitement développés sous « Sens des responsabilités » ?</w:t>
      </w:r>
    </w:p>
    <w:p>
      <w:pPr>
        <w:pStyle w:val="Normal"/>
        <w:spacing w:before="0" w:after="40"/>
        <w:ind w:start="255"/>
        <w:rPr/>
      </w:pPr>
      <w:r>
        <w:rPr>
          <w:b/>
          <w:color w:val="D4A017"/>
          <w:sz w:val="16"/>
        </w:rPr>
        <w:t xml:space="preserve">Réponse : </w:t>
      </w:r>
      <w:r>
        <w:rPr>
          <w:color w:val="1F2937"/>
          <w:sz w:val="16"/>
        </w:rPr>
        <w:t>Responsabilité personnelle, scolaire et collective.</w:t>
      </w:r>
    </w:p>
    <w:p>
      <w:pPr>
        <w:pStyle w:val="Normal"/>
        <w:keepNext w:val="true"/>
        <w:keepLines/>
        <w:spacing w:before="40" w:after="0"/>
        <w:ind w:start="57"/>
        <w:rPr/>
      </w:pPr>
      <w:r>
        <w:rPr>
          <w:b/>
          <w:color w:val="0B3D91"/>
          <w:sz w:val="17"/>
        </w:rPr>
        <w:t>Q4. À quel public ou à quels acteurs « Sens des responsabilités » s’adresse-t-il ?</w:t>
      </w:r>
    </w:p>
    <w:p>
      <w:pPr>
        <w:pStyle w:val="Normal"/>
        <w:spacing w:before="0" w:after="40"/>
        <w:ind w:start="255"/>
        <w:rPr/>
      </w:pPr>
      <w:r>
        <w:rPr>
          <w:b/>
          <w:color w:val="D4A017"/>
          <w:sz w:val="16"/>
        </w:rPr>
        <w:t xml:space="preserve">Réponse : </w:t>
      </w:r>
      <w:r>
        <w:rPr>
          <w:color w:val="1F2937"/>
          <w:sz w:val="16"/>
        </w:rPr>
        <w:t>Élèves, avec l’accompagnement des éducateurs et des familles.</w:t>
      </w:r>
    </w:p>
    <w:p>
      <w:pPr>
        <w:pStyle w:val="Normal"/>
        <w:keepNext w:val="true"/>
        <w:keepLines/>
        <w:spacing w:before="40" w:after="0"/>
        <w:ind w:start="57"/>
        <w:rPr/>
      </w:pPr>
      <w:r>
        <w:rPr>
          <w:b/>
          <w:color w:val="0B3D91"/>
          <w:sz w:val="17"/>
        </w:rPr>
        <w:t>Q5. Quelle action ou conduite « Sens des responsabilités » invite-t-il à adopter ?</w:t>
      </w:r>
    </w:p>
    <w:p>
      <w:pPr>
        <w:pStyle w:val="Normal"/>
        <w:spacing w:before="0" w:after="40"/>
        <w:ind w:start="255"/>
        <w:rPr/>
      </w:pPr>
      <w:r>
        <w:rPr>
          <w:b/>
          <w:color w:val="D4A017"/>
          <w:sz w:val="16"/>
        </w:rPr>
        <w:t xml:space="preserve">Réponse : </w:t>
      </w:r>
      <w:r>
        <w:rPr>
          <w:color w:val="1F2937"/>
          <w:sz w:val="16"/>
        </w:rPr>
        <w:t>Assumer progressivement des tâches et respecter ses engagements.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donne une finalité éthique et pratique au projet éducatif.</w:t>
      </w:r>
    </w:p>
    <w:p>
      <w:pPr>
        <w:pStyle w:val="Normal"/>
        <w:keepNext w:val="true"/>
        <w:keepLines/>
        <w:spacing w:before="40" w:after="0"/>
        <w:ind w:start="57"/>
        <w:rPr/>
      </w:pPr>
      <w:r>
        <w:rPr>
          <w:b/>
          <w:color w:val="0B3D91"/>
          <w:sz w:val="17"/>
        </w:rPr>
        <w:t>Q7. Quelle est l’importance de « Sens des responsabilités » dans le projet du GSE ?</w:t>
      </w:r>
    </w:p>
    <w:p>
      <w:pPr>
        <w:pStyle w:val="Normal"/>
        <w:spacing w:before="0" w:after="40"/>
        <w:ind w:start="255"/>
        <w:rPr/>
      </w:pPr>
      <w:r>
        <w:rPr>
          <w:b/>
          <w:color w:val="D4A017"/>
          <w:sz w:val="16"/>
        </w:rPr>
        <w:t xml:space="preserve">Réponse : </w:t>
      </w:r>
      <w:r>
        <w:rPr>
          <w:color w:val="1F2937"/>
          <w:sz w:val="16"/>
        </w:rPr>
        <w:t>Il soutient l’intégrité, le leadership, l’autonomie et la citoyenneté.</w:t>
      </w:r>
    </w:p>
    <w:p>
      <w:pPr>
        <w:pStyle w:val="Normal"/>
        <w:keepNext w:val="true"/>
        <w:keepLines/>
        <w:spacing w:before="40" w:after="0"/>
        <w:ind w:start="57"/>
        <w:rPr/>
      </w:pPr>
      <w:r>
        <w:rPr>
          <w:b/>
          <w:color w:val="0B3D91"/>
          <w:sz w:val="17"/>
        </w:rPr>
        <w:t>Q8. Quels liens « Sens des responsabilités » entretient-il avec les autres pages ou services ?</w:t>
      </w:r>
    </w:p>
    <w:p>
      <w:pPr>
        <w:pStyle w:val="Normal"/>
        <w:spacing w:before="0" w:after="40"/>
        <w:ind w:start="255"/>
        <w:rPr/>
      </w:pPr>
      <w:r>
        <w:rPr>
          <w:b/>
          <w:color w:val="D4A017"/>
          <w:sz w:val="16"/>
        </w:rPr>
        <w:t xml:space="preserve">Réponse : </w:t>
      </w:r>
      <w:r>
        <w:rPr>
          <w:color w:val="1F2937"/>
          <w:sz w:val="16"/>
        </w:rPr>
        <w:t>Liens avec Valeurs, Vie scolaire, discipline positive et service.</w:t>
      </w:r>
    </w:p>
    <w:p>
      <w:pPr>
        <w:pStyle w:val="Normal"/>
        <w:keepNext w:val="true"/>
        <w:keepLines/>
        <w:spacing w:before="40" w:after="0"/>
        <w:ind w:start="57"/>
        <w:rPr/>
      </w:pPr>
      <w:r>
        <w:rPr>
          <w:b/>
          <w:color w:val="0B3D91"/>
          <w:sz w:val="17"/>
        </w:rPr>
        <w:t>Q9. Quelle précision, limite ou réserve faut-il conserver à propos de « Sens des responsabilités » ?</w:t>
      </w:r>
    </w:p>
    <w:p>
      <w:pPr>
        <w:pStyle w:val="Normal"/>
        <w:spacing w:before="0" w:after="40"/>
        <w:ind w:start="255"/>
        <w:rPr/>
      </w:pPr>
      <w:r>
        <w:rPr>
          <w:b/>
          <w:color w:val="D4A017"/>
          <w:sz w:val="16"/>
        </w:rPr>
        <w:t xml:space="preserve">Réponse : </w:t>
      </w:r>
      <w:r>
        <w:rPr>
          <w:color w:val="1F2937"/>
          <w:sz w:val="16"/>
        </w:rPr>
        <w:t>Les responsabilités doivent être progressives et adaptées à l’âge.</w:t>
      </w:r>
    </w:p>
    <w:p>
      <w:pPr>
        <w:pStyle w:val="Normal"/>
        <w:keepNext w:val="true"/>
        <w:keepLines/>
        <w:spacing w:before="40" w:after="0"/>
        <w:ind w:start="57"/>
        <w:rPr/>
      </w:pPr>
      <w:r>
        <w:rPr>
          <w:b/>
          <w:color w:val="0B3D91"/>
          <w:sz w:val="17"/>
        </w:rPr>
        <w:t>Q10. Quelle réponse essentielle faut-il retenir au sujet de « Sens des responsabilités » ?</w:t>
      </w:r>
    </w:p>
    <w:p>
      <w:pPr>
        <w:pStyle w:val="Normal"/>
        <w:spacing w:before="0" w:after="40"/>
        <w:ind w:start="255"/>
        <w:rPr/>
      </w:pPr>
      <w:r>
        <w:rPr>
          <w:b/>
          <w:color w:val="D4A017"/>
          <w:sz w:val="16"/>
        </w:rPr>
        <w:t xml:space="preserve">Réponse : </w:t>
      </w:r>
      <w:r>
        <w:rPr>
          <w:color w:val="1F2937"/>
          <w:sz w:val="16"/>
        </w:rPr>
        <w:t>Le GSE veut former des enfants capables d’agir et de rendre compte de manière responsable.</w:t>
      </w:r>
    </w:p>
    <w:p>
      <w:pPr>
        <w:pStyle w:val="Normal"/>
        <w:rPr/>
      </w:pPr>
      <w:r>
        <w:rPr/>
      </w:r>
      <w:r>
        <w:br w:type="page"/>
      </w:r>
    </w:p>
    <w:p>
      <w:pPr>
        <w:pStyle w:val="Heading1"/>
        <w:keepNext w:val="true"/>
        <w:spacing w:before="0" w:after="0"/>
        <w:jc w:val="center"/>
        <w:rPr/>
      </w:pPr>
      <w:r>
        <w:rPr/>
        <w:t>PARTIE IV — ACTUALITÉ 3 : INSCRIPTIONS 2026-2027</w:t>
      </w:r>
    </w:p>
    <w:p>
      <w:pPr>
        <w:pStyle w:val="Heading2"/>
        <w:keepNext w:val="true"/>
        <w:rPr/>
      </w:pPr>
      <w:r>
        <w:rPr/>
        <w:t>27. Inscriptions 2026-2027 : les préinscriptions sont ouvertes</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annonce l’ouverture de la campagne d’inscriptions 2026-2027 et invite les familles à commencer par la préinscription.</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combine l’annonce officielle et l’action attendue des familles.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déclenche le recrutement des élèves et structure la campagne d’ouverture.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Admissions, Préinscription, Programmes, Visite et ÉMINA.</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Campagne 2026-2027</w:t>
      </w:r>
    </w:p>
    <w:p>
      <w:pPr>
        <w:pStyle w:val="ListBullet"/>
        <w:numPr>
          <w:ilvl w:val="0"/>
          <w:numId w:val="1"/>
        </w:numPr>
        <w:spacing w:before="0" w:after="20"/>
        <w:ind w:hanging="360" w:start="283"/>
        <w:contextualSpacing/>
        <w:rPr/>
      </w:pPr>
      <w:r>
        <w:rPr>
          <w:sz w:val="17"/>
        </w:rPr>
        <w:t>Préinscriptions ouvertes</w:t>
      </w:r>
    </w:p>
    <w:p>
      <w:pPr>
        <w:pStyle w:val="ListBullet"/>
        <w:numPr>
          <w:ilvl w:val="0"/>
          <w:numId w:val="1"/>
        </w:numPr>
        <w:spacing w:before="0" w:after="20"/>
        <w:ind w:hanging="360" w:start="283"/>
        <w:contextualSpacing/>
        <w:rPr/>
      </w:pPr>
      <w:r>
        <w:rPr>
          <w:sz w:val="17"/>
        </w:rPr>
        <w:t>Première étape</w:t>
      </w:r>
    </w:p>
    <w:p>
      <w:pPr>
        <w:pStyle w:val="ListBullet"/>
        <w:numPr>
          <w:ilvl w:val="0"/>
          <w:numId w:val="1"/>
        </w:numPr>
        <w:spacing w:before="0" w:after="20"/>
        <w:ind w:hanging="360" w:start="283"/>
        <w:contextualSpacing/>
        <w:rPr/>
      </w:pPr>
      <w:r>
        <w:rPr>
          <w:sz w:val="17"/>
        </w:rPr>
        <w:t>Admission non encore définitive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Inscriptions 2026-2027 : les préinscriptions sont ouvertes » ?</w:t>
      </w:r>
    </w:p>
    <w:p>
      <w:pPr>
        <w:pStyle w:val="Normal"/>
        <w:spacing w:before="0" w:after="40"/>
        <w:ind w:start="255"/>
        <w:rPr/>
      </w:pPr>
      <w:r>
        <w:rPr>
          <w:b/>
          <w:color w:val="D4A017"/>
          <w:sz w:val="16"/>
        </w:rPr>
        <w:t xml:space="preserve">Réponse : </w:t>
      </w:r>
      <w:r>
        <w:rPr>
          <w:color w:val="1F2937"/>
          <w:sz w:val="16"/>
        </w:rPr>
        <w:t>L’article annonce l’ouverture de la campagne d’inscriptions 2026-2027 et invite les familles à commencer par la préinscription.</w:t>
      </w:r>
    </w:p>
    <w:p>
      <w:pPr>
        <w:pStyle w:val="Normal"/>
        <w:keepNext w:val="true"/>
        <w:keepLines/>
        <w:spacing w:before="40" w:after="0"/>
        <w:ind w:start="57"/>
        <w:rPr/>
      </w:pPr>
      <w:r>
        <w:rPr>
          <w:b/>
          <w:color w:val="0B3D91"/>
          <w:sz w:val="17"/>
        </w:rPr>
        <w:t>Q2. Quelle est l’idée centrale de « Inscriptions 2026-2027 : les préinscriptions sont ouvertes » ?</w:t>
      </w:r>
    </w:p>
    <w:p>
      <w:pPr>
        <w:pStyle w:val="Normal"/>
        <w:spacing w:before="0" w:after="40"/>
        <w:ind w:start="255"/>
        <w:rPr/>
      </w:pPr>
      <w:r>
        <w:rPr>
          <w:b/>
          <w:color w:val="D4A017"/>
          <w:sz w:val="16"/>
        </w:rPr>
        <w:t xml:space="preserve">Réponse : </w:t>
      </w:r>
      <w:r>
        <w:rPr>
          <w:color w:val="1F2937"/>
          <w:sz w:val="16"/>
        </w:rPr>
        <w:t>Le message rend publique l’ouverture du parcours d’admission.</w:t>
      </w:r>
    </w:p>
    <w:p>
      <w:pPr>
        <w:pStyle w:val="Normal"/>
        <w:keepNext w:val="true"/>
        <w:keepLines/>
        <w:spacing w:before="40" w:after="0"/>
        <w:ind w:start="57"/>
        <w:rPr/>
      </w:pPr>
      <w:r>
        <w:rPr>
          <w:b/>
          <w:color w:val="0B3D91"/>
          <w:sz w:val="17"/>
        </w:rPr>
        <w:t>Q3. Quels éléments sont explicitement développés sous « Inscriptions 2026-2027 : les préinscriptions sont ouvertes » ?</w:t>
      </w:r>
    </w:p>
    <w:p>
      <w:pPr>
        <w:pStyle w:val="Normal"/>
        <w:spacing w:before="0" w:after="40"/>
        <w:ind w:start="255"/>
        <w:rPr/>
      </w:pPr>
      <w:r>
        <w:rPr>
          <w:b/>
          <w:color w:val="D4A017"/>
          <w:sz w:val="16"/>
        </w:rPr>
        <w:t xml:space="preserve">Réponse : </w:t>
      </w:r>
      <w:r>
        <w:rPr>
          <w:color w:val="1F2937"/>
          <w:sz w:val="16"/>
        </w:rPr>
        <w:t>Année scolaire, campagne, préinscription, offre opérationnelle et étapes préparatoires.</w:t>
      </w:r>
    </w:p>
    <w:p>
      <w:pPr>
        <w:pStyle w:val="Normal"/>
        <w:keepNext w:val="true"/>
        <w:keepLines/>
        <w:spacing w:before="40" w:after="0"/>
        <w:ind w:start="57"/>
        <w:rPr/>
      </w:pPr>
      <w:r>
        <w:rPr>
          <w:b/>
          <w:color w:val="0B3D91"/>
          <w:sz w:val="17"/>
        </w:rPr>
        <w:t>Q4. À quel public ou à quels acteurs « Inscriptions 2026-2027 : les préinscriptions sont ouvertes » s’adresse-t-il ?</w:t>
      </w:r>
    </w:p>
    <w:p>
      <w:pPr>
        <w:pStyle w:val="Normal"/>
        <w:spacing w:before="0" w:after="40"/>
        <w:ind w:start="255"/>
        <w:rPr/>
      </w:pPr>
      <w:r>
        <w:rPr>
          <w:b/>
          <w:color w:val="D4A017"/>
          <w:sz w:val="16"/>
        </w:rPr>
        <w:t xml:space="preserve">Réponse : </w:t>
      </w:r>
      <w:r>
        <w:rPr>
          <w:color w:val="1F2937"/>
          <w:sz w:val="16"/>
        </w:rPr>
        <w:t>Familles intéressées par une place en Maternelle ou au Primaire.</w:t>
      </w:r>
    </w:p>
    <w:p>
      <w:pPr>
        <w:pStyle w:val="Normal"/>
        <w:keepNext w:val="true"/>
        <w:keepLines/>
        <w:spacing w:before="40" w:after="0"/>
        <w:ind w:start="57"/>
        <w:rPr/>
      </w:pPr>
      <w:r>
        <w:rPr>
          <w:b/>
          <w:color w:val="0B3D91"/>
          <w:sz w:val="17"/>
        </w:rPr>
        <w:t>Q5. Quelle action ou conduite « Inscriptions 2026-2027 : les préinscriptions sont ouvertes » invite-t-il à adopter ?</w:t>
      </w:r>
    </w:p>
    <w:p>
      <w:pPr>
        <w:pStyle w:val="Normal"/>
        <w:spacing w:before="0" w:after="40"/>
        <w:ind w:start="255"/>
        <w:rPr/>
      </w:pPr>
      <w:r>
        <w:rPr>
          <w:b/>
          <w:color w:val="D4A017"/>
          <w:sz w:val="16"/>
        </w:rPr>
        <w:t xml:space="preserve">Réponse : </w:t>
      </w:r>
      <w:r>
        <w:rPr>
          <w:color w:val="1F2937"/>
          <w:sz w:val="16"/>
        </w:rPr>
        <w:t>Découvrir l’école puis commencer une demande de préinscription.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combine l’annonce officielle et l’action attendue des familles.</w:t>
      </w:r>
    </w:p>
    <w:p>
      <w:pPr>
        <w:pStyle w:val="Normal"/>
        <w:keepNext w:val="true"/>
        <w:keepLines/>
        <w:spacing w:before="40" w:after="0"/>
        <w:ind w:start="57"/>
        <w:rPr/>
      </w:pPr>
      <w:r>
        <w:rPr>
          <w:b/>
          <w:color w:val="0B3D91"/>
          <w:sz w:val="17"/>
        </w:rPr>
        <w:t>Q7. Quelle est l’importance de « Inscriptions 2026-2027 : les préinscriptions sont ouvertes » dans le projet du GSE ?</w:t>
      </w:r>
    </w:p>
    <w:p>
      <w:pPr>
        <w:pStyle w:val="Normal"/>
        <w:spacing w:before="0" w:after="40"/>
        <w:ind w:start="255"/>
        <w:rPr/>
      </w:pPr>
      <w:r>
        <w:rPr>
          <w:b/>
          <w:color w:val="D4A017"/>
          <w:sz w:val="16"/>
        </w:rPr>
        <w:t xml:space="preserve">Réponse : </w:t>
      </w:r>
      <w:r>
        <w:rPr>
          <w:color w:val="1F2937"/>
          <w:sz w:val="16"/>
        </w:rPr>
        <w:t>Il déclenche le recrutement des élèves et structure la campagne d’ouverture.</w:t>
      </w:r>
    </w:p>
    <w:p>
      <w:pPr>
        <w:pStyle w:val="Normal"/>
        <w:keepNext w:val="true"/>
        <w:keepLines/>
        <w:spacing w:before="40" w:after="0"/>
        <w:ind w:start="57"/>
        <w:rPr/>
      </w:pPr>
      <w:r>
        <w:rPr>
          <w:b/>
          <w:color w:val="0B3D91"/>
          <w:sz w:val="17"/>
        </w:rPr>
        <w:t>Q8. Quels liens « Inscriptions 2026-2027 : les préinscriptions sont ouvertes » entretient-il avec les autres pages ou services ?</w:t>
      </w:r>
    </w:p>
    <w:p>
      <w:pPr>
        <w:pStyle w:val="Normal"/>
        <w:spacing w:before="0" w:after="40"/>
        <w:ind w:start="255"/>
        <w:rPr/>
      </w:pPr>
      <w:r>
        <w:rPr>
          <w:b/>
          <w:color w:val="D4A017"/>
          <w:sz w:val="16"/>
        </w:rPr>
        <w:t xml:space="preserve">Réponse : </w:t>
      </w:r>
      <w:r>
        <w:rPr>
          <w:color w:val="1F2937"/>
          <w:sz w:val="16"/>
        </w:rPr>
        <w:t>Liens avec Admissions, Préinscription, Programmes, Visite et ÉMINA.</w:t>
      </w:r>
    </w:p>
    <w:p>
      <w:pPr>
        <w:pStyle w:val="Normal"/>
        <w:keepNext w:val="true"/>
        <w:keepLines/>
        <w:spacing w:before="40" w:after="0"/>
        <w:ind w:start="57"/>
        <w:rPr/>
      </w:pPr>
      <w:r>
        <w:rPr>
          <w:b/>
          <w:color w:val="0B3D91"/>
          <w:sz w:val="17"/>
        </w:rPr>
        <w:t>Q9. Quelle précision, limite ou réserve faut-il conserver à propos de « Inscriptions 2026-2027 : les préinscriptions sont ouvertes » ?</w:t>
      </w:r>
    </w:p>
    <w:p>
      <w:pPr>
        <w:pStyle w:val="Normal"/>
        <w:spacing w:before="0" w:after="40"/>
        <w:ind w:start="255"/>
        <w:rPr/>
      </w:pPr>
      <w:r>
        <w:rPr>
          <w:b/>
          <w:color w:val="D4A017"/>
          <w:sz w:val="16"/>
        </w:rPr>
        <w:t xml:space="preserve">Réponse : </w:t>
      </w:r>
      <w:r>
        <w:rPr>
          <w:color w:val="1F2937"/>
          <w:sz w:val="16"/>
        </w:rPr>
        <w:t>La préinscription ne constitue pas à elle seule une admission définitive.</w:t>
      </w:r>
    </w:p>
    <w:p>
      <w:pPr>
        <w:pStyle w:val="Normal"/>
        <w:keepNext w:val="true"/>
        <w:keepLines/>
        <w:spacing w:before="40" w:after="0"/>
        <w:ind w:start="57"/>
        <w:rPr/>
      </w:pPr>
      <w:r>
        <w:rPr>
          <w:b/>
          <w:color w:val="0B3D91"/>
          <w:sz w:val="17"/>
        </w:rPr>
        <w:t>Q10. Quelle réponse essentielle faut-il retenir au sujet de « Inscriptions 2026-2027 : les préinscriptions sont ouvertes » ?</w:t>
      </w:r>
    </w:p>
    <w:p>
      <w:pPr>
        <w:pStyle w:val="Normal"/>
        <w:spacing w:before="0" w:after="40"/>
        <w:ind w:start="255"/>
        <w:rPr/>
      </w:pPr>
      <w:r>
        <w:rPr>
          <w:b/>
          <w:color w:val="D4A017"/>
          <w:sz w:val="16"/>
        </w:rPr>
        <w:t xml:space="preserve">Réponse : </w:t>
      </w:r>
      <w:r>
        <w:rPr>
          <w:color w:val="1F2937"/>
          <w:sz w:val="16"/>
        </w:rPr>
        <w:t>La campagne est ouverte et les familles peuvent engager la première démarche.</w:t>
      </w:r>
    </w:p>
    <w:p>
      <w:pPr>
        <w:pStyle w:val="Heading2"/>
        <w:keepNext w:val="true"/>
        <w:rPr/>
      </w:pPr>
      <w:r>
        <w:rPr/>
        <w:t>28. Date et durée de lecture de l’annonce d’inscription</w:t>
      </w:r>
    </w:p>
    <w:p>
      <w:pPr>
        <w:pStyle w:val="Normal"/>
        <w:spacing w:before="20" w:after="80"/>
        <w:rPr/>
      </w:pPr>
      <w:r>
        <w:rPr>
          <w:b/>
          <w:color w:val="0B3D91"/>
          <w:sz w:val="16"/>
        </w:rPr>
        <w:t xml:space="preserve">Source contrôlée : </w:t>
      </w:r>
      <w:r>
        <w:rPr>
          <w:color w:val="555555"/>
          <w:sz w:val="16"/>
        </w:rPr>
        <w:t>Métadonnées de l’article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L’annonce est datée du 29 juin 2026 et prévue pour environ une minute de lecture.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La date situe l’ouverture de la campagne avant l’année scolaire concernée.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sert de repère dans le calendrier de communication et de recrutement.</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la carte de la page principale et la page Préinscription.</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29 juin 2026</w:t>
      </w:r>
    </w:p>
    <w:p>
      <w:pPr>
        <w:pStyle w:val="ListBullet"/>
        <w:numPr>
          <w:ilvl w:val="0"/>
          <w:numId w:val="1"/>
        </w:numPr>
        <w:spacing w:before="0" w:after="20"/>
        <w:ind w:hanging="360" w:start="283"/>
        <w:contextualSpacing/>
        <w:rPr/>
      </w:pPr>
      <w:r>
        <w:rPr>
          <w:sz w:val="17"/>
        </w:rPr>
        <w:t>1 minute</w:t>
      </w:r>
    </w:p>
    <w:p>
      <w:pPr>
        <w:pStyle w:val="ListBullet"/>
        <w:numPr>
          <w:ilvl w:val="0"/>
          <w:numId w:val="1"/>
        </w:numPr>
        <w:spacing w:before="0" w:after="20"/>
        <w:ind w:hanging="360" w:start="283"/>
        <w:contextualSpacing/>
        <w:rPr/>
      </w:pPr>
      <w:r>
        <w:rPr>
          <w:sz w:val="17"/>
        </w:rPr>
        <w:t>Annonce récente</w:t>
      </w:r>
    </w:p>
    <w:p>
      <w:pPr>
        <w:pStyle w:val="ListBullet"/>
        <w:numPr>
          <w:ilvl w:val="0"/>
          <w:numId w:val="1"/>
        </w:numPr>
        <w:spacing w:before="0" w:after="20"/>
        <w:ind w:hanging="360" w:start="283"/>
        <w:contextualSpacing/>
        <w:rPr/>
      </w:pPr>
      <w:r>
        <w:rPr>
          <w:sz w:val="17"/>
        </w:rPr>
        <w:t>Renvoi vers Admissions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Date et durée de lecture de l’annonce d’inscription » ?</w:t>
      </w:r>
    </w:p>
    <w:p>
      <w:pPr>
        <w:pStyle w:val="Normal"/>
        <w:spacing w:before="0" w:after="40"/>
        <w:ind w:start="255"/>
        <w:rPr/>
      </w:pPr>
      <w:r>
        <w:rPr>
          <w:b/>
          <w:color w:val="D4A017"/>
          <w:sz w:val="16"/>
        </w:rPr>
        <w:t xml:space="preserve">Réponse : </w:t>
      </w:r>
      <w:r>
        <w:rPr>
          <w:color w:val="1F2937"/>
          <w:sz w:val="16"/>
        </w:rPr>
        <w:t>L’annonce est datée du 29 juin 2026 et prévue pour environ une minute de lecture.</w:t>
      </w:r>
    </w:p>
    <w:p>
      <w:pPr>
        <w:pStyle w:val="Normal"/>
        <w:keepNext w:val="true"/>
        <w:keepLines/>
        <w:spacing w:before="40" w:after="0"/>
        <w:ind w:start="57"/>
        <w:rPr/>
      </w:pPr>
      <w:r>
        <w:rPr>
          <w:b/>
          <w:color w:val="0B3D91"/>
          <w:sz w:val="17"/>
        </w:rPr>
        <w:t>Q2. Quelle est l’idée centrale de « Date et durée de lecture de l’annonce d’inscription » ?</w:t>
      </w:r>
    </w:p>
    <w:p>
      <w:pPr>
        <w:pStyle w:val="Normal"/>
        <w:spacing w:before="0" w:after="40"/>
        <w:ind w:start="255"/>
        <w:rPr/>
      </w:pPr>
      <w:r>
        <w:rPr>
          <w:b/>
          <w:color w:val="D4A017"/>
          <w:sz w:val="16"/>
        </w:rPr>
        <w:t xml:space="preserve">Réponse : </w:t>
      </w:r>
      <w:r>
        <w:rPr>
          <w:color w:val="1F2937"/>
          <w:sz w:val="16"/>
        </w:rPr>
        <w:t>Ces repères permettent d’identifier une annonce récente et concise.</w:t>
      </w:r>
    </w:p>
    <w:p>
      <w:pPr>
        <w:pStyle w:val="Normal"/>
        <w:keepNext w:val="true"/>
        <w:keepLines/>
        <w:spacing w:before="40" w:after="0"/>
        <w:ind w:start="57"/>
        <w:rPr/>
      </w:pPr>
      <w:r>
        <w:rPr>
          <w:b/>
          <w:color w:val="0B3D91"/>
          <w:sz w:val="17"/>
        </w:rPr>
        <w:t>Q3. Quels éléments sont explicitement développés sous « Date et durée de lecture de l’annonce d’inscription » ?</w:t>
      </w:r>
    </w:p>
    <w:p>
      <w:pPr>
        <w:pStyle w:val="Normal"/>
        <w:spacing w:before="0" w:after="40"/>
        <w:ind w:start="255"/>
        <w:rPr/>
      </w:pPr>
      <w:r>
        <w:rPr>
          <w:b/>
          <w:color w:val="D4A017"/>
          <w:sz w:val="16"/>
        </w:rPr>
        <w:t xml:space="preserve">Réponse : </w:t>
      </w:r>
      <w:r>
        <w:rPr>
          <w:color w:val="1F2937"/>
          <w:sz w:val="16"/>
        </w:rPr>
        <w:t>Date de publication et durée estimée.</w:t>
      </w:r>
    </w:p>
    <w:p>
      <w:pPr>
        <w:pStyle w:val="Normal"/>
        <w:keepNext w:val="true"/>
        <w:keepLines/>
        <w:spacing w:before="40" w:after="0"/>
        <w:ind w:start="57"/>
        <w:rPr/>
      </w:pPr>
      <w:r>
        <w:rPr>
          <w:b/>
          <w:color w:val="0B3D91"/>
          <w:sz w:val="17"/>
        </w:rPr>
        <w:t>Q4. À quel public ou à quels acteurs « Date et durée de lecture de l’annonce d’inscription » s’adresse-t-il ?</w:t>
      </w:r>
    </w:p>
    <w:p>
      <w:pPr>
        <w:pStyle w:val="Normal"/>
        <w:spacing w:before="0" w:after="40"/>
        <w:ind w:start="255"/>
        <w:rPr/>
      </w:pPr>
      <w:r>
        <w:rPr>
          <w:b/>
          <w:color w:val="D4A017"/>
          <w:sz w:val="16"/>
        </w:rPr>
        <w:t xml:space="preserve">Réponse : </w:t>
      </w:r>
      <w:r>
        <w:rPr>
          <w:color w:val="1F2937"/>
          <w:sz w:val="16"/>
        </w:rPr>
        <w:t>Familles et visiteurs consultant les nouvelles d’admission.</w:t>
      </w:r>
    </w:p>
    <w:p>
      <w:pPr>
        <w:pStyle w:val="Normal"/>
        <w:keepNext w:val="true"/>
        <w:keepLines/>
        <w:spacing w:before="40" w:after="0"/>
        <w:ind w:start="57"/>
        <w:rPr/>
      </w:pPr>
      <w:r>
        <w:rPr>
          <w:b/>
          <w:color w:val="0B3D91"/>
          <w:sz w:val="17"/>
        </w:rPr>
        <w:t>Q5. Quelle action ou conduite « Date et durée de lecture de l’annonce d’inscription » invite-t-il à adopter ?</w:t>
      </w:r>
    </w:p>
    <w:p>
      <w:pPr>
        <w:pStyle w:val="Normal"/>
        <w:spacing w:before="0" w:after="40"/>
        <w:ind w:start="255"/>
        <w:rPr/>
      </w:pPr>
      <w:r>
        <w:rPr>
          <w:b/>
          <w:color w:val="D4A017"/>
          <w:sz w:val="16"/>
        </w:rPr>
        <w:t xml:space="preserve">Réponse : </w:t>
      </w:r>
      <w:r>
        <w:rPr>
          <w:color w:val="1F2937"/>
          <w:sz w:val="16"/>
        </w:rPr>
        <w:t>Lire l’annonce puis passer aux pages d’admission détaillées.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La date situe l’ouverture de la campagne avant l’année scolaire concernée.</w:t>
      </w:r>
    </w:p>
    <w:p>
      <w:pPr>
        <w:pStyle w:val="Normal"/>
        <w:keepNext w:val="true"/>
        <w:keepLines/>
        <w:spacing w:before="40" w:after="0"/>
        <w:ind w:start="57"/>
        <w:rPr/>
      </w:pPr>
      <w:r>
        <w:rPr>
          <w:b/>
          <w:color w:val="0B3D91"/>
          <w:sz w:val="17"/>
        </w:rPr>
        <w:t>Q7. Quelle est l’importance de « Date et durée de lecture de l’annonce d’inscription » dans le projet du GSE ?</w:t>
      </w:r>
    </w:p>
    <w:p>
      <w:pPr>
        <w:pStyle w:val="Normal"/>
        <w:spacing w:before="0" w:after="40"/>
        <w:ind w:start="255"/>
        <w:rPr/>
      </w:pPr>
      <w:r>
        <w:rPr>
          <w:b/>
          <w:color w:val="D4A017"/>
          <w:sz w:val="16"/>
        </w:rPr>
        <w:t xml:space="preserve">Réponse : </w:t>
      </w:r>
      <w:r>
        <w:rPr>
          <w:color w:val="1F2937"/>
          <w:sz w:val="16"/>
        </w:rPr>
        <w:t>Elle sert de repère dans le calendrier de communication et de recrutement.</w:t>
      </w:r>
    </w:p>
    <w:p>
      <w:pPr>
        <w:pStyle w:val="Normal"/>
        <w:keepNext w:val="true"/>
        <w:keepLines/>
        <w:spacing w:before="40" w:after="0"/>
        <w:ind w:start="57"/>
        <w:rPr/>
      </w:pPr>
      <w:r>
        <w:rPr>
          <w:b/>
          <w:color w:val="0B3D91"/>
          <w:sz w:val="17"/>
        </w:rPr>
        <w:t>Q8. Quels liens « Date et durée de lecture de l’annonce d’inscription » entretient-il avec les autres pages ou services ?</w:t>
      </w:r>
    </w:p>
    <w:p>
      <w:pPr>
        <w:pStyle w:val="Normal"/>
        <w:spacing w:before="0" w:after="40"/>
        <w:ind w:start="255"/>
        <w:rPr/>
      </w:pPr>
      <w:r>
        <w:rPr>
          <w:b/>
          <w:color w:val="D4A017"/>
          <w:sz w:val="16"/>
        </w:rPr>
        <w:t xml:space="preserve">Réponse : </w:t>
      </w:r>
      <w:r>
        <w:rPr>
          <w:color w:val="1F2937"/>
          <w:sz w:val="16"/>
        </w:rPr>
        <w:t>Liens avec la carte de la page principale et la page Préinscription.</w:t>
      </w:r>
    </w:p>
    <w:p>
      <w:pPr>
        <w:pStyle w:val="Normal"/>
        <w:keepNext w:val="true"/>
        <w:keepLines/>
        <w:spacing w:before="40" w:after="0"/>
        <w:ind w:start="57"/>
        <w:rPr/>
      </w:pPr>
      <w:r>
        <w:rPr>
          <w:b/>
          <w:color w:val="0B3D91"/>
          <w:sz w:val="17"/>
        </w:rPr>
        <w:t>Q9. Quelle précision, limite ou réserve faut-il conserver à propos de « Date et durée de lecture de l’annonce d’inscription » ?</w:t>
      </w:r>
    </w:p>
    <w:p>
      <w:pPr>
        <w:pStyle w:val="Normal"/>
        <w:spacing w:before="0" w:after="40"/>
        <w:ind w:start="255"/>
        <w:rPr/>
      </w:pPr>
      <w:r>
        <w:rPr>
          <w:b/>
          <w:color w:val="D4A017"/>
          <w:sz w:val="16"/>
        </w:rPr>
        <w:t xml:space="preserve">Réponse : </w:t>
      </w:r>
      <w:r>
        <w:rPr>
          <w:color w:val="1F2937"/>
          <w:sz w:val="16"/>
        </w:rPr>
        <w:t>La durée courte signifie que l’article ne remplace pas les conditions complètes.</w:t>
      </w:r>
    </w:p>
    <w:p>
      <w:pPr>
        <w:pStyle w:val="Normal"/>
        <w:keepNext w:val="true"/>
        <w:keepLines/>
        <w:spacing w:before="40" w:after="0"/>
        <w:ind w:start="57"/>
        <w:rPr/>
      </w:pPr>
      <w:r>
        <w:rPr>
          <w:b/>
          <w:color w:val="0B3D91"/>
          <w:sz w:val="17"/>
        </w:rPr>
        <w:t>Q10. Quelle réponse essentielle faut-il retenir au sujet de « Date et durée de lecture de l’annonce d’inscription » ?</w:t>
      </w:r>
    </w:p>
    <w:p>
      <w:pPr>
        <w:pStyle w:val="Normal"/>
        <w:spacing w:before="0" w:after="40"/>
        <w:ind w:start="255"/>
        <w:rPr/>
      </w:pPr>
      <w:r>
        <w:rPr>
          <w:b/>
          <w:color w:val="D4A017"/>
          <w:sz w:val="16"/>
        </w:rPr>
        <w:t xml:space="preserve">Réponse : </w:t>
      </w:r>
      <w:r>
        <w:rPr>
          <w:color w:val="1F2937"/>
          <w:sz w:val="16"/>
        </w:rPr>
        <w:t>L’annonce est une porte d’entrée rapide vers le parcours d’admission.</w:t>
      </w:r>
    </w:p>
    <w:p>
      <w:pPr>
        <w:pStyle w:val="Heading2"/>
        <w:keepNext w:val="true"/>
        <w:rPr/>
      </w:pPr>
      <w:r>
        <w:rPr/>
        <w:t>29. Ouverture de la campagne d’inscriptions 2026-2027</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GROUPE SCOLAIRE LES ÉMINENTS ouvre sa campagne d’inscriptions pour l’année scolaire 2026-2027.</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situe clairement la campagne et l’année concernée.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Cette annonce permet aux familles de planifier leur démarche dans les délais.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Préinscription, Inscription définitive, Frais et Pièces à fournir.</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Ouverture officielle</w:t>
      </w:r>
    </w:p>
    <w:p>
      <w:pPr>
        <w:pStyle w:val="ListBullet"/>
        <w:numPr>
          <w:ilvl w:val="0"/>
          <w:numId w:val="1"/>
        </w:numPr>
        <w:spacing w:before="0" w:after="20"/>
        <w:ind w:hanging="360" w:start="283"/>
        <w:contextualSpacing/>
        <w:rPr/>
      </w:pPr>
      <w:r>
        <w:rPr>
          <w:sz w:val="17"/>
        </w:rPr>
        <w:t>Année 2026-2027</w:t>
      </w:r>
    </w:p>
    <w:p>
      <w:pPr>
        <w:pStyle w:val="ListBullet"/>
        <w:numPr>
          <w:ilvl w:val="0"/>
          <w:numId w:val="1"/>
        </w:numPr>
        <w:spacing w:before="0" w:after="20"/>
        <w:ind w:hanging="360" w:start="283"/>
        <w:contextualSpacing/>
        <w:rPr/>
      </w:pPr>
      <w:r>
        <w:rPr>
          <w:sz w:val="17"/>
        </w:rPr>
        <w:t>Recrutement des élèves</w:t>
      </w:r>
    </w:p>
    <w:p>
      <w:pPr>
        <w:pStyle w:val="ListBullet"/>
        <w:numPr>
          <w:ilvl w:val="0"/>
          <w:numId w:val="1"/>
        </w:numPr>
        <w:spacing w:before="0" w:after="20"/>
        <w:ind w:hanging="360" w:start="283"/>
        <w:contextualSpacing/>
        <w:rPr/>
      </w:pPr>
      <w:r>
        <w:rPr>
          <w:sz w:val="17"/>
        </w:rPr>
        <w:t>Procédure à respecter</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Ouverture de la campagne d’inscriptions 2026-2027 » ?</w:t>
      </w:r>
    </w:p>
    <w:p>
      <w:pPr>
        <w:pStyle w:val="Normal"/>
        <w:spacing w:before="0" w:after="40"/>
        <w:ind w:start="255"/>
        <w:rPr/>
      </w:pPr>
      <w:r>
        <w:rPr>
          <w:b/>
          <w:color w:val="D4A017"/>
          <w:sz w:val="16"/>
        </w:rPr>
        <w:t xml:space="preserve">Réponse : </w:t>
      </w:r>
      <w:r>
        <w:rPr>
          <w:color w:val="1F2937"/>
          <w:sz w:val="16"/>
        </w:rPr>
        <w:t>Le GROUPE SCOLAIRE LES ÉMINENTS ouvre sa campagne d’inscriptions pour l’année scolaire 2026-2027.</w:t>
      </w:r>
    </w:p>
    <w:p>
      <w:pPr>
        <w:pStyle w:val="Normal"/>
        <w:keepNext w:val="true"/>
        <w:keepLines/>
        <w:spacing w:before="40" w:after="0"/>
        <w:ind w:start="57"/>
        <w:rPr/>
      </w:pPr>
      <w:r>
        <w:rPr>
          <w:b/>
          <w:color w:val="0B3D91"/>
          <w:sz w:val="17"/>
        </w:rPr>
        <w:t>Q2. Quelle est l’idée centrale de « Ouverture de la campagne d’inscriptions 2026-2027 » ?</w:t>
      </w:r>
    </w:p>
    <w:p>
      <w:pPr>
        <w:pStyle w:val="Normal"/>
        <w:spacing w:before="0" w:after="40"/>
        <w:ind w:start="255"/>
        <w:rPr/>
      </w:pPr>
      <w:r>
        <w:rPr>
          <w:b/>
          <w:color w:val="D4A017"/>
          <w:sz w:val="16"/>
        </w:rPr>
        <w:t xml:space="preserve">Réponse : </w:t>
      </w:r>
      <w:r>
        <w:rPr>
          <w:color w:val="1F2937"/>
          <w:sz w:val="16"/>
        </w:rPr>
        <w:t>L’école officialise la période de recrutement des élèves.</w:t>
      </w:r>
    </w:p>
    <w:p>
      <w:pPr>
        <w:pStyle w:val="Normal"/>
        <w:keepNext w:val="true"/>
        <w:keepLines/>
        <w:spacing w:before="40" w:after="0"/>
        <w:ind w:start="57"/>
        <w:rPr/>
      </w:pPr>
      <w:r>
        <w:rPr>
          <w:b/>
          <w:color w:val="0B3D91"/>
          <w:sz w:val="17"/>
        </w:rPr>
        <w:t>Q3. Quels éléments sont explicitement développés sous « Ouverture de la campagne d’inscriptions 2026-2027 » ?</w:t>
      </w:r>
    </w:p>
    <w:p>
      <w:pPr>
        <w:pStyle w:val="Normal"/>
        <w:spacing w:before="0" w:after="40"/>
        <w:ind w:start="255"/>
        <w:rPr/>
      </w:pPr>
      <w:r>
        <w:rPr>
          <w:b/>
          <w:color w:val="D4A017"/>
          <w:sz w:val="16"/>
        </w:rPr>
        <w:t xml:space="preserve">Réponse : </w:t>
      </w:r>
      <w:r>
        <w:rPr>
          <w:color w:val="1F2937"/>
          <w:sz w:val="16"/>
        </w:rPr>
        <w:t>Établissement, année scolaire et ouverture de campagne.</w:t>
      </w:r>
    </w:p>
    <w:p>
      <w:pPr>
        <w:pStyle w:val="Normal"/>
        <w:keepNext w:val="true"/>
        <w:keepLines/>
        <w:spacing w:before="40" w:after="0"/>
        <w:ind w:start="57"/>
        <w:rPr/>
      </w:pPr>
      <w:r>
        <w:rPr>
          <w:b/>
          <w:color w:val="0B3D91"/>
          <w:sz w:val="17"/>
        </w:rPr>
        <w:t>Q4. À quel public ou à quels acteurs « Ouverture de la campagne d’inscriptions 2026-2027 » s’adresse-t-il ?</w:t>
      </w:r>
    </w:p>
    <w:p>
      <w:pPr>
        <w:pStyle w:val="Normal"/>
        <w:spacing w:before="0" w:after="40"/>
        <w:ind w:start="255"/>
        <w:rPr/>
      </w:pPr>
      <w:r>
        <w:rPr>
          <w:b/>
          <w:color w:val="D4A017"/>
          <w:sz w:val="16"/>
        </w:rPr>
        <w:t xml:space="preserve">Réponse : </w:t>
      </w:r>
      <w:r>
        <w:rPr>
          <w:color w:val="1F2937"/>
          <w:sz w:val="16"/>
        </w:rPr>
        <w:t>Familles, service Admissions et communauté éducative.</w:t>
      </w:r>
    </w:p>
    <w:p>
      <w:pPr>
        <w:pStyle w:val="Normal"/>
        <w:keepNext w:val="true"/>
        <w:keepLines/>
        <w:spacing w:before="40" w:after="0"/>
        <w:ind w:start="57"/>
        <w:rPr/>
      </w:pPr>
      <w:r>
        <w:rPr>
          <w:b/>
          <w:color w:val="0B3D91"/>
          <w:sz w:val="17"/>
        </w:rPr>
        <w:t>Q5. Quelle action ou conduite « Ouverture de la campagne d’inscriptions 2026-2027 » invite-t-il à adopter ?</w:t>
      </w:r>
    </w:p>
    <w:p>
      <w:pPr>
        <w:pStyle w:val="Normal"/>
        <w:spacing w:before="0" w:after="40"/>
        <w:ind w:start="255"/>
        <w:rPr/>
      </w:pPr>
      <w:r>
        <w:rPr>
          <w:b/>
          <w:color w:val="D4A017"/>
          <w:sz w:val="16"/>
        </w:rPr>
        <w:t xml:space="preserve">Réponse : </w:t>
      </w:r>
      <w:r>
        <w:rPr>
          <w:color w:val="1F2937"/>
          <w:sz w:val="16"/>
        </w:rPr>
        <w:t>Prendre contact et suivre les étapes officielles d’admission.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situe clairement la campagne et l’année concernée.</w:t>
      </w:r>
    </w:p>
    <w:p>
      <w:pPr>
        <w:pStyle w:val="Normal"/>
        <w:keepNext w:val="true"/>
        <w:keepLines/>
        <w:spacing w:before="40" w:after="0"/>
        <w:ind w:start="57"/>
        <w:rPr/>
      </w:pPr>
      <w:r>
        <w:rPr>
          <w:b/>
          <w:color w:val="0B3D91"/>
          <w:sz w:val="17"/>
        </w:rPr>
        <w:t>Q7. Quelle est l’importance de « Ouverture de la campagne d’inscriptions 2026-2027 » dans le projet du GSE ?</w:t>
      </w:r>
    </w:p>
    <w:p>
      <w:pPr>
        <w:pStyle w:val="Normal"/>
        <w:spacing w:before="0" w:after="40"/>
        <w:ind w:start="255"/>
        <w:rPr/>
      </w:pPr>
      <w:r>
        <w:rPr>
          <w:b/>
          <w:color w:val="D4A017"/>
          <w:sz w:val="16"/>
        </w:rPr>
        <w:t xml:space="preserve">Réponse : </w:t>
      </w:r>
      <w:r>
        <w:rPr>
          <w:color w:val="1F2937"/>
          <w:sz w:val="16"/>
        </w:rPr>
        <w:t>Cette annonce permet aux familles de planifier leur démarche dans les délais.</w:t>
      </w:r>
    </w:p>
    <w:p>
      <w:pPr>
        <w:pStyle w:val="Normal"/>
        <w:keepNext w:val="true"/>
        <w:keepLines/>
        <w:spacing w:before="40" w:after="0"/>
        <w:ind w:start="57"/>
        <w:rPr/>
      </w:pPr>
      <w:r>
        <w:rPr>
          <w:b/>
          <w:color w:val="0B3D91"/>
          <w:sz w:val="17"/>
        </w:rPr>
        <w:t>Q8. Quels liens « Ouverture de la campagne d’inscriptions 2026-2027 » entretient-il avec les autres pages ou services ?</w:t>
      </w:r>
    </w:p>
    <w:p>
      <w:pPr>
        <w:pStyle w:val="Normal"/>
        <w:spacing w:before="0" w:after="40"/>
        <w:ind w:start="255"/>
        <w:rPr/>
      </w:pPr>
      <w:r>
        <w:rPr>
          <w:b/>
          <w:color w:val="D4A017"/>
          <w:sz w:val="16"/>
        </w:rPr>
        <w:t xml:space="preserve">Réponse : </w:t>
      </w:r>
      <w:r>
        <w:rPr>
          <w:color w:val="1F2937"/>
          <w:sz w:val="16"/>
        </w:rPr>
        <w:t>Liens avec Préinscription, Inscription définitive, Frais et Pièces à fournir.</w:t>
      </w:r>
    </w:p>
    <w:p>
      <w:pPr>
        <w:pStyle w:val="Normal"/>
        <w:keepNext w:val="true"/>
        <w:keepLines/>
        <w:spacing w:before="40" w:after="0"/>
        <w:ind w:start="57"/>
        <w:rPr/>
      </w:pPr>
      <w:r>
        <w:rPr>
          <w:b/>
          <w:color w:val="0B3D91"/>
          <w:sz w:val="17"/>
        </w:rPr>
        <w:t>Q9. Quelle précision, limite ou réserve faut-il conserver à propos de « Ouverture de la campagne d’inscriptions 2026-2027 » ?</w:t>
      </w:r>
    </w:p>
    <w:p>
      <w:pPr>
        <w:pStyle w:val="Normal"/>
        <w:spacing w:before="0" w:after="40"/>
        <w:ind w:start="255"/>
        <w:rPr/>
      </w:pPr>
      <w:r>
        <w:rPr>
          <w:b/>
          <w:color w:val="D4A017"/>
          <w:sz w:val="16"/>
        </w:rPr>
        <w:t xml:space="preserve">Réponse : </w:t>
      </w:r>
      <w:r>
        <w:rPr>
          <w:color w:val="1F2937"/>
          <w:sz w:val="16"/>
        </w:rPr>
        <w:t>L’ouverture de la campagne n’abolit pas les conditions et validations prévues.</w:t>
      </w:r>
    </w:p>
    <w:p>
      <w:pPr>
        <w:pStyle w:val="Normal"/>
        <w:keepNext w:val="true"/>
        <w:keepLines/>
        <w:spacing w:before="40" w:after="0"/>
        <w:ind w:start="57"/>
        <w:rPr/>
      </w:pPr>
      <w:r>
        <w:rPr>
          <w:b/>
          <w:color w:val="0B3D91"/>
          <w:sz w:val="17"/>
        </w:rPr>
        <w:t>Q10. Quelle réponse essentielle faut-il retenir au sujet de « Ouverture de la campagne d’inscriptions 2026-2027 » ?</w:t>
      </w:r>
    </w:p>
    <w:p>
      <w:pPr>
        <w:pStyle w:val="Normal"/>
        <w:spacing w:before="0" w:after="40"/>
        <w:ind w:start="255"/>
        <w:rPr/>
      </w:pPr>
      <w:r>
        <w:rPr>
          <w:b/>
          <w:color w:val="D4A017"/>
          <w:sz w:val="16"/>
        </w:rPr>
        <w:t xml:space="preserve">Réponse : </w:t>
      </w:r>
      <w:r>
        <w:rPr>
          <w:color w:val="1F2937"/>
          <w:sz w:val="16"/>
        </w:rPr>
        <w:t>Les demandes pour 2026-2027 peuvent être engagées selon la procédure officielle.</w:t>
      </w:r>
    </w:p>
    <w:p>
      <w:pPr>
        <w:pStyle w:val="Heading2"/>
        <w:keepNext w:val="true"/>
        <w:rPr/>
      </w:pPr>
      <w:r>
        <w:rPr/>
        <w:t>30. Offre opérationnelle : Maternelle et Primaire</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précise que l’offre opérationnelle concerne la Maternelle et le Primaire.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évite de laisser croire que tous les cycles sont déjà ouverts.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garantit une communication réaliste et conforme aux capacités annoncées.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les pages Maternelle, Primaire et Programmes.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Niveaux ouverts</w:t>
      </w:r>
    </w:p>
    <w:p>
      <w:pPr>
        <w:pStyle w:val="ListBullet"/>
        <w:numPr>
          <w:ilvl w:val="0"/>
          <w:numId w:val="1"/>
        </w:numPr>
        <w:spacing w:before="0" w:after="20"/>
        <w:ind w:hanging="360" w:start="283"/>
        <w:contextualSpacing/>
        <w:rPr/>
      </w:pPr>
      <w:r>
        <w:rPr>
          <w:sz w:val="17"/>
        </w:rPr>
        <w:t>Maternelle</w:t>
      </w:r>
    </w:p>
    <w:p>
      <w:pPr>
        <w:pStyle w:val="ListBullet"/>
        <w:numPr>
          <w:ilvl w:val="0"/>
          <w:numId w:val="1"/>
        </w:numPr>
        <w:spacing w:before="0" w:after="20"/>
        <w:ind w:hanging="360" w:start="283"/>
        <w:contextualSpacing/>
        <w:rPr/>
      </w:pPr>
      <w:r>
        <w:rPr>
          <w:sz w:val="17"/>
        </w:rPr>
        <w:t>Primaire</w:t>
      </w:r>
    </w:p>
    <w:p>
      <w:pPr>
        <w:pStyle w:val="ListBullet"/>
        <w:numPr>
          <w:ilvl w:val="0"/>
          <w:numId w:val="1"/>
        </w:numPr>
        <w:spacing w:before="0" w:after="20"/>
        <w:ind w:hanging="360" w:start="283"/>
        <w:contextualSpacing/>
        <w:rPr/>
      </w:pPr>
      <w:r>
        <w:rPr>
          <w:sz w:val="17"/>
        </w:rPr>
        <w:t>Périmètre opérationnel</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Offre opérationnelle : Maternelle et Primaire » ?</w:t>
      </w:r>
    </w:p>
    <w:p>
      <w:pPr>
        <w:pStyle w:val="Normal"/>
        <w:spacing w:before="0" w:after="40"/>
        <w:ind w:start="255"/>
        <w:rPr/>
      </w:pPr>
      <w:r>
        <w:rPr>
          <w:b/>
          <w:color w:val="D4A017"/>
          <w:sz w:val="16"/>
        </w:rPr>
        <w:t xml:space="preserve">Réponse : </w:t>
      </w:r>
      <w:r>
        <w:rPr>
          <w:color w:val="1F2937"/>
          <w:sz w:val="16"/>
        </w:rPr>
        <w:t>L’article précise que l’offre opérationnelle concerne la Maternelle et le Primaire.</w:t>
      </w:r>
    </w:p>
    <w:p>
      <w:pPr>
        <w:pStyle w:val="Normal"/>
        <w:keepNext w:val="true"/>
        <w:keepLines/>
        <w:spacing w:before="40" w:after="0"/>
        <w:ind w:start="57"/>
        <w:rPr/>
      </w:pPr>
      <w:r>
        <w:rPr>
          <w:b/>
          <w:color w:val="0B3D91"/>
          <w:sz w:val="17"/>
        </w:rPr>
        <w:t>Q2. Quelle est l’idée centrale de « Offre opérationnelle : Maternelle et Primaire » ?</w:t>
      </w:r>
    </w:p>
    <w:p>
      <w:pPr>
        <w:pStyle w:val="Normal"/>
        <w:spacing w:before="0" w:after="40"/>
        <w:ind w:start="255"/>
        <w:rPr/>
      </w:pPr>
      <w:r>
        <w:rPr>
          <w:b/>
          <w:color w:val="D4A017"/>
          <w:sz w:val="16"/>
        </w:rPr>
        <w:t xml:space="preserve">Réponse : </w:t>
      </w:r>
      <w:r>
        <w:rPr>
          <w:color w:val="1F2937"/>
          <w:sz w:val="16"/>
        </w:rPr>
        <w:t>L’annonce délimite les niveaux réellement ouverts pour la campagne.</w:t>
      </w:r>
    </w:p>
    <w:p>
      <w:pPr>
        <w:pStyle w:val="Normal"/>
        <w:keepNext w:val="true"/>
        <w:keepLines/>
        <w:spacing w:before="40" w:after="0"/>
        <w:ind w:start="57"/>
        <w:rPr/>
      </w:pPr>
      <w:r>
        <w:rPr>
          <w:b/>
          <w:color w:val="0B3D91"/>
          <w:sz w:val="17"/>
        </w:rPr>
        <w:t>Q3. Quels éléments sont explicitement développés sous « Offre opérationnelle : Maternelle et Primaire » ?</w:t>
      </w:r>
    </w:p>
    <w:p>
      <w:pPr>
        <w:pStyle w:val="Normal"/>
        <w:spacing w:before="0" w:after="40"/>
        <w:ind w:start="255"/>
        <w:rPr/>
      </w:pPr>
      <w:r>
        <w:rPr>
          <w:b/>
          <w:color w:val="D4A017"/>
          <w:sz w:val="16"/>
        </w:rPr>
        <w:t xml:space="preserve">Réponse : </w:t>
      </w:r>
      <w:r>
        <w:rPr>
          <w:color w:val="1F2937"/>
          <w:sz w:val="16"/>
        </w:rPr>
        <w:t>Maternelle et Primaire comme niveaux concernés.</w:t>
      </w:r>
    </w:p>
    <w:p>
      <w:pPr>
        <w:pStyle w:val="Normal"/>
        <w:keepNext w:val="true"/>
        <w:keepLines/>
        <w:spacing w:before="40" w:after="0"/>
        <w:ind w:start="57"/>
        <w:rPr/>
      </w:pPr>
      <w:r>
        <w:rPr>
          <w:b/>
          <w:color w:val="0B3D91"/>
          <w:sz w:val="17"/>
        </w:rPr>
        <w:t>Q4. À quel public ou à quels acteurs « Offre opérationnelle : Maternelle et Primaire » s’adresse-t-il ?</w:t>
      </w:r>
    </w:p>
    <w:p>
      <w:pPr>
        <w:pStyle w:val="Normal"/>
        <w:spacing w:before="0" w:after="40"/>
        <w:ind w:start="255"/>
        <w:rPr/>
      </w:pPr>
      <w:r>
        <w:rPr>
          <w:b/>
          <w:color w:val="D4A017"/>
          <w:sz w:val="16"/>
        </w:rPr>
        <w:t xml:space="preserve">Réponse : </w:t>
      </w:r>
      <w:r>
        <w:rPr>
          <w:color w:val="1F2937"/>
          <w:sz w:val="16"/>
        </w:rPr>
        <w:t>Familles recherchant une place dans ces niveaux.</w:t>
      </w:r>
    </w:p>
    <w:p>
      <w:pPr>
        <w:pStyle w:val="Normal"/>
        <w:keepNext w:val="true"/>
        <w:keepLines/>
        <w:spacing w:before="40" w:after="0"/>
        <w:ind w:start="57"/>
        <w:rPr/>
      </w:pPr>
      <w:r>
        <w:rPr>
          <w:b/>
          <w:color w:val="0B3D91"/>
          <w:sz w:val="17"/>
        </w:rPr>
        <w:t>Q5. Quelle action ou conduite « Offre opérationnelle : Maternelle et Primaire » invite-t-il à adopter ?</w:t>
      </w:r>
    </w:p>
    <w:p>
      <w:pPr>
        <w:pStyle w:val="Normal"/>
        <w:spacing w:before="0" w:after="40"/>
        <w:ind w:start="255"/>
        <w:rPr/>
      </w:pPr>
      <w:r>
        <w:rPr>
          <w:b/>
          <w:color w:val="D4A017"/>
          <w:sz w:val="16"/>
        </w:rPr>
        <w:t xml:space="preserve">Réponse : </w:t>
      </w:r>
      <w:r>
        <w:rPr>
          <w:color w:val="1F2937"/>
          <w:sz w:val="16"/>
        </w:rPr>
        <w:t>Vérifier le niveau demandé avant de compléter la préinscription.</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évite de laisser croire que tous les cycles sont déjà ouverts.</w:t>
      </w:r>
    </w:p>
    <w:p>
      <w:pPr>
        <w:pStyle w:val="Normal"/>
        <w:keepNext w:val="true"/>
        <w:keepLines/>
        <w:spacing w:before="40" w:after="0"/>
        <w:ind w:start="57"/>
        <w:rPr/>
      </w:pPr>
      <w:r>
        <w:rPr>
          <w:b/>
          <w:color w:val="0B3D91"/>
          <w:sz w:val="17"/>
        </w:rPr>
        <w:t>Q7. Quelle est l’importance de « Offre opérationnelle : Maternelle et Primaire » dans le projet du GSE ?</w:t>
      </w:r>
    </w:p>
    <w:p>
      <w:pPr>
        <w:pStyle w:val="Normal"/>
        <w:spacing w:before="0" w:after="40"/>
        <w:ind w:start="255"/>
        <w:rPr/>
      </w:pPr>
      <w:r>
        <w:rPr>
          <w:b/>
          <w:color w:val="D4A017"/>
          <w:sz w:val="16"/>
        </w:rPr>
        <w:t xml:space="preserve">Réponse : </w:t>
      </w:r>
      <w:r>
        <w:rPr>
          <w:color w:val="1F2937"/>
          <w:sz w:val="16"/>
        </w:rPr>
        <w:t>Il garantit une communication réaliste et conforme aux capacités annoncées.</w:t>
      </w:r>
    </w:p>
    <w:p>
      <w:pPr>
        <w:pStyle w:val="Normal"/>
        <w:keepNext w:val="true"/>
        <w:keepLines/>
        <w:spacing w:before="40" w:after="0"/>
        <w:ind w:start="57"/>
        <w:rPr/>
      </w:pPr>
      <w:r>
        <w:rPr>
          <w:b/>
          <w:color w:val="0B3D91"/>
          <w:sz w:val="17"/>
        </w:rPr>
        <w:t>Q8. Quels liens « Offre opérationnelle : Maternelle et Primaire » entretient-il avec les autres pages ou services ?</w:t>
      </w:r>
    </w:p>
    <w:p>
      <w:pPr>
        <w:pStyle w:val="Normal"/>
        <w:spacing w:before="0" w:after="40"/>
        <w:ind w:start="255"/>
        <w:rPr/>
      </w:pPr>
      <w:r>
        <w:rPr>
          <w:b/>
          <w:color w:val="D4A017"/>
          <w:sz w:val="16"/>
        </w:rPr>
        <w:t xml:space="preserve">Réponse : </w:t>
      </w:r>
      <w:r>
        <w:rPr>
          <w:color w:val="1F2937"/>
          <w:sz w:val="16"/>
        </w:rPr>
        <w:t>Liens avec les pages Maternelle, Primaire et Programmes.</w:t>
      </w:r>
    </w:p>
    <w:p>
      <w:pPr>
        <w:pStyle w:val="Normal"/>
        <w:keepNext w:val="true"/>
        <w:keepLines/>
        <w:spacing w:before="40" w:after="0"/>
        <w:ind w:start="57"/>
        <w:rPr/>
      </w:pPr>
      <w:r>
        <w:rPr>
          <w:b/>
          <w:color w:val="0B3D91"/>
          <w:sz w:val="17"/>
        </w:rPr>
        <w:t>Q9. Quelle précision, limite ou réserve faut-il conserver à propos de « Offre opérationnelle : Maternelle et Primaire » ?</w:t>
      </w:r>
    </w:p>
    <w:p>
      <w:pPr>
        <w:pStyle w:val="Normal"/>
        <w:spacing w:before="0" w:after="40"/>
        <w:ind w:start="255"/>
        <w:rPr/>
      </w:pPr>
      <w:r>
        <w:rPr>
          <w:b/>
          <w:color w:val="D4A017"/>
          <w:sz w:val="16"/>
        </w:rPr>
        <w:t xml:space="preserve">Réponse : </w:t>
      </w:r>
      <w:r>
        <w:rPr>
          <w:color w:val="1F2937"/>
          <w:sz w:val="16"/>
        </w:rPr>
        <w:t>Les autres niveaux ne sont pas présentés comme opérationnels dans cet article.</w:t>
      </w:r>
    </w:p>
    <w:p>
      <w:pPr>
        <w:pStyle w:val="Normal"/>
        <w:keepNext w:val="true"/>
        <w:keepLines/>
        <w:spacing w:before="40" w:after="0"/>
        <w:ind w:start="57"/>
        <w:rPr/>
      </w:pPr>
      <w:r>
        <w:rPr>
          <w:b/>
          <w:color w:val="0B3D91"/>
          <w:sz w:val="17"/>
        </w:rPr>
        <w:t>Q10. Quelle réponse essentielle faut-il retenir au sujet de « Offre opérationnelle : Maternelle et Primaire » ?</w:t>
      </w:r>
    </w:p>
    <w:p>
      <w:pPr>
        <w:pStyle w:val="Normal"/>
        <w:spacing w:before="0" w:after="40"/>
        <w:ind w:start="255"/>
        <w:rPr/>
      </w:pPr>
      <w:r>
        <w:rPr>
          <w:b/>
          <w:color w:val="D4A017"/>
          <w:sz w:val="16"/>
        </w:rPr>
        <w:t xml:space="preserve">Réponse : </w:t>
      </w:r>
      <w:r>
        <w:rPr>
          <w:color w:val="1F2937"/>
          <w:sz w:val="16"/>
        </w:rPr>
        <w:t>La campagne actuelle porte sur la Maternelle et le Primaire.</w:t>
      </w:r>
    </w:p>
    <w:p>
      <w:pPr>
        <w:pStyle w:val="Heading2"/>
        <w:keepNext w:val="true"/>
        <w:rPr/>
      </w:pPr>
      <w:r>
        <w:rPr/>
        <w:t>31. Consulter les programmes avant la demande</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Les familles sont invitées à consulter les programmes avant de compléter le dossier.</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encourage une démarche informée plutôt qu’une inscription précipitée.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l’adéquation entre les attentes des familles et le projet de l’école.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directs avec Programmes, Vision &amp; mission et Valeurs.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Décision informée</w:t>
      </w:r>
    </w:p>
    <w:p>
      <w:pPr>
        <w:pStyle w:val="ListBullet"/>
        <w:numPr>
          <w:ilvl w:val="0"/>
          <w:numId w:val="1"/>
        </w:numPr>
        <w:spacing w:before="0" w:after="20"/>
        <w:ind w:hanging="360" w:start="283"/>
        <w:contextualSpacing/>
        <w:rPr/>
      </w:pPr>
      <w:r>
        <w:rPr>
          <w:sz w:val="17"/>
        </w:rPr>
        <w:t>Programmes</w:t>
      </w:r>
    </w:p>
    <w:p>
      <w:pPr>
        <w:pStyle w:val="ListBullet"/>
        <w:numPr>
          <w:ilvl w:val="0"/>
          <w:numId w:val="1"/>
        </w:numPr>
        <w:spacing w:before="0" w:after="20"/>
        <w:ind w:hanging="360" w:start="283"/>
        <w:contextualSpacing/>
        <w:rPr/>
      </w:pPr>
      <w:r>
        <w:rPr>
          <w:sz w:val="17"/>
        </w:rPr>
        <w:t>Niveaux</w:t>
      </w:r>
    </w:p>
    <w:p>
      <w:pPr>
        <w:pStyle w:val="ListBullet"/>
        <w:numPr>
          <w:ilvl w:val="0"/>
          <w:numId w:val="1"/>
        </w:numPr>
        <w:spacing w:before="0" w:after="20"/>
        <w:ind w:hanging="360" w:start="283"/>
        <w:contextualSpacing/>
        <w:rPr/>
      </w:pPr>
      <w:r>
        <w:rPr>
          <w:sz w:val="17"/>
        </w:rPr>
        <w:t>Attentes familiales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Consulter les programmes avant la demande » ?</w:t>
      </w:r>
    </w:p>
    <w:p>
      <w:pPr>
        <w:pStyle w:val="Normal"/>
        <w:spacing w:before="0" w:after="40"/>
        <w:ind w:start="255"/>
        <w:rPr/>
      </w:pPr>
      <w:r>
        <w:rPr>
          <w:b/>
          <w:color w:val="D4A017"/>
          <w:sz w:val="16"/>
        </w:rPr>
        <w:t xml:space="preserve">Réponse : </w:t>
      </w:r>
      <w:r>
        <w:rPr>
          <w:color w:val="1F2937"/>
          <w:sz w:val="16"/>
        </w:rPr>
        <w:t>Les familles sont invitées à consulter les programmes avant de compléter le dossier.</w:t>
      </w:r>
    </w:p>
    <w:p>
      <w:pPr>
        <w:pStyle w:val="Normal"/>
        <w:keepNext w:val="true"/>
        <w:keepLines/>
        <w:spacing w:before="40" w:after="0"/>
        <w:ind w:start="57"/>
        <w:rPr/>
      </w:pPr>
      <w:r>
        <w:rPr>
          <w:b/>
          <w:color w:val="0B3D91"/>
          <w:sz w:val="17"/>
        </w:rPr>
        <w:t>Q2. Quelle est l’idée centrale de « Consulter les programmes avant la demande » ?</w:t>
      </w:r>
    </w:p>
    <w:p>
      <w:pPr>
        <w:pStyle w:val="Normal"/>
        <w:spacing w:before="0" w:after="40"/>
        <w:ind w:start="255"/>
        <w:rPr/>
      </w:pPr>
      <w:r>
        <w:rPr>
          <w:b/>
          <w:color w:val="D4A017"/>
          <w:sz w:val="16"/>
        </w:rPr>
        <w:t xml:space="preserve">Réponse : </w:t>
      </w:r>
      <w:r>
        <w:rPr>
          <w:color w:val="1F2937"/>
          <w:sz w:val="16"/>
        </w:rPr>
        <w:t>La décision d’inscription doit être fondée sur une compréhension de l’offre pédagogique.</w:t>
      </w:r>
    </w:p>
    <w:p>
      <w:pPr>
        <w:pStyle w:val="Normal"/>
        <w:keepNext w:val="true"/>
        <w:keepLines/>
        <w:spacing w:before="40" w:after="0"/>
        <w:ind w:start="57"/>
        <w:rPr/>
      </w:pPr>
      <w:r>
        <w:rPr>
          <w:b/>
          <w:color w:val="0B3D91"/>
          <w:sz w:val="17"/>
        </w:rPr>
        <w:t>Q3. Quels éléments sont explicitement développés sous « Consulter les programmes avant la demande » ?</w:t>
      </w:r>
    </w:p>
    <w:p>
      <w:pPr>
        <w:pStyle w:val="Normal"/>
        <w:spacing w:before="0" w:after="40"/>
        <w:ind w:start="255"/>
        <w:rPr/>
      </w:pPr>
      <w:r>
        <w:rPr>
          <w:b/>
          <w:color w:val="D4A017"/>
          <w:sz w:val="16"/>
        </w:rPr>
        <w:t xml:space="preserve">Réponse : </w:t>
      </w:r>
      <w:r>
        <w:rPr>
          <w:color w:val="1F2937"/>
          <w:sz w:val="16"/>
        </w:rPr>
        <w:t>Programmes, niveaux et contenus éducatifs.</w:t>
      </w:r>
    </w:p>
    <w:p>
      <w:pPr>
        <w:pStyle w:val="Normal"/>
        <w:keepNext w:val="true"/>
        <w:keepLines/>
        <w:spacing w:before="40" w:after="0"/>
        <w:ind w:start="57"/>
        <w:rPr/>
      </w:pPr>
      <w:r>
        <w:rPr>
          <w:b/>
          <w:color w:val="0B3D91"/>
          <w:sz w:val="17"/>
        </w:rPr>
        <w:t>Q4. À quel public ou à quels acteurs « Consulter les programmes avant la demande » s’adresse-t-il ?</w:t>
      </w:r>
    </w:p>
    <w:p>
      <w:pPr>
        <w:pStyle w:val="Normal"/>
        <w:spacing w:before="0" w:after="40"/>
        <w:ind w:start="255"/>
        <w:rPr/>
      </w:pPr>
      <w:r>
        <w:rPr>
          <w:b/>
          <w:color w:val="D4A017"/>
          <w:sz w:val="16"/>
        </w:rPr>
        <w:t xml:space="preserve">Réponse : </w:t>
      </w:r>
      <w:r>
        <w:rPr>
          <w:color w:val="1F2937"/>
          <w:sz w:val="16"/>
        </w:rPr>
        <w:t>Parents et responsables légaux.</w:t>
      </w:r>
    </w:p>
    <w:p>
      <w:pPr>
        <w:pStyle w:val="Normal"/>
        <w:keepNext w:val="true"/>
        <w:keepLines/>
        <w:spacing w:before="40" w:after="0"/>
        <w:ind w:start="57"/>
        <w:rPr/>
      </w:pPr>
      <w:r>
        <w:rPr>
          <w:b/>
          <w:color w:val="0B3D91"/>
          <w:sz w:val="17"/>
        </w:rPr>
        <w:t>Q5. Quelle action ou conduite « Consulter les programmes avant la demande » invite-t-il à adopter ?</w:t>
      </w:r>
    </w:p>
    <w:p>
      <w:pPr>
        <w:pStyle w:val="Normal"/>
        <w:spacing w:before="0" w:after="40"/>
        <w:ind w:start="255"/>
        <w:rPr/>
      </w:pPr>
      <w:r>
        <w:rPr>
          <w:b/>
          <w:color w:val="D4A017"/>
          <w:sz w:val="16"/>
        </w:rPr>
        <w:t xml:space="preserve">Réponse : </w:t>
      </w:r>
      <w:r>
        <w:rPr>
          <w:color w:val="1F2937"/>
          <w:sz w:val="16"/>
        </w:rPr>
        <w:t>Lire les pages Maternelle, Primaire et Bilinguisme.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encourage une démarche informée plutôt qu’une inscription précipitée.</w:t>
      </w:r>
    </w:p>
    <w:p>
      <w:pPr>
        <w:pStyle w:val="Normal"/>
        <w:keepNext w:val="true"/>
        <w:keepLines/>
        <w:spacing w:before="40" w:after="0"/>
        <w:ind w:start="57"/>
        <w:rPr/>
      </w:pPr>
      <w:r>
        <w:rPr>
          <w:b/>
          <w:color w:val="0B3D91"/>
          <w:sz w:val="17"/>
        </w:rPr>
        <w:t>Q7. Quelle est l’importance de « Consulter les programmes avant la demande » dans le projet du GSE ?</w:t>
      </w:r>
    </w:p>
    <w:p>
      <w:pPr>
        <w:pStyle w:val="Normal"/>
        <w:spacing w:before="0" w:after="40"/>
        <w:ind w:start="255"/>
        <w:rPr/>
      </w:pPr>
      <w:r>
        <w:rPr>
          <w:b/>
          <w:color w:val="D4A017"/>
          <w:sz w:val="16"/>
        </w:rPr>
        <w:t xml:space="preserve">Réponse : </w:t>
      </w:r>
      <w:r>
        <w:rPr>
          <w:color w:val="1F2937"/>
          <w:sz w:val="16"/>
        </w:rPr>
        <w:t>Il améliore l’adéquation entre les attentes des familles et le projet de l’école.</w:t>
      </w:r>
    </w:p>
    <w:p>
      <w:pPr>
        <w:pStyle w:val="Normal"/>
        <w:keepNext w:val="true"/>
        <w:keepLines/>
        <w:spacing w:before="40" w:after="0"/>
        <w:ind w:start="57"/>
        <w:rPr/>
      </w:pPr>
      <w:r>
        <w:rPr>
          <w:b/>
          <w:color w:val="0B3D91"/>
          <w:sz w:val="17"/>
        </w:rPr>
        <w:t>Q8. Quels liens « Consulter les programmes avant la demande » entretient-il avec les autres pages ou services ?</w:t>
      </w:r>
    </w:p>
    <w:p>
      <w:pPr>
        <w:pStyle w:val="Normal"/>
        <w:spacing w:before="0" w:after="40"/>
        <w:ind w:start="255"/>
        <w:rPr/>
      </w:pPr>
      <w:r>
        <w:rPr>
          <w:b/>
          <w:color w:val="D4A017"/>
          <w:sz w:val="16"/>
        </w:rPr>
        <w:t xml:space="preserve">Réponse : </w:t>
      </w:r>
      <w:r>
        <w:rPr>
          <w:color w:val="1F2937"/>
          <w:sz w:val="16"/>
        </w:rPr>
        <w:t>Liens directs avec Programmes, Vision &amp; mission et Valeurs.</w:t>
      </w:r>
    </w:p>
    <w:p>
      <w:pPr>
        <w:pStyle w:val="Normal"/>
        <w:keepNext w:val="true"/>
        <w:keepLines/>
        <w:spacing w:before="40" w:after="0"/>
        <w:ind w:start="57"/>
        <w:rPr/>
      </w:pPr>
      <w:r>
        <w:rPr>
          <w:b/>
          <w:color w:val="0B3D91"/>
          <w:sz w:val="17"/>
        </w:rPr>
        <w:t>Q9. Quelle précision, limite ou réserve faut-il conserver à propos de « Consulter les programmes avant la demande » ?</w:t>
      </w:r>
    </w:p>
    <w:p>
      <w:pPr>
        <w:pStyle w:val="Normal"/>
        <w:spacing w:before="0" w:after="40"/>
        <w:ind w:start="255"/>
        <w:rPr/>
      </w:pPr>
      <w:r>
        <w:rPr>
          <w:b/>
          <w:color w:val="D4A017"/>
          <w:sz w:val="16"/>
        </w:rPr>
        <w:t xml:space="preserve">Réponse : </w:t>
      </w:r>
      <w:r>
        <w:rPr>
          <w:color w:val="1F2937"/>
          <w:sz w:val="16"/>
        </w:rPr>
        <w:t>La consultation des programmes ne remplace pas l’échange avec l’école pour les cas particuliers.</w:t>
      </w:r>
    </w:p>
    <w:p>
      <w:pPr>
        <w:pStyle w:val="Normal"/>
        <w:keepNext w:val="true"/>
        <w:keepLines/>
        <w:spacing w:before="40" w:after="0"/>
        <w:ind w:start="57"/>
        <w:rPr/>
      </w:pPr>
      <w:r>
        <w:rPr>
          <w:b/>
          <w:color w:val="0B3D91"/>
          <w:sz w:val="17"/>
        </w:rPr>
        <w:t>Q10. Quelle réponse essentielle faut-il retenir au sujet de « Consulter les programmes avant la demande » ?</w:t>
      </w:r>
    </w:p>
    <w:p>
      <w:pPr>
        <w:pStyle w:val="Normal"/>
        <w:spacing w:before="0" w:after="40"/>
        <w:ind w:start="255"/>
        <w:rPr/>
      </w:pPr>
      <w:r>
        <w:rPr>
          <w:b/>
          <w:color w:val="D4A017"/>
          <w:sz w:val="16"/>
        </w:rPr>
        <w:t xml:space="preserve">Réponse : </w:t>
      </w:r>
      <w:r>
        <w:rPr>
          <w:color w:val="1F2937"/>
          <w:sz w:val="16"/>
        </w:rPr>
        <w:t>Les familles doivent connaître l’offre éducative avant de s’engager.</w:t>
      </w:r>
    </w:p>
    <w:p>
      <w:pPr>
        <w:pStyle w:val="Heading2"/>
        <w:keepNext w:val="true"/>
        <w:rPr/>
      </w:pPr>
      <w:r>
        <w:rPr/>
        <w:t>32. Poser ses questions à ÉMINA</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L’article invite les familles à poser leurs questions à ÉMINA.</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met à disposition un canal d’assistance immédiat.</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facilite l’accès à l’information et réduit les hésitations avant la préinscription.</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Admissions, Programmes, Contact et assistance humaine.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Questions générales</w:t>
      </w:r>
    </w:p>
    <w:p>
      <w:pPr>
        <w:pStyle w:val="ListBullet"/>
        <w:numPr>
          <w:ilvl w:val="0"/>
          <w:numId w:val="1"/>
        </w:numPr>
        <w:spacing w:before="0" w:after="20"/>
        <w:ind w:hanging="360" w:start="283"/>
        <w:contextualSpacing/>
        <w:rPr/>
      </w:pPr>
      <w:r>
        <w:rPr>
          <w:sz w:val="17"/>
        </w:rPr>
        <w:t>Orientation</w:t>
      </w:r>
    </w:p>
    <w:p>
      <w:pPr>
        <w:pStyle w:val="ListBullet"/>
        <w:numPr>
          <w:ilvl w:val="0"/>
          <w:numId w:val="1"/>
        </w:numPr>
        <w:spacing w:before="0" w:after="20"/>
        <w:ind w:hanging="360" w:start="283"/>
        <w:contextualSpacing/>
        <w:rPr/>
      </w:pPr>
      <w:r>
        <w:rPr>
          <w:sz w:val="17"/>
        </w:rPr>
        <w:t>Assistance immédiate</w:t>
      </w:r>
    </w:p>
    <w:p>
      <w:pPr>
        <w:pStyle w:val="ListBullet"/>
        <w:numPr>
          <w:ilvl w:val="0"/>
          <w:numId w:val="1"/>
        </w:numPr>
        <w:spacing w:before="0" w:after="20"/>
        <w:ind w:hanging="360" w:start="283"/>
        <w:contextualSpacing/>
        <w:rPr/>
      </w:pPr>
      <w:r>
        <w:rPr>
          <w:sz w:val="17"/>
        </w:rPr>
        <w:t>Pas de décision autonome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Poser ses questions à ÉMINA » ?</w:t>
      </w:r>
    </w:p>
    <w:p>
      <w:pPr>
        <w:pStyle w:val="Normal"/>
        <w:spacing w:before="0" w:after="40"/>
        <w:ind w:start="255"/>
        <w:rPr/>
      </w:pPr>
      <w:r>
        <w:rPr>
          <w:b/>
          <w:color w:val="D4A017"/>
          <w:sz w:val="16"/>
        </w:rPr>
        <w:t xml:space="preserve">Réponse : </w:t>
      </w:r>
      <w:r>
        <w:rPr>
          <w:color w:val="1F2937"/>
          <w:sz w:val="16"/>
        </w:rPr>
        <w:t>L’article invite les familles à poser leurs questions à ÉMINA.</w:t>
      </w:r>
    </w:p>
    <w:p>
      <w:pPr>
        <w:pStyle w:val="Normal"/>
        <w:keepNext w:val="true"/>
        <w:keepLines/>
        <w:spacing w:before="40" w:after="0"/>
        <w:ind w:start="57"/>
        <w:rPr/>
      </w:pPr>
      <w:r>
        <w:rPr>
          <w:b/>
          <w:color w:val="0B3D91"/>
          <w:sz w:val="17"/>
        </w:rPr>
        <w:t>Q2. Quelle est l’idée centrale de « Poser ses questions à ÉMINA » ?</w:t>
      </w:r>
    </w:p>
    <w:p>
      <w:pPr>
        <w:pStyle w:val="Normal"/>
        <w:spacing w:before="0" w:after="40"/>
        <w:ind w:start="255"/>
        <w:rPr/>
      </w:pPr>
      <w:r>
        <w:rPr>
          <w:b/>
          <w:color w:val="D4A017"/>
          <w:sz w:val="16"/>
        </w:rPr>
        <w:t xml:space="preserve">Réponse : </w:t>
      </w:r>
      <w:r>
        <w:rPr>
          <w:color w:val="1F2937"/>
          <w:sz w:val="16"/>
        </w:rPr>
        <w:t>L’assistante institutionnelle fournit une première orientation accessible sur le site.</w:t>
      </w:r>
    </w:p>
    <w:p>
      <w:pPr>
        <w:pStyle w:val="Normal"/>
        <w:keepNext w:val="true"/>
        <w:keepLines/>
        <w:spacing w:before="40" w:after="0"/>
        <w:ind w:start="57"/>
        <w:rPr/>
      </w:pPr>
      <w:r>
        <w:rPr>
          <w:b/>
          <w:color w:val="0B3D91"/>
          <w:sz w:val="17"/>
        </w:rPr>
        <w:t>Q3. Quels éléments sont explicitement développés sous « Poser ses questions à ÉMINA » ?</w:t>
      </w:r>
    </w:p>
    <w:p>
      <w:pPr>
        <w:pStyle w:val="Normal"/>
        <w:spacing w:before="0" w:after="40"/>
        <w:ind w:start="255"/>
        <w:rPr/>
      </w:pPr>
      <w:r>
        <w:rPr>
          <w:b/>
          <w:color w:val="D4A017"/>
          <w:sz w:val="16"/>
        </w:rPr>
        <w:t xml:space="preserve">Réponse : </w:t>
      </w:r>
      <w:r>
        <w:rPr>
          <w:color w:val="1F2937"/>
          <w:sz w:val="16"/>
        </w:rPr>
        <w:t>Questions générales, information publique et orientation vers les pages pertinentes.</w:t>
      </w:r>
    </w:p>
    <w:p>
      <w:pPr>
        <w:pStyle w:val="Normal"/>
        <w:keepNext w:val="true"/>
        <w:keepLines/>
        <w:spacing w:before="40" w:after="0"/>
        <w:ind w:start="57"/>
        <w:rPr/>
      </w:pPr>
      <w:r>
        <w:rPr>
          <w:b/>
          <w:color w:val="0B3D91"/>
          <w:sz w:val="17"/>
        </w:rPr>
        <w:t>Q4. À quel public ou à quels acteurs « Poser ses questions à ÉMINA » s’adresse-t-il ?</w:t>
      </w:r>
    </w:p>
    <w:p>
      <w:pPr>
        <w:pStyle w:val="Normal"/>
        <w:spacing w:before="0" w:after="40"/>
        <w:ind w:start="255"/>
        <w:rPr/>
      </w:pPr>
      <w:r>
        <w:rPr>
          <w:b/>
          <w:color w:val="D4A017"/>
          <w:sz w:val="16"/>
        </w:rPr>
        <w:t xml:space="preserve">Réponse : </w:t>
      </w:r>
      <w:r>
        <w:rPr>
          <w:color w:val="1F2937"/>
          <w:sz w:val="16"/>
        </w:rPr>
        <w:t>Familles et visiteurs.</w:t>
      </w:r>
    </w:p>
    <w:p>
      <w:pPr>
        <w:pStyle w:val="Normal"/>
        <w:keepNext w:val="true"/>
        <w:keepLines/>
        <w:spacing w:before="40" w:after="0"/>
        <w:ind w:start="57"/>
        <w:rPr/>
      </w:pPr>
      <w:r>
        <w:rPr>
          <w:b/>
          <w:color w:val="0B3D91"/>
          <w:sz w:val="17"/>
        </w:rPr>
        <w:t>Q5. Quelle action ou conduite « Poser ses questions à ÉMINA » invite-t-il à adopter ?</w:t>
      </w:r>
    </w:p>
    <w:p>
      <w:pPr>
        <w:pStyle w:val="Normal"/>
        <w:spacing w:before="0" w:after="40"/>
        <w:ind w:start="255"/>
        <w:rPr/>
      </w:pPr>
      <w:r>
        <w:rPr>
          <w:b/>
          <w:color w:val="D4A017"/>
          <w:sz w:val="16"/>
        </w:rPr>
        <w:t xml:space="preserve">Réponse : </w:t>
      </w:r>
      <w:r>
        <w:rPr>
          <w:color w:val="1F2937"/>
          <w:sz w:val="16"/>
        </w:rPr>
        <w:t>Interroger ÉMINA puis contacter un agent pour les décisions ou données sensibles.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met à disposition un canal d’assistance immédiat.</w:t>
      </w:r>
    </w:p>
    <w:p>
      <w:pPr>
        <w:pStyle w:val="Normal"/>
        <w:keepNext w:val="true"/>
        <w:keepLines/>
        <w:spacing w:before="40" w:after="0"/>
        <w:ind w:start="57"/>
        <w:rPr/>
      </w:pPr>
      <w:r>
        <w:rPr>
          <w:b/>
          <w:color w:val="0B3D91"/>
          <w:sz w:val="17"/>
        </w:rPr>
        <w:t>Q7. Quelle est l’importance de « Poser ses questions à ÉMINA » dans le projet du GSE ?</w:t>
      </w:r>
    </w:p>
    <w:p>
      <w:pPr>
        <w:pStyle w:val="Normal"/>
        <w:spacing w:before="0" w:after="40"/>
        <w:ind w:start="255"/>
        <w:rPr/>
      </w:pPr>
      <w:r>
        <w:rPr>
          <w:b/>
          <w:color w:val="D4A017"/>
          <w:sz w:val="16"/>
        </w:rPr>
        <w:t xml:space="preserve">Réponse : </w:t>
      </w:r>
      <w:r>
        <w:rPr>
          <w:color w:val="1F2937"/>
          <w:sz w:val="16"/>
        </w:rPr>
        <w:t>Il facilite l’accès à l’information et réduit les hésitations avant la préinscription.</w:t>
      </w:r>
    </w:p>
    <w:p>
      <w:pPr>
        <w:pStyle w:val="Normal"/>
        <w:keepNext w:val="true"/>
        <w:keepLines/>
        <w:spacing w:before="40" w:after="0"/>
        <w:ind w:start="57"/>
        <w:rPr/>
      </w:pPr>
      <w:r>
        <w:rPr>
          <w:b/>
          <w:color w:val="0B3D91"/>
          <w:sz w:val="17"/>
        </w:rPr>
        <w:t>Q8. Quels liens « Poser ses questions à ÉMINA » entretient-il avec les autres pages ou services ?</w:t>
      </w:r>
    </w:p>
    <w:p>
      <w:pPr>
        <w:pStyle w:val="Normal"/>
        <w:spacing w:before="0" w:after="40"/>
        <w:ind w:start="255"/>
        <w:rPr/>
      </w:pPr>
      <w:r>
        <w:rPr>
          <w:b/>
          <w:color w:val="D4A017"/>
          <w:sz w:val="16"/>
        </w:rPr>
        <w:t xml:space="preserve">Réponse : </w:t>
      </w:r>
      <w:r>
        <w:rPr>
          <w:color w:val="1F2937"/>
          <w:sz w:val="16"/>
        </w:rPr>
        <w:t>Liens avec Admissions, Programmes, Contact et assistance humaine.</w:t>
      </w:r>
    </w:p>
    <w:p>
      <w:pPr>
        <w:pStyle w:val="Normal"/>
        <w:keepNext w:val="true"/>
        <w:keepLines/>
        <w:spacing w:before="40" w:after="0"/>
        <w:ind w:start="57"/>
        <w:rPr/>
      </w:pPr>
      <w:r>
        <w:rPr>
          <w:b/>
          <w:color w:val="0B3D91"/>
          <w:sz w:val="17"/>
        </w:rPr>
        <w:t>Q9. Quelle précision, limite ou réserve faut-il conserver à propos de « Poser ses questions à ÉMINA » ?</w:t>
      </w:r>
    </w:p>
    <w:p>
      <w:pPr>
        <w:pStyle w:val="Normal"/>
        <w:spacing w:before="0" w:after="40"/>
        <w:ind w:start="255"/>
        <w:rPr/>
      </w:pPr>
      <w:r>
        <w:rPr>
          <w:b/>
          <w:color w:val="D4A017"/>
          <w:sz w:val="16"/>
        </w:rPr>
        <w:t xml:space="preserve">Réponse : </w:t>
      </w:r>
      <w:r>
        <w:rPr>
          <w:color w:val="1F2937"/>
          <w:sz w:val="16"/>
        </w:rPr>
        <w:t>ÉMINA ne décide pas de l’admission et ne doit pas recevoir de données sensibles.</w:t>
      </w:r>
    </w:p>
    <w:p>
      <w:pPr>
        <w:pStyle w:val="Normal"/>
        <w:keepNext w:val="true"/>
        <w:keepLines/>
        <w:spacing w:before="40" w:after="0"/>
        <w:ind w:start="57"/>
        <w:rPr/>
      </w:pPr>
      <w:r>
        <w:rPr>
          <w:b/>
          <w:color w:val="0B3D91"/>
          <w:sz w:val="17"/>
        </w:rPr>
        <w:t>Q10. Quelle réponse essentielle faut-il retenir au sujet de « Poser ses questions à ÉMINA » ?</w:t>
      </w:r>
    </w:p>
    <w:p>
      <w:pPr>
        <w:pStyle w:val="Normal"/>
        <w:spacing w:before="0" w:after="40"/>
        <w:ind w:start="255"/>
        <w:rPr/>
      </w:pPr>
      <w:r>
        <w:rPr>
          <w:b/>
          <w:color w:val="D4A017"/>
          <w:sz w:val="16"/>
        </w:rPr>
        <w:t xml:space="preserve">Réponse : </w:t>
      </w:r>
      <w:r>
        <w:rPr>
          <w:color w:val="1F2937"/>
          <w:sz w:val="16"/>
        </w:rPr>
        <w:t>ÉMINA peut guider, mais la décision et la validation restent humaines.</w:t>
      </w:r>
    </w:p>
    <w:p>
      <w:pPr>
        <w:pStyle w:val="Heading2"/>
        <w:keepNext w:val="true"/>
        <w:rPr/>
      </w:pPr>
      <w:r>
        <w:rPr/>
        <w:t>33. Planifier une visite du campus</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Les familles sont invitées à planifier une visite du campus avant de compléter le dossier.</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transforme l’information numérique en rencontre concrète.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renforce la confiance, la transparence et l’adéquation des attentes.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Contact, Infrastructures, Admissions et Santé &amp; sécurité.</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Visite du campus</w:t>
      </w:r>
    </w:p>
    <w:p>
      <w:pPr>
        <w:pStyle w:val="ListBullet"/>
        <w:numPr>
          <w:ilvl w:val="0"/>
          <w:numId w:val="1"/>
        </w:numPr>
        <w:spacing w:before="0" w:after="20"/>
        <w:ind w:hanging="360" w:start="283"/>
        <w:contextualSpacing/>
        <w:rPr/>
      </w:pPr>
      <w:r>
        <w:rPr>
          <w:sz w:val="17"/>
        </w:rPr>
        <w:t>Découverte</w:t>
      </w:r>
    </w:p>
    <w:p>
      <w:pPr>
        <w:pStyle w:val="ListBullet"/>
        <w:numPr>
          <w:ilvl w:val="0"/>
          <w:numId w:val="1"/>
        </w:numPr>
        <w:spacing w:before="0" w:after="20"/>
        <w:ind w:hanging="360" w:start="283"/>
        <w:contextualSpacing/>
        <w:rPr/>
      </w:pPr>
      <w:r>
        <w:rPr>
          <w:sz w:val="17"/>
        </w:rPr>
        <w:t>Échange humain</w:t>
      </w:r>
    </w:p>
    <w:p>
      <w:pPr>
        <w:pStyle w:val="ListBullet"/>
        <w:numPr>
          <w:ilvl w:val="0"/>
          <w:numId w:val="1"/>
        </w:numPr>
        <w:spacing w:before="0" w:after="20"/>
        <w:ind w:hanging="360" w:start="283"/>
        <w:contextualSpacing/>
        <w:rPr/>
      </w:pPr>
      <w:r>
        <w:rPr>
          <w:sz w:val="17"/>
        </w:rPr>
        <w:t>Planification préalable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Planifier une visite du campus » ?</w:t>
      </w:r>
    </w:p>
    <w:p>
      <w:pPr>
        <w:pStyle w:val="Normal"/>
        <w:spacing w:before="0" w:after="40"/>
        <w:ind w:start="255"/>
        <w:rPr/>
      </w:pPr>
      <w:r>
        <w:rPr>
          <w:b/>
          <w:color w:val="D4A017"/>
          <w:sz w:val="16"/>
        </w:rPr>
        <w:t xml:space="preserve">Réponse : </w:t>
      </w:r>
      <w:r>
        <w:rPr>
          <w:color w:val="1F2937"/>
          <w:sz w:val="16"/>
        </w:rPr>
        <w:t>Les familles sont invitées à planifier une visite du campus avant de compléter le dossier.</w:t>
      </w:r>
    </w:p>
    <w:p>
      <w:pPr>
        <w:pStyle w:val="Normal"/>
        <w:keepNext w:val="true"/>
        <w:keepLines/>
        <w:spacing w:before="40" w:after="0"/>
        <w:ind w:start="57"/>
        <w:rPr/>
      </w:pPr>
      <w:r>
        <w:rPr>
          <w:b/>
          <w:color w:val="0B3D91"/>
          <w:sz w:val="17"/>
        </w:rPr>
        <w:t>Q2. Quelle est l’idée centrale de « Planifier une visite du campus » ?</w:t>
      </w:r>
    </w:p>
    <w:p>
      <w:pPr>
        <w:pStyle w:val="Normal"/>
        <w:spacing w:before="0" w:after="40"/>
        <w:ind w:start="255"/>
        <w:rPr/>
      </w:pPr>
      <w:r>
        <w:rPr>
          <w:b/>
          <w:color w:val="D4A017"/>
          <w:sz w:val="16"/>
        </w:rPr>
        <w:t xml:space="preserve">Réponse : </w:t>
      </w:r>
      <w:r>
        <w:rPr>
          <w:color w:val="1F2937"/>
          <w:sz w:val="16"/>
        </w:rPr>
        <w:t>La visite permet de découvrir l’environnement et d’échanger directement avec l’école.</w:t>
      </w:r>
    </w:p>
    <w:p>
      <w:pPr>
        <w:pStyle w:val="Normal"/>
        <w:keepNext w:val="true"/>
        <w:keepLines/>
        <w:spacing w:before="40" w:after="0"/>
        <w:ind w:start="57"/>
        <w:rPr/>
      </w:pPr>
      <w:r>
        <w:rPr>
          <w:b/>
          <w:color w:val="0B3D91"/>
          <w:sz w:val="17"/>
        </w:rPr>
        <w:t>Q3. Quels éléments sont explicitement développés sous « Planifier une visite du campus » ?</w:t>
      </w:r>
    </w:p>
    <w:p>
      <w:pPr>
        <w:pStyle w:val="Normal"/>
        <w:spacing w:before="0" w:after="40"/>
        <w:ind w:start="255"/>
        <w:rPr/>
      </w:pPr>
      <w:r>
        <w:rPr>
          <w:b/>
          <w:color w:val="D4A017"/>
          <w:sz w:val="16"/>
        </w:rPr>
        <w:t xml:space="preserve">Réponse : </w:t>
      </w:r>
      <w:r>
        <w:rPr>
          <w:color w:val="1F2937"/>
          <w:sz w:val="16"/>
        </w:rPr>
        <w:t>Découverte du campus, contact humain et préparation de la décision.</w:t>
      </w:r>
    </w:p>
    <w:p>
      <w:pPr>
        <w:pStyle w:val="Normal"/>
        <w:keepNext w:val="true"/>
        <w:keepLines/>
        <w:spacing w:before="40" w:after="0"/>
        <w:ind w:start="57"/>
        <w:rPr/>
      </w:pPr>
      <w:r>
        <w:rPr>
          <w:b/>
          <w:color w:val="0B3D91"/>
          <w:sz w:val="17"/>
        </w:rPr>
        <w:t>Q4. À quel public ou à quels acteurs « Planifier une visite du campus » s’adresse-t-il ?</w:t>
      </w:r>
    </w:p>
    <w:p>
      <w:pPr>
        <w:pStyle w:val="Normal"/>
        <w:spacing w:before="0" w:after="40"/>
        <w:ind w:start="255"/>
        <w:rPr/>
      </w:pPr>
      <w:r>
        <w:rPr>
          <w:b/>
          <w:color w:val="D4A017"/>
          <w:sz w:val="16"/>
        </w:rPr>
        <w:t xml:space="preserve">Réponse : </w:t>
      </w:r>
      <w:r>
        <w:rPr>
          <w:color w:val="1F2937"/>
          <w:sz w:val="16"/>
        </w:rPr>
        <w:t>Parents, responsables légaux et enfants selon les modalités de l’école.</w:t>
      </w:r>
    </w:p>
    <w:p>
      <w:pPr>
        <w:pStyle w:val="Normal"/>
        <w:keepNext w:val="true"/>
        <w:keepLines/>
        <w:spacing w:before="40" w:after="0"/>
        <w:ind w:start="57"/>
        <w:rPr/>
      </w:pPr>
      <w:r>
        <w:rPr>
          <w:b/>
          <w:color w:val="0B3D91"/>
          <w:sz w:val="17"/>
        </w:rPr>
        <w:t>Q5. Quelle action ou conduite « Planifier une visite du campus » invite-t-il à adopter ?</w:t>
      </w:r>
    </w:p>
    <w:p>
      <w:pPr>
        <w:pStyle w:val="Normal"/>
        <w:spacing w:before="0" w:after="40"/>
        <w:ind w:start="255"/>
        <w:rPr/>
      </w:pPr>
      <w:r>
        <w:rPr>
          <w:b/>
          <w:color w:val="D4A017"/>
          <w:sz w:val="16"/>
        </w:rPr>
        <w:t xml:space="preserve">Réponse : </w:t>
      </w:r>
      <w:r>
        <w:rPr>
          <w:color w:val="1F2937"/>
          <w:sz w:val="16"/>
        </w:rPr>
        <w:t>Contacter l’établissement pour convenir d’une visite.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transforme l’information numérique en rencontre concrète.</w:t>
      </w:r>
    </w:p>
    <w:p>
      <w:pPr>
        <w:pStyle w:val="Normal"/>
        <w:keepNext w:val="true"/>
        <w:keepLines/>
        <w:spacing w:before="40" w:after="0"/>
        <w:ind w:start="57"/>
        <w:rPr/>
      </w:pPr>
      <w:r>
        <w:rPr>
          <w:b/>
          <w:color w:val="0B3D91"/>
          <w:sz w:val="17"/>
        </w:rPr>
        <w:t>Q7. Quelle est l’importance de « Planifier une visite du campus » dans le projet du GSE ?</w:t>
      </w:r>
    </w:p>
    <w:p>
      <w:pPr>
        <w:pStyle w:val="Normal"/>
        <w:spacing w:before="0" w:after="40"/>
        <w:ind w:start="255"/>
        <w:rPr/>
      </w:pPr>
      <w:r>
        <w:rPr>
          <w:b/>
          <w:color w:val="D4A017"/>
          <w:sz w:val="16"/>
        </w:rPr>
        <w:t xml:space="preserve">Réponse : </w:t>
      </w:r>
      <w:r>
        <w:rPr>
          <w:color w:val="1F2937"/>
          <w:sz w:val="16"/>
        </w:rPr>
        <w:t>Il renforce la confiance, la transparence et l’adéquation des attentes.</w:t>
      </w:r>
    </w:p>
    <w:p>
      <w:pPr>
        <w:pStyle w:val="Normal"/>
        <w:keepNext w:val="true"/>
        <w:keepLines/>
        <w:spacing w:before="40" w:after="0"/>
        <w:ind w:start="57"/>
        <w:rPr/>
      </w:pPr>
      <w:r>
        <w:rPr>
          <w:b/>
          <w:color w:val="0B3D91"/>
          <w:sz w:val="17"/>
        </w:rPr>
        <w:t>Q8. Quels liens « Planifier une visite du campus » entretient-il avec les autres pages ou services ?</w:t>
      </w:r>
    </w:p>
    <w:p>
      <w:pPr>
        <w:pStyle w:val="Normal"/>
        <w:spacing w:before="0" w:after="40"/>
        <w:ind w:start="255"/>
        <w:rPr/>
      </w:pPr>
      <w:r>
        <w:rPr>
          <w:b/>
          <w:color w:val="D4A017"/>
          <w:sz w:val="16"/>
        </w:rPr>
        <w:t xml:space="preserve">Réponse : </w:t>
      </w:r>
      <w:r>
        <w:rPr>
          <w:color w:val="1F2937"/>
          <w:sz w:val="16"/>
        </w:rPr>
        <w:t>Liens avec Contact, Infrastructures, Admissions et Santé &amp; sécurité.</w:t>
      </w:r>
    </w:p>
    <w:p>
      <w:pPr>
        <w:pStyle w:val="Normal"/>
        <w:keepNext w:val="true"/>
        <w:keepLines/>
        <w:spacing w:before="40" w:after="0"/>
        <w:ind w:start="57"/>
        <w:rPr/>
      </w:pPr>
      <w:r>
        <w:rPr>
          <w:b/>
          <w:color w:val="0B3D91"/>
          <w:sz w:val="17"/>
        </w:rPr>
        <w:t>Q9. Quelle précision, limite ou réserve faut-il conserver à propos de « Planifier une visite du campus » ?</w:t>
      </w:r>
    </w:p>
    <w:p>
      <w:pPr>
        <w:pStyle w:val="Normal"/>
        <w:spacing w:before="0" w:after="40"/>
        <w:ind w:start="255"/>
        <w:rPr/>
      </w:pPr>
      <w:r>
        <w:rPr>
          <w:b/>
          <w:color w:val="D4A017"/>
          <w:sz w:val="16"/>
        </w:rPr>
        <w:t xml:space="preserve">Réponse : </w:t>
      </w:r>
      <w:r>
        <w:rPr>
          <w:color w:val="1F2937"/>
          <w:sz w:val="16"/>
        </w:rPr>
        <w:t>La visite doit être organisée selon les disponibilités et règles d’accès du campus.</w:t>
      </w:r>
    </w:p>
    <w:p>
      <w:pPr>
        <w:pStyle w:val="Normal"/>
        <w:keepNext w:val="true"/>
        <w:keepLines/>
        <w:spacing w:before="40" w:after="0"/>
        <w:ind w:start="57"/>
        <w:rPr/>
      </w:pPr>
      <w:r>
        <w:rPr>
          <w:b/>
          <w:color w:val="0B3D91"/>
          <w:sz w:val="17"/>
        </w:rPr>
        <w:t>Q10. Quelle réponse essentielle faut-il retenir au sujet de « Planifier une visite du campus » ?</w:t>
      </w:r>
    </w:p>
    <w:p>
      <w:pPr>
        <w:pStyle w:val="Normal"/>
        <w:spacing w:before="0" w:after="40"/>
        <w:ind w:start="255"/>
        <w:rPr/>
      </w:pPr>
      <w:r>
        <w:rPr>
          <w:b/>
          <w:color w:val="D4A017"/>
          <w:sz w:val="16"/>
        </w:rPr>
        <w:t xml:space="preserve">Réponse : </w:t>
      </w:r>
      <w:r>
        <w:rPr>
          <w:color w:val="1F2937"/>
          <w:sz w:val="16"/>
        </w:rPr>
        <w:t>Une visite planifiée aide les familles à mieux connaître l’école avant l’inscription.</w:t>
      </w:r>
    </w:p>
    <w:p>
      <w:pPr>
        <w:pStyle w:val="Heading2"/>
        <w:keepNext w:val="true"/>
        <w:rPr/>
      </w:pPr>
      <w:r>
        <w:rPr/>
        <w:t>34. Compléter le dossier et commencer une préinscription</w:t>
      </w:r>
    </w:p>
    <w:p>
      <w:pPr>
        <w:pStyle w:val="Normal"/>
        <w:spacing w:before="20" w:after="80"/>
        <w:rPr/>
      </w:pPr>
      <w:r>
        <w:rPr>
          <w:b/>
          <w:color w:val="0B3D91"/>
          <w:sz w:val="16"/>
        </w:rPr>
        <w:t xml:space="preserve">Source contrôlée : </w:t>
      </w:r>
      <w:r>
        <w:rPr>
          <w:color w:val="555555"/>
          <w:sz w:val="16"/>
        </w:rPr>
        <w:t>Article 3 — https://test.gsleseminents.com/inscriptions-2026-2027-ouvertes/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Après s’être informées, les familles peuvent compléter le dossier ; l’article propose un lien pour commencer la préinscription.</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rassemble l’appel à l’action et la prochaine étape du parcours.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convertit l’intérêt en demande traçable et organisée.</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Préinscription, Inscription définitive et Pièces à fournir.</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Appel à l’action</w:t>
      </w:r>
    </w:p>
    <w:p>
      <w:pPr>
        <w:pStyle w:val="ListBullet"/>
        <w:numPr>
          <w:ilvl w:val="0"/>
          <w:numId w:val="1"/>
        </w:numPr>
        <w:spacing w:before="0" w:after="20"/>
        <w:ind w:hanging="360" w:start="283"/>
        <w:contextualSpacing/>
        <w:rPr/>
      </w:pPr>
      <w:r>
        <w:rPr>
          <w:sz w:val="17"/>
        </w:rPr>
        <w:t>Préinscription</w:t>
      </w:r>
    </w:p>
    <w:p>
      <w:pPr>
        <w:pStyle w:val="ListBullet"/>
        <w:numPr>
          <w:ilvl w:val="0"/>
          <w:numId w:val="1"/>
        </w:numPr>
        <w:spacing w:before="0" w:after="20"/>
        <w:ind w:hanging="360" w:start="283"/>
        <w:contextualSpacing/>
        <w:rPr/>
      </w:pPr>
      <w:r>
        <w:rPr>
          <w:sz w:val="17"/>
        </w:rPr>
        <w:t>Compléter le dossier</w:t>
      </w:r>
    </w:p>
    <w:p>
      <w:pPr>
        <w:pStyle w:val="ListBullet"/>
        <w:numPr>
          <w:ilvl w:val="0"/>
          <w:numId w:val="1"/>
        </w:numPr>
        <w:spacing w:before="0" w:after="20"/>
        <w:ind w:hanging="360" w:start="283"/>
        <w:contextualSpacing/>
        <w:rPr/>
      </w:pPr>
      <w:r>
        <w:rPr>
          <w:sz w:val="17"/>
        </w:rPr>
        <w:t>Validation ultérieure</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Compléter le dossier et commencer une préinscription » ?</w:t>
      </w:r>
    </w:p>
    <w:p>
      <w:pPr>
        <w:pStyle w:val="Normal"/>
        <w:spacing w:before="0" w:after="40"/>
        <w:ind w:start="255"/>
        <w:rPr/>
      </w:pPr>
      <w:r>
        <w:rPr>
          <w:b/>
          <w:color w:val="D4A017"/>
          <w:sz w:val="16"/>
        </w:rPr>
        <w:t xml:space="preserve">Réponse : </w:t>
      </w:r>
      <w:r>
        <w:rPr>
          <w:color w:val="1F2937"/>
          <w:sz w:val="16"/>
        </w:rPr>
        <w:t>Après s’être informées, les familles peuvent compléter le dossier ; l’article propose un lien pour commencer la préinscription.</w:t>
      </w:r>
    </w:p>
    <w:p>
      <w:pPr>
        <w:pStyle w:val="Normal"/>
        <w:keepNext w:val="true"/>
        <w:keepLines/>
        <w:spacing w:before="40" w:after="0"/>
        <w:ind w:start="57"/>
        <w:rPr/>
      </w:pPr>
      <w:r>
        <w:rPr>
          <w:b/>
          <w:color w:val="0B3D91"/>
          <w:sz w:val="17"/>
        </w:rPr>
        <w:t>Q2. Quelle est l’idée centrale de « Compléter le dossier et commencer une préinscription » ?</w:t>
      </w:r>
    </w:p>
    <w:p>
      <w:pPr>
        <w:pStyle w:val="Normal"/>
        <w:spacing w:before="0" w:after="40"/>
        <w:ind w:start="255"/>
        <w:rPr/>
      </w:pPr>
      <w:r>
        <w:rPr>
          <w:b/>
          <w:color w:val="D4A017"/>
          <w:sz w:val="16"/>
        </w:rPr>
        <w:t xml:space="preserve">Réponse : </w:t>
      </w:r>
      <w:r>
        <w:rPr>
          <w:color w:val="1F2937"/>
          <w:sz w:val="16"/>
        </w:rPr>
        <w:t>Le contenu conduit de l’information vers une action administrative concrète.</w:t>
      </w:r>
    </w:p>
    <w:p>
      <w:pPr>
        <w:pStyle w:val="Normal"/>
        <w:keepNext w:val="true"/>
        <w:keepLines/>
        <w:spacing w:before="40" w:after="0"/>
        <w:ind w:start="57"/>
        <w:rPr/>
      </w:pPr>
      <w:r>
        <w:rPr>
          <w:b/>
          <w:color w:val="0B3D91"/>
          <w:sz w:val="17"/>
        </w:rPr>
        <w:t>Q3. Quels éléments sont explicitement développés sous « Compléter le dossier et commencer une préinscription » ?</w:t>
      </w:r>
    </w:p>
    <w:p>
      <w:pPr>
        <w:pStyle w:val="Normal"/>
        <w:spacing w:before="0" w:after="40"/>
        <w:ind w:start="255"/>
        <w:rPr/>
      </w:pPr>
      <w:r>
        <w:rPr>
          <w:b/>
          <w:color w:val="D4A017"/>
          <w:sz w:val="16"/>
        </w:rPr>
        <w:t xml:space="preserve">Réponse : </w:t>
      </w:r>
      <w:r>
        <w:rPr>
          <w:color w:val="1F2937"/>
          <w:sz w:val="16"/>
        </w:rPr>
        <w:t>Préinscription, dossier, pièces et progression vers l’inscription définitive.</w:t>
      </w:r>
    </w:p>
    <w:p>
      <w:pPr>
        <w:pStyle w:val="Normal"/>
        <w:keepNext w:val="true"/>
        <w:keepLines/>
        <w:spacing w:before="40" w:after="0"/>
        <w:ind w:start="57"/>
        <w:rPr/>
      </w:pPr>
      <w:r>
        <w:rPr>
          <w:b/>
          <w:color w:val="0B3D91"/>
          <w:sz w:val="17"/>
        </w:rPr>
        <w:t>Q4. À quel public ou à quels acteurs « Compléter le dossier et commencer une préinscription » s’adresse-t-il ?</w:t>
      </w:r>
    </w:p>
    <w:p>
      <w:pPr>
        <w:pStyle w:val="Normal"/>
        <w:spacing w:before="0" w:after="40"/>
        <w:ind w:start="255"/>
        <w:rPr/>
      </w:pPr>
      <w:r>
        <w:rPr>
          <w:b/>
          <w:color w:val="D4A017"/>
          <w:sz w:val="16"/>
        </w:rPr>
        <w:t xml:space="preserve">Réponse : </w:t>
      </w:r>
      <w:r>
        <w:rPr>
          <w:color w:val="1F2937"/>
          <w:sz w:val="16"/>
        </w:rPr>
        <w:t>Familles prêtes à engager la demande.</w:t>
      </w:r>
    </w:p>
    <w:p>
      <w:pPr>
        <w:pStyle w:val="Normal"/>
        <w:keepNext w:val="true"/>
        <w:keepLines/>
        <w:spacing w:before="40" w:after="0"/>
        <w:ind w:start="57"/>
        <w:rPr/>
      </w:pPr>
      <w:r>
        <w:rPr>
          <w:b/>
          <w:color w:val="0B3D91"/>
          <w:sz w:val="17"/>
        </w:rPr>
        <w:t>Q5. Quelle action ou conduite « Compléter le dossier et commencer une préinscription » invite-t-il à adopter ?</w:t>
      </w:r>
    </w:p>
    <w:p>
      <w:pPr>
        <w:pStyle w:val="Normal"/>
        <w:spacing w:before="0" w:after="40"/>
        <w:ind w:start="255"/>
        <w:rPr/>
      </w:pPr>
      <w:r>
        <w:rPr>
          <w:b/>
          <w:color w:val="D4A017"/>
          <w:sz w:val="16"/>
        </w:rPr>
        <w:t xml:space="preserve">Réponse : </w:t>
      </w:r>
      <w:r>
        <w:rPr>
          <w:color w:val="1F2937"/>
          <w:sz w:val="16"/>
        </w:rPr>
        <w:t>Cliquer sur « Commencer une préinscription » puis fournir les informations demandées.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rassemble l’appel à l’action et la prochaine étape du parcours.</w:t>
      </w:r>
    </w:p>
    <w:p>
      <w:pPr>
        <w:pStyle w:val="Normal"/>
        <w:keepNext w:val="true"/>
        <w:keepLines/>
        <w:spacing w:before="40" w:after="0"/>
        <w:ind w:start="57"/>
        <w:rPr/>
      </w:pPr>
      <w:r>
        <w:rPr>
          <w:b/>
          <w:color w:val="0B3D91"/>
          <w:sz w:val="17"/>
        </w:rPr>
        <w:t>Q7. Quelle est l’importance de « Compléter le dossier et commencer une préinscription » dans le projet du GSE ?</w:t>
      </w:r>
    </w:p>
    <w:p>
      <w:pPr>
        <w:pStyle w:val="Normal"/>
        <w:spacing w:before="0" w:after="40"/>
        <w:ind w:start="255"/>
        <w:rPr/>
      </w:pPr>
      <w:r>
        <w:rPr>
          <w:b/>
          <w:color w:val="D4A017"/>
          <w:sz w:val="16"/>
        </w:rPr>
        <w:t xml:space="preserve">Réponse : </w:t>
      </w:r>
      <w:r>
        <w:rPr>
          <w:color w:val="1F2937"/>
          <w:sz w:val="16"/>
        </w:rPr>
        <w:t>Il convertit l’intérêt en demande traçable et organisée.</w:t>
      </w:r>
    </w:p>
    <w:p>
      <w:pPr>
        <w:pStyle w:val="Normal"/>
        <w:keepNext w:val="true"/>
        <w:keepLines/>
        <w:spacing w:before="40" w:after="0"/>
        <w:ind w:start="57"/>
        <w:rPr/>
      </w:pPr>
      <w:r>
        <w:rPr>
          <w:b/>
          <w:color w:val="0B3D91"/>
          <w:sz w:val="17"/>
        </w:rPr>
        <w:t>Q8. Quels liens « Compléter le dossier et commencer une préinscription » entretient-il avec les autres pages ou services ?</w:t>
      </w:r>
    </w:p>
    <w:p>
      <w:pPr>
        <w:pStyle w:val="Normal"/>
        <w:spacing w:before="0" w:after="40"/>
        <w:ind w:start="255"/>
        <w:rPr/>
      </w:pPr>
      <w:r>
        <w:rPr>
          <w:b/>
          <w:color w:val="D4A017"/>
          <w:sz w:val="16"/>
        </w:rPr>
        <w:t xml:space="preserve">Réponse : </w:t>
      </w:r>
      <w:r>
        <w:rPr>
          <w:color w:val="1F2937"/>
          <w:sz w:val="16"/>
        </w:rPr>
        <w:t>Liens avec Préinscription, Inscription définitive et Pièces à fournir.</w:t>
      </w:r>
    </w:p>
    <w:p>
      <w:pPr>
        <w:pStyle w:val="Normal"/>
        <w:keepNext w:val="true"/>
        <w:keepLines/>
        <w:spacing w:before="40" w:after="0"/>
        <w:ind w:start="57"/>
        <w:rPr/>
      </w:pPr>
      <w:r>
        <w:rPr>
          <w:b/>
          <w:color w:val="0B3D91"/>
          <w:sz w:val="17"/>
        </w:rPr>
        <w:t>Q9. Quelle précision, limite ou réserve faut-il conserver à propos de « Compléter le dossier et commencer une préinscription » ?</w:t>
      </w:r>
    </w:p>
    <w:p>
      <w:pPr>
        <w:pStyle w:val="Normal"/>
        <w:spacing w:before="0" w:after="40"/>
        <w:ind w:start="255"/>
        <w:rPr/>
      </w:pPr>
      <w:r>
        <w:rPr>
          <w:b/>
          <w:color w:val="D4A017"/>
          <w:sz w:val="16"/>
        </w:rPr>
        <w:t xml:space="preserve">Réponse : </w:t>
      </w:r>
      <w:r>
        <w:rPr>
          <w:color w:val="1F2937"/>
          <w:sz w:val="16"/>
        </w:rPr>
        <w:t>La préinscription est une manifestation d’intérêt ; elle doit être suivie des validations nécessaires.</w:t>
      </w:r>
    </w:p>
    <w:p>
      <w:pPr>
        <w:pStyle w:val="Normal"/>
        <w:keepNext w:val="true"/>
        <w:keepLines/>
        <w:spacing w:before="40" w:after="0"/>
        <w:ind w:start="57"/>
        <w:rPr/>
      </w:pPr>
      <w:r>
        <w:rPr>
          <w:b/>
          <w:color w:val="0B3D91"/>
          <w:sz w:val="17"/>
        </w:rPr>
        <w:t>Q10. Quelle réponse essentielle faut-il retenir au sujet de « Compléter le dossier et commencer une préinscription » ?</w:t>
      </w:r>
    </w:p>
    <w:p>
      <w:pPr>
        <w:pStyle w:val="Normal"/>
        <w:spacing w:before="0" w:after="40"/>
        <w:ind w:start="255"/>
        <w:rPr/>
      </w:pPr>
      <w:r>
        <w:rPr>
          <w:b/>
          <w:color w:val="D4A017"/>
          <w:sz w:val="16"/>
        </w:rPr>
        <w:t xml:space="preserve">Réponse : </w:t>
      </w:r>
      <w:r>
        <w:rPr>
          <w:color w:val="1F2937"/>
          <w:sz w:val="16"/>
        </w:rPr>
        <w:t>L’action proposée est de commencer la préinscription et de compléter progressivement le dossier.</w:t>
      </w:r>
    </w:p>
    <w:p>
      <w:pPr>
        <w:pStyle w:val="Normal"/>
        <w:rPr/>
      </w:pPr>
      <w:r>
        <w:rPr/>
      </w:r>
      <w:r>
        <w:br w:type="page"/>
      </w:r>
    </w:p>
    <w:p>
      <w:pPr>
        <w:pStyle w:val="Heading1"/>
        <w:keepNext w:val="true"/>
        <w:spacing w:before="0" w:after="0"/>
        <w:jc w:val="center"/>
        <w:rPr/>
      </w:pPr>
      <w:r>
        <w:rPr/>
        <w:t>PARTIE V — ÉLÉMENTS INSTITUTIONNELS, ACCÈS ET GARANTIES</w:t>
      </w:r>
    </w:p>
    <w:p>
      <w:pPr>
        <w:pStyle w:val="Heading2"/>
        <w:keepNext w:val="true"/>
        <w:rPr/>
      </w:pPr>
      <w:r>
        <w:rPr/>
        <w:t>35. Identité institutionnelle et valeurs en pied de page</w:t>
      </w:r>
    </w:p>
    <w:p>
      <w:pPr>
        <w:pStyle w:val="Normal"/>
        <w:spacing w:before="20" w:after="80"/>
        <w:rPr/>
      </w:pPr>
      <w:r>
        <w:rPr>
          <w:b/>
          <w:color w:val="0B3D91"/>
          <w:sz w:val="16"/>
        </w:rPr>
        <w:t xml:space="preserve">Source contrôlée : </w:t>
      </w:r>
      <w:r>
        <w:rPr>
          <w:color w:val="555555"/>
          <w:sz w:val="16"/>
        </w:rPr>
        <w:t>Pied de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pied de page présente le GROUPE SCOLAIRE LES ÉMINENTS comme une famille scolaire, une équipe engagée et une communauté chrétienne bilingue, puis rappelle Foi, Excellence, Intégrité et Leadership.</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et la signature donnent une cohérence institutionnelle aux publications.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Ils empêchent les actualités d’être perçues comme des informations isolées du projet éducatif.</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À propos, Valeurs, Vision &amp; mission et page d’accueil.</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Famille scolaire</w:t>
      </w:r>
    </w:p>
    <w:p>
      <w:pPr>
        <w:pStyle w:val="ListBullet"/>
        <w:numPr>
          <w:ilvl w:val="0"/>
          <w:numId w:val="1"/>
        </w:numPr>
        <w:spacing w:before="0" w:after="20"/>
        <w:ind w:hanging="360" w:start="283"/>
        <w:contextualSpacing/>
        <w:rPr/>
      </w:pPr>
      <w:r>
        <w:rPr>
          <w:sz w:val="17"/>
        </w:rPr>
        <w:t>Équipe engagée</w:t>
      </w:r>
    </w:p>
    <w:p>
      <w:pPr>
        <w:pStyle w:val="ListBullet"/>
        <w:numPr>
          <w:ilvl w:val="0"/>
          <w:numId w:val="1"/>
        </w:numPr>
        <w:spacing w:before="0" w:after="20"/>
        <w:ind w:hanging="360" w:start="283"/>
        <w:contextualSpacing/>
        <w:rPr/>
      </w:pPr>
      <w:r>
        <w:rPr>
          <w:sz w:val="17"/>
        </w:rPr>
        <w:t>Communauté chrétienne bilingue</w:t>
      </w:r>
    </w:p>
    <w:p>
      <w:pPr>
        <w:pStyle w:val="ListBullet"/>
        <w:numPr>
          <w:ilvl w:val="0"/>
          <w:numId w:val="1"/>
        </w:numPr>
        <w:spacing w:before="0" w:after="20"/>
        <w:ind w:hanging="360" w:start="283"/>
        <w:contextualSpacing/>
        <w:rPr/>
      </w:pPr>
      <w:r>
        <w:rPr>
          <w:sz w:val="17"/>
        </w:rPr>
        <w:t>Quatre valeurs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Identité institutionnelle et valeurs en pied de page » ?</w:t>
      </w:r>
    </w:p>
    <w:p>
      <w:pPr>
        <w:pStyle w:val="Normal"/>
        <w:spacing w:before="0" w:after="40"/>
        <w:ind w:start="255"/>
        <w:rPr/>
      </w:pPr>
      <w:r>
        <w:rPr>
          <w:b/>
          <w:color w:val="D4A017"/>
          <w:sz w:val="16"/>
        </w:rPr>
        <w:t xml:space="preserve">Réponse : </w:t>
      </w:r>
      <w:r>
        <w:rPr>
          <w:color w:val="1F2937"/>
          <w:sz w:val="16"/>
        </w:rPr>
        <w:t>Le pied de page présente le GROUPE SCOLAIRE LES ÉMINENTS comme une famille scolaire, une équipe engagée et une communauté chrétienne bilingue, puis rappelle Foi, Excellence, Intégrité et Leadership.</w:t>
      </w:r>
    </w:p>
    <w:p>
      <w:pPr>
        <w:pStyle w:val="Normal"/>
        <w:keepNext w:val="true"/>
        <w:keepLines/>
        <w:spacing w:before="40" w:after="0"/>
        <w:ind w:start="57"/>
        <w:rPr/>
      </w:pPr>
      <w:r>
        <w:rPr>
          <w:b/>
          <w:color w:val="0B3D91"/>
          <w:sz w:val="17"/>
        </w:rPr>
        <w:t>Q2. Quelle est l’idée centrale de « Identité institutionnelle et valeurs en pied de page » ?</w:t>
      </w:r>
    </w:p>
    <w:p>
      <w:pPr>
        <w:pStyle w:val="Normal"/>
        <w:spacing w:before="0" w:after="40"/>
        <w:ind w:start="255"/>
        <w:rPr/>
      </w:pPr>
      <w:r>
        <w:rPr>
          <w:b/>
          <w:color w:val="D4A017"/>
          <w:sz w:val="16"/>
        </w:rPr>
        <w:t xml:space="preserve">Réponse : </w:t>
      </w:r>
      <w:r>
        <w:rPr>
          <w:color w:val="1F2937"/>
          <w:sz w:val="16"/>
        </w:rPr>
        <w:t>Le bloc réaffirme l’identité et les valeurs sur toutes les pages.</w:t>
      </w:r>
    </w:p>
    <w:p>
      <w:pPr>
        <w:pStyle w:val="Normal"/>
        <w:keepNext w:val="true"/>
        <w:keepLines/>
        <w:spacing w:before="40" w:after="0"/>
        <w:ind w:start="57"/>
        <w:rPr/>
      </w:pPr>
      <w:r>
        <w:rPr>
          <w:b/>
          <w:color w:val="0B3D91"/>
          <w:sz w:val="17"/>
        </w:rPr>
        <w:t>Q3. Quels éléments sont explicitement développés sous « Identité institutionnelle et valeurs en pied de page » ?</w:t>
      </w:r>
    </w:p>
    <w:p>
      <w:pPr>
        <w:pStyle w:val="Normal"/>
        <w:spacing w:before="0" w:after="40"/>
        <w:ind w:start="255"/>
        <w:rPr/>
      </w:pPr>
      <w:r>
        <w:rPr>
          <w:b/>
          <w:color w:val="D4A017"/>
          <w:sz w:val="16"/>
        </w:rPr>
        <w:t xml:space="preserve">Réponse : </w:t>
      </w:r>
      <w:r>
        <w:rPr>
          <w:color w:val="1F2937"/>
          <w:sz w:val="16"/>
        </w:rPr>
        <w:t>Nom de l’école, communauté éducative et quatre valeurs institutionnelles.</w:t>
      </w:r>
    </w:p>
    <w:p>
      <w:pPr>
        <w:pStyle w:val="Normal"/>
        <w:keepNext w:val="true"/>
        <w:keepLines/>
        <w:spacing w:before="40" w:after="0"/>
        <w:ind w:start="57"/>
        <w:rPr/>
      </w:pPr>
      <w:r>
        <w:rPr>
          <w:b/>
          <w:color w:val="0B3D91"/>
          <w:sz w:val="17"/>
        </w:rPr>
        <w:t>Q4. À quel public ou à quels acteurs « Identité institutionnelle et valeurs en pied de page » s’adresse-t-il ?</w:t>
      </w:r>
    </w:p>
    <w:p>
      <w:pPr>
        <w:pStyle w:val="Normal"/>
        <w:spacing w:before="0" w:after="40"/>
        <w:ind w:start="255"/>
        <w:rPr/>
      </w:pPr>
      <w:r>
        <w:rPr>
          <w:b/>
          <w:color w:val="D4A017"/>
          <w:sz w:val="16"/>
        </w:rPr>
        <w:t xml:space="preserve">Réponse : </w:t>
      </w:r>
      <w:r>
        <w:rPr>
          <w:color w:val="1F2937"/>
          <w:sz w:val="16"/>
        </w:rPr>
        <w:t>Tous les visiteurs du site.</w:t>
      </w:r>
    </w:p>
    <w:p>
      <w:pPr>
        <w:pStyle w:val="Normal"/>
        <w:keepNext w:val="true"/>
        <w:keepLines/>
        <w:spacing w:before="40" w:after="0"/>
        <w:ind w:start="57"/>
        <w:rPr/>
      </w:pPr>
      <w:r>
        <w:rPr>
          <w:b/>
          <w:color w:val="0B3D91"/>
          <w:sz w:val="17"/>
        </w:rPr>
        <w:t>Q5. Quelle action ou conduite « Identité institutionnelle et valeurs en pied de page » invite-t-il à adopter ?</w:t>
      </w:r>
    </w:p>
    <w:p>
      <w:pPr>
        <w:pStyle w:val="Normal"/>
        <w:spacing w:before="0" w:after="40"/>
        <w:ind w:start="255"/>
        <w:rPr/>
      </w:pPr>
      <w:r>
        <w:rPr>
          <w:b/>
          <w:color w:val="D4A017"/>
          <w:sz w:val="16"/>
        </w:rPr>
        <w:t xml:space="preserve">Réponse : </w:t>
      </w:r>
      <w:r>
        <w:rPr>
          <w:color w:val="1F2937"/>
          <w:sz w:val="16"/>
        </w:rPr>
        <w:t>Relier les actualités à l’identité générale de l’établissement.</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et la signature donnent une cohérence institutionnelle aux publications.</w:t>
      </w:r>
    </w:p>
    <w:p>
      <w:pPr>
        <w:pStyle w:val="Normal"/>
        <w:keepNext w:val="true"/>
        <w:keepLines/>
        <w:spacing w:before="40" w:after="0"/>
        <w:ind w:start="57"/>
        <w:rPr/>
      </w:pPr>
      <w:r>
        <w:rPr>
          <w:b/>
          <w:color w:val="0B3D91"/>
          <w:sz w:val="17"/>
        </w:rPr>
        <w:t>Q7. Quelle est l’importance de « Identité institutionnelle et valeurs en pied de page » dans le projet du GSE ?</w:t>
      </w:r>
    </w:p>
    <w:p>
      <w:pPr>
        <w:pStyle w:val="Normal"/>
        <w:spacing w:before="0" w:after="40"/>
        <w:ind w:start="255"/>
        <w:rPr/>
      </w:pPr>
      <w:r>
        <w:rPr>
          <w:b/>
          <w:color w:val="D4A017"/>
          <w:sz w:val="16"/>
        </w:rPr>
        <w:t xml:space="preserve">Réponse : </w:t>
      </w:r>
      <w:r>
        <w:rPr>
          <w:color w:val="1F2937"/>
          <w:sz w:val="16"/>
        </w:rPr>
        <w:t>Ils empêchent les actualités d’être perçues comme des informations isolées du projet éducatif.</w:t>
      </w:r>
    </w:p>
    <w:p>
      <w:pPr>
        <w:pStyle w:val="Normal"/>
        <w:keepNext w:val="true"/>
        <w:keepLines/>
        <w:spacing w:before="40" w:after="0"/>
        <w:ind w:start="57"/>
        <w:rPr/>
      </w:pPr>
      <w:r>
        <w:rPr>
          <w:b/>
          <w:color w:val="0B3D91"/>
          <w:sz w:val="17"/>
        </w:rPr>
        <w:t>Q8. Quels liens « Identité institutionnelle et valeurs en pied de page » entretient-il avec les autres pages ou services ?</w:t>
      </w:r>
    </w:p>
    <w:p>
      <w:pPr>
        <w:pStyle w:val="Normal"/>
        <w:spacing w:before="0" w:after="40"/>
        <w:ind w:start="255"/>
        <w:rPr/>
      </w:pPr>
      <w:r>
        <w:rPr>
          <w:b/>
          <w:color w:val="D4A017"/>
          <w:sz w:val="16"/>
        </w:rPr>
        <w:t xml:space="preserve">Réponse : </w:t>
      </w:r>
      <w:r>
        <w:rPr>
          <w:color w:val="1F2937"/>
          <w:sz w:val="16"/>
        </w:rPr>
        <w:t>Liens avec À propos, Valeurs, Vision &amp; mission et page d’accueil.</w:t>
      </w:r>
    </w:p>
    <w:p>
      <w:pPr>
        <w:pStyle w:val="Normal"/>
        <w:keepNext w:val="true"/>
        <w:keepLines/>
        <w:spacing w:before="40" w:after="0"/>
        <w:ind w:start="57"/>
        <w:rPr/>
      </w:pPr>
      <w:r>
        <w:rPr>
          <w:b/>
          <w:color w:val="0B3D91"/>
          <w:sz w:val="17"/>
        </w:rPr>
        <w:t>Q9. Quelle précision, limite ou réserve faut-il conserver à propos de « Identité institutionnelle et valeurs en pied de page » ?</w:t>
      </w:r>
    </w:p>
    <w:p>
      <w:pPr>
        <w:pStyle w:val="Normal"/>
        <w:spacing w:before="0" w:after="40"/>
        <w:ind w:start="255"/>
        <w:rPr/>
      </w:pPr>
      <w:r>
        <w:rPr>
          <w:b/>
          <w:color w:val="D4A017"/>
          <w:sz w:val="16"/>
        </w:rPr>
        <w:t xml:space="preserve">Réponse : </w:t>
      </w:r>
      <w:r>
        <w:rPr>
          <w:color w:val="1F2937"/>
          <w:sz w:val="16"/>
        </w:rPr>
        <w:t>Les valeurs doivent être illustrées par des pratiques et contenus concrets.</w:t>
      </w:r>
    </w:p>
    <w:p>
      <w:pPr>
        <w:pStyle w:val="Normal"/>
        <w:keepNext w:val="true"/>
        <w:keepLines/>
        <w:spacing w:before="40" w:after="0"/>
        <w:ind w:start="57"/>
        <w:rPr/>
      </w:pPr>
      <w:r>
        <w:rPr>
          <w:b/>
          <w:color w:val="0B3D91"/>
          <w:sz w:val="17"/>
        </w:rPr>
        <w:t>Q10. Quelle réponse essentielle faut-il retenir au sujet de « Identité institutionnelle et valeurs en pied de page » ?</w:t>
      </w:r>
    </w:p>
    <w:p>
      <w:pPr>
        <w:pStyle w:val="Normal"/>
        <w:spacing w:before="0" w:after="40"/>
        <w:ind w:start="255"/>
        <w:rPr/>
      </w:pPr>
      <w:r>
        <w:rPr>
          <w:b/>
          <w:color w:val="D4A017"/>
          <w:sz w:val="16"/>
        </w:rPr>
        <w:t xml:space="preserve">Réponse : </w:t>
      </w:r>
      <w:r>
        <w:rPr>
          <w:color w:val="1F2937"/>
          <w:sz w:val="16"/>
        </w:rPr>
        <w:t>Chaque actualité s’inscrit dans l’identité chrétienne bilingue et les quatre valeurs du GSE.</w:t>
      </w:r>
    </w:p>
    <w:p>
      <w:pPr>
        <w:pStyle w:val="Heading2"/>
        <w:keepNext w:val="true"/>
        <w:rPr/>
      </w:pPr>
      <w:r>
        <w:rPr/>
        <w:t>36. Navigation et services essentiels</w:t>
      </w:r>
    </w:p>
    <w:p>
      <w:pPr>
        <w:pStyle w:val="Normal"/>
        <w:spacing w:before="20" w:after="80"/>
        <w:rPr/>
      </w:pPr>
      <w:r>
        <w:rPr>
          <w:b/>
          <w:color w:val="0B3D91"/>
          <w:sz w:val="16"/>
        </w:rPr>
        <w:t xml:space="preserve">Source contrôlée : </w:t>
      </w:r>
      <w:r>
        <w:rPr>
          <w:color w:val="555555"/>
          <w:sz w:val="16"/>
        </w:rPr>
        <w:t>Pied de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pied de page propose des liens vers les principales pages et vers les services essentiels : Admissions, Préinscription, Qualité, Documentation, Veille officielle, ÉMINA et Espace Parents.</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hiérarchise les destinations les plus utiles.</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facilite l’orientation, réduit les impasses et relie l’information à l’action.</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l’ensemble de l’écosystème numérique du GSE.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Navigation</w:t>
      </w:r>
    </w:p>
    <w:p>
      <w:pPr>
        <w:pStyle w:val="ListBullet"/>
        <w:numPr>
          <w:ilvl w:val="0"/>
          <w:numId w:val="1"/>
        </w:numPr>
        <w:spacing w:before="0" w:after="20"/>
        <w:ind w:hanging="360" w:start="283"/>
        <w:contextualSpacing/>
        <w:rPr/>
      </w:pPr>
      <w:r>
        <w:rPr>
          <w:sz w:val="17"/>
        </w:rPr>
        <w:t>Services essentiels</w:t>
      </w:r>
    </w:p>
    <w:p>
      <w:pPr>
        <w:pStyle w:val="ListBullet"/>
        <w:numPr>
          <w:ilvl w:val="0"/>
          <w:numId w:val="1"/>
        </w:numPr>
        <w:spacing w:before="0" w:after="20"/>
        <w:ind w:hanging="360" w:start="283"/>
        <w:contextualSpacing/>
        <w:rPr/>
      </w:pPr>
      <w:r>
        <w:rPr>
          <w:sz w:val="17"/>
        </w:rPr>
        <w:t>Orientation</w:t>
      </w:r>
    </w:p>
    <w:p>
      <w:pPr>
        <w:pStyle w:val="ListBullet"/>
        <w:numPr>
          <w:ilvl w:val="0"/>
          <w:numId w:val="1"/>
        </w:numPr>
        <w:spacing w:before="0" w:after="20"/>
        <w:ind w:hanging="360" w:start="283"/>
        <w:contextualSpacing/>
        <w:rPr/>
      </w:pPr>
      <w:r>
        <w:rPr>
          <w:sz w:val="17"/>
        </w:rPr>
        <w:t>Continuité du parcours utilisateur</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Navigation et services essentiels » ?</w:t>
      </w:r>
    </w:p>
    <w:p>
      <w:pPr>
        <w:pStyle w:val="Normal"/>
        <w:spacing w:before="0" w:after="40"/>
        <w:ind w:start="255"/>
        <w:rPr/>
      </w:pPr>
      <w:r>
        <w:rPr>
          <w:b/>
          <w:color w:val="D4A017"/>
          <w:sz w:val="16"/>
        </w:rPr>
        <w:t xml:space="preserve">Réponse : </w:t>
      </w:r>
      <w:r>
        <w:rPr>
          <w:color w:val="1F2937"/>
          <w:sz w:val="16"/>
        </w:rPr>
        <w:t>Le pied de page propose des liens vers les principales pages et vers les services essentiels : Admissions, Préinscription, Qualité, Documentation, Veille officielle, ÉMINA et Espace Parents.</w:t>
      </w:r>
    </w:p>
    <w:p>
      <w:pPr>
        <w:pStyle w:val="Normal"/>
        <w:keepNext w:val="true"/>
        <w:keepLines/>
        <w:spacing w:before="40" w:after="0"/>
        <w:ind w:start="57"/>
        <w:rPr/>
      </w:pPr>
      <w:r>
        <w:rPr>
          <w:b/>
          <w:color w:val="0B3D91"/>
          <w:sz w:val="17"/>
        </w:rPr>
        <w:t>Q2. Quelle est l’idée centrale de « Navigation et services essentiels » ?</w:t>
      </w:r>
    </w:p>
    <w:p>
      <w:pPr>
        <w:pStyle w:val="Normal"/>
        <w:spacing w:before="0" w:after="40"/>
        <w:ind w:start="255"/>
        <w:rPr/>
      </w:pPr>
      <w:r>
        <w:rPr>
          <w:b/>
          <w:color w:val="D4A017"/>
          <w:sz w:val="16"/>
        </w:rPr>
        <w:t xml:space="preserve">Réponse : </w:t>
      </w:r>
      <w:r>
        <w:rPr>
          <w:color w:val="1F2937"/>
          <w:sz w:val="16"/>
        </w:rPr>
        <w:t>Ce bloc permet de poursuivre la navigation après la lecture d’une actualité.</w:t>
      </w:r>
    </w:p>
    <w:p>
      <w:pPr>
        <w:pStyle w:val="Normal"/>
        <w:keepNext w:val="true"/>
        <w:keepLines/>
        <w:spacing w:before="40" w:after="0"/>
        <w:ind w:start="57"/>
        <w:rPr/>
      </w:pPr>
      <w:r>
        <w:rPr>
          <w:b/>
          <w:color w:val="0B3D91"/>
          <w:sz w:val="17"/>
        </w:rPr>
        <w:t>Q3. Quels éléments sont explicitement développés sous « Navigation et services essentiels » ?</w:t>
      </w:r>
    </w:p>
    <w:p>
      <w:pPr>
        <w:pStyle w:val="Normal"/>
        <w:spacing w:before="0" w:after="40"/>
        <w:ind w:start="255"/>
        <w:rPr/>
      </w:pPr>
      <w:r>
        <w:rPr>
          <w:b/>
          <w:color w:val="D4A017"/>
          <w:sz w:val="16"/>
        </w:rPr>
        <w:t xml:space="preserve">Réponse : </w:t>
      </w:r>
      <w:r>
        <w:rPr>
          <w:color w:val="1F2937"/>
          <w:sz w:val="16"/>
        </w:rPr>
        <w:t>Liens institutionnels et services prioritaires.</w:t>
      </w:r>
    </w:p>
    <w:p>
      <w:pPr>
        <w:pStyle w:val="Normal"/>
        <w:keepNext w:val="true"/>
        <w:keepLines/>
        <w:spacing w:before="40" w:after="0"/>
        <w:ind w:start="57"/>
        <w:rPr/>
      </w:pPr>
      <w:r>
        <w:rPr>
          <w:b/>
          <w:color w:val="0B3D91"/>
          <w:sz w:val="17"/>
        </w:rPr>
        <w:t>Q4. À quel public ou à quels acteurs « Navigation et services essentiels » s’adresse-t-il ?</w:t>
      </w:r>
    </w:p>
    <w:p>
      <w:pPr>
        <w:pStyle w:val="Normal"/>
        <w:spacing w:before="0" w:after="40"/>
        <w:ind w:start="255"/>
        <w:rPr/>
      </w:pPr>
      <w:r>
        <w:rPr>
          <w:b/>
          <w:color w:val="D4A017"/>
          <w:sz w:val="16"/>
        </w:rPr>
        <w:t xml:space="preserve">Réponse : </w:t>
      </w:r>
      <w:r>
        <w:rPr>
          <w:color w:val="1F2937"/>
          <w:sz w:val="16"/>
        </w:rPr>
        <w:t>Visiteurs cherchant une démarche ou une information complémentaire.</w:t>
      </w:r>
    </w:p>
    <w:p>
      <w:pPr>
        <w:pStyle w:val="Normal"/>
        <w:keepNext w:val="true"/>
        <w:keepLines/>
        <w:spacing w:before="40" w:after="0"/>
        <w:ind w:start="57"/>
        <w:rPr/>
      </w:pPr>
      <w:r>
        <w:rPr>
          <w:b/>
          <w:color w:val="0B3D91"/>
          <w:sz w:val="17"/>
        </w:rPr>
        <w:t>Q5. Quelle action ou conduite « Navigation et services essentiels » invite-t-il à adopter ?</w:t>
      </w:r>
    </w:p>
    <w:p>
      <w:pPr>
        <w:pStyle w:val="Normal"/>
        <w:spacing w:before="0" w:after="40"/>
        <w:ind w:start="255"/>
        <w:rPr/>
      </w:pPr>
      <w:r>
        <w:rPr>
          <w:b/>
          <w:color w:val="D4A017"/>
          <w:sz w:val="16"/>
        </w:rPr>
        <w:t xml:space="preserve">Réponse : </w:t>
      </w:r>
      <w:r>
        <w:rPr>
          <w:color w:val="1F2937"/>
          <w:sz w:val="16"/>
        </w:rPr>
        <w:t>Ouvrir le service correspondant au besoin identifié.</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hiérarchise les destinations les plus utiles.</w:t>
      </w:r>
    </w:p>
    <w:p>
      <w:pPr>
        <w:pStyle w:val="Normal"/>
        <w:keepNext w:val="true"/>
        <w:keepLines/>
        <w:spacing w:before="40" w:after="0"/>
        <w:ind w:start="57"/>
        <w:rPr/>
      </w:pPr>
      <w:r>
        <w:rPr>
          <w:b/>
          <w:color w:val="0B3D91"/>
          <w:sz w:val="17"/>
        </w:rPr>
        <w:t>Q7. Quelle est l’importance de « Navigation et services essentiels » dans le projet du GSE ?</w:t>
      </w:r>
    </w:p>
    <w:p>
      <w:pPr>
        <w:pStyle w:val="Normal"/>
        <w:spacing w:before="0" w:after="40"/>
        <w:ind w:start="255"/>
        <w:rPr/>
      </w:pPr>
      <w:r>
        <w:rPr>
          <w:b/>
          <w:color w:val="D4A017"/>
          <w:sz w:val="16"/>
        </w:rPr>
        <w:t xml:space="preserve">Réponse : </w:t>
      </w:r>
      <w:r>
        <w:rPr>
          <w:color w:val="1F2937"/>
          <w:sz w:val="16"/>
        </w:rPr>
        <w:t>Il facilite l’orientation, réduit les impasses et relie l’information à l’action.</w:t>
      </w:r>
    </w:p>
    <w:p>
      <w:pPr>
        <w:pStyle w:val="Normal"/>
        <w:keepNext w:val="true"/>
        <w:keepLines/>
        <w:spacing w:before="40" w:after="0"/>
        <w:ind w:start="57"/>
        <w:rPr/>
      </w:pPr>
      <w:r>
        <w:rPr>
          <w:b/>
          <w:color w:val="0B3D91"/>
          <w:sz w:val="17"/>
        </w:rPr>
        <w:t>Q8. Quels liens « Navigation et services essentiels » entretient-il avec les autres pages ou services ?</w:t>
      </w:r>
    </w:p>
    <w:p>
      <w:pPr>
        <w:pStyle w:val="Normal"/>
        <w:spacing w:before="0" w:after="40"/>
        <w:ind w:start="255"/>
        <w:rPr/>
      </w:pPr>
      <w:r>
        <w:rPr>
          <w:b/>
          <w:color w:val="D4A017"/>
          <w:sz w:val="16"/>
        </w:rPr>
        <w:t xml:space="preserve">Réponse : </w:t>
      </w:r>
      <w:r>
        <w:rPr>
          <w:color w:val="1F2937"/>
          <w:sz w:val="16"/>
        </w:rPr>
        <w:t>Liens avec l’ensemble de l’écosystème numérique du GSE.</w:t>
      </w:r>
    </w:p>
    <w:p>
      <w:pPr>
        <w:pStyle w:val="Normal"/>
        <w:keepNext w:val="true"/>
        <w:keepLines/>
        <w:spacing w:before="40" w:after="0"/>
        <w:ind w:start="57"/>
        <w:rPr/>
      </w:pPr>
      <w:r>
        <w:rPr>
          <w:b/>
          <w:color w:val="0B3D91"/>
          <w:sz w:val="17"/>
        </w:rPr>
        <w:t>Q9. Quelle précision, limite ou réserve faut-il conserver à propos de « Navigation et services essentiels » ?</w:t>
      </w:r>
    </w:p>
    <w:p>
      <w:pPr>
        <w:pStyle w:val="Normal"/>
        <w:spacing w:before="0" w:after="40"/>
        <w:ind w:start="255"/>
        <w:rPr/>
      </w:pPr>
      <w:r>
        <w:rPr>
          <w:b/>
          <w:color w:val="D4A017"/>
          <w:sz w:val="16"/>
        </w:rPr>
        <w:t xml:space="preserve">Réponse : </w:t>
      </w:r>
      <w:r>
        <w:rPr>
          <w:color w:val="1F2937"/>
          <w:sz w:val="16"/>
        </w:rPr>
        <w:t>Les liens doivent être régulièrement testés et maintenus à jour.</w:t>
      </w:r>
    </w:p>
    <w:p>
      <w:pPr>
        <w:pStyle w:val="Normal"/>
        <w:keepNext w:val="true"/>
        <w:keepLines/>
        <w:spacing w:before="40" w:after="0"/>
        <w:ind w:start="57"/>
        <w:rPr/>
      </w:pPr>
      <w:r>
        <w:rPr>
          <w:b/>
          <w:color w:val="0B3D91"/>
          <w:sz w:val="17"/>
        </w:rPr>
        <w:t>Q10. Quelle réponse essentielle faut-il retenir au sujet de « Navigation et services essentiels » ?</w:t>
      </w:r>
    </w:p>
    <w:p>
      <w:pPr>
        <w:pStyle w:val="Normal"/>
        <w:spacing w:before="0" w:after="40"/>
        <w:ind w:start="255"/>
        <w:rPr/>
      </w:pPr>
      <w:r>
        <w:rPr>
          <w:b/>
          <w:color w:val="D4A017"/>
          <w:sz w:val="16"/>
        </w:rPr>
        <w:t xml:space="preserve">Réponse : </w:t>
      </w:r>
      <w:r>
        <w:rPr>
          <w:color w:val="1F2937"/>
          <w:sz w:val="16"/>
        </w:rPr>
        <w:t>Les actualités sont connectées aux services opérationnels de l’école.</w:t>
      </w:r>
    </w:p>
    <w:p>
      <w:pPr>
        <w:pStyle w:val="Heading2"/>
        <w:keepNext w:val="true"/>
        <w:rPr/>
      </w:pPr>
      <w:r>
        <w:rPr/>
        <w:t>37. Nous contacter et réseaux sociaux</w:t>
      </w:r>
    </w:p>
    <w:p>
      <w:pPr>
        <w:pStyle w:val="Normal"/>
        <w:spacing w:before="20" w:after="80"/>
        <w:rPr/>
      </w:pPr>
      <w:r>
        <w:rPr>
          <w:b/>
          <w:color w:val="0B3D91"/>
          <w:sz w:val="16"/>
        </w:rPr>
        <w:t xml:space="preserve">Source contrôlée : </w:t>
      </w:r>
      <w:r>
        <w:rPr>
          <w:color w:val="555555"/>
          <w:sz w:val="16"/>
        </w:rPr>
        <w:t>Pied de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La page affiche l’adresse à Labotte, trois numéros de téléphone, l’adresse promotion@gsleseminents.com, ainsi que Facebook, Instagram et WhatsApp.</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transforme la lecture en possibilité de dialogue direct.</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renforce l’accessibilité, la confiance et la continuité de la relation avec les familles.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Contact, Admissions, visite du campus et communication numérique.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Adresse physique</w:t>
      </w:r>
    </w:p>
    <w:p>
      <w:pPr>
        <w:pStyle w:val="ListBullet"/>
        <w:numPr>
          <w:ilvl w:val="0"/>
          <w:numId w:val="1"/>
        </w:numPr>
        <w:spacing w:before="0" w:after="20"/>
        <w:ind w:hanging="360" w:start="283"/>
        <w:contextualSpacing/>
        <w:rPr/>
      </w:pPr>
      <w:r>
        <w:rPr>
          <w:sz w:val="17"/>
        </w:rPr>
        <w:t>Trois téléphones</w:t>
      </w:r>
    </w:p>
    <w:p>
      <w:pPr>
        <w:pStyle w:val="ListBullet"/>
        <w:numPr>
          <w:ilvl w:val="0"/>
          <w:numId w:val="1"/>
        </w:numPr>
        <w:spacing w:before="0" w:after="20"/>
        <w:ind w:hanging="360" w:start="283"/>
        <w:contextualSpacing/>
        <w:rPr/>
      </w:pPr>
      <w:r>
        <w:rPr>
          <w:sz w:val="17"/>
        </w:rPr>
        <w:t>Courriel officiel</w:t>
      </w:r>
    </w:p>
    <w:p>
      <w:pPr>
        <w:pStyle w:val="ListBullet"/>
        <w:numPr>
          <w:ilvl w:val="0"/>
          <w:numId w:val="1"/>
        </w:numPr>
        <w:spacing w:before="0" w:after="20"/>
        <w:ind w:hanging="360" w:start="283"/>
        <w:contextualSpacing/>
        <w:rPr/>
      </w:pPr>
      <w:r>
        <w:rPr>
          <w:sz w:val="17"/>
        </w:rPr>
        <w:t>Facebook</w:t>
      </w:r>
    </w:p>
    <w:p>
      <w:pPr>
        <w:pStyle w:val="ListBullet"/>
        <w:numPr>
          <w:ilvl w:val="0"/>
          <w:numId w:val="1"/>
        </w:numPr>
        <w:spacing w:before="0" w:after="20"/>
        <w:ind w:hanging="360" w:start="283"/>
        <w:contextualSpacing/>
        <w:rPr/>
      </w:pPr>
      <w:r>
        <w:rPr>
          <w:sz w:val="17"/>
        </w:rPr>
        <w:t>Instagram</w:t>
      </w:r>
    </w:p>
    <w:p>
      <w:pPr>
        <w:pStyle w:val="ListBullet"/>
        <w:numPr>
          <w:ilvl w:val="0"/>
          <w:numId w:val="1"/>
        </w:numPr>
        <w:spacing w:before="0" w:after="20"/>
        <w:ind w:hanging="360" w:start="283"/>
        <w:contextualSpacing/>
        <w:rPr/>
      </w:pPr>
      <w:r>
        <w:rPr>
          <w:sz w:val="17"/>
        </w:rPr>
        <w:t>WhatsApp</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Nous contacter et réseaux sociaux » ?</w:t>
      </w:r>
    </w:p>
    <w:p>
      <w:pPr>
        <w:pStyle w:val="Normal"/>
        <w:spacing w:before="0" w:after="40"/>
        <w:ind w:start="255"/>
        <w:rPr/>
      </w:pPr>
      <w:r>
        <w:rPr>
          <w:b/>
          <w:color w:val="D4A017"/>
          <w:sz w:val="16"/>
        </w:rPr>
        <w:t xml:space="preserve">Réponse : </w:t>
      </w:r>
      <w:r>
        <w:rPr>
          <w:color w:val="1F2937"/>
          <w:sz w:val="16"/>
        </w:rPr>
        <w:t>La page affiche l’adresse à Labotte, trois numéros de téléphone, l’adresse promotion@gsleseminents.com, ainsi que Facebook, Instagram et WhatsApp.</w:t>
      </w:r>
    </w:p>
    <w:p>
      <w:pPr>
        <w:pStyle w:val="Normal"/>
        <w:keepNext w:val="true"/>
        <w:keepLines/>
        <w:spacing w:before="40" w:after="0"/>
        <w:ind w:start="57"/>
        <w:rPr/>
      </w:pPr>
      <w:r>
        <w:rPr>
          <w:b/>
          <w:color w:val="0B3D91"/>
          <w:sz w:val="17"/>
        </w:rPr>
        <w:t>Q2. Quelle est l’idée centrale de « Nous contacter et réseaux sociaux » ?</w:t>
      </w:r>
    </w:p>
    <w:p>
      <w:pPr>
        <w:pStyle w:val="Normal"/>
        <w:spacing w:before="0" w:after="40"/>
        <w:ind w:start="255"/>
        <w:rPr/>
      </w:pPr>
      <w:r>
        <w:rPr>
          <w:b/>
          <w:color w:val="D4A017"/>
          <w:sz w:val="16"/>
        </w:rPr>
        <w:t xml:space="preserve">Réponse : </w:t>
      </w:r>
      <w:r>
        <w:rPr>
          <w:color w:val="1F2937"/>
          <w:sz w:val="16"/>
        </w:rPr>
        <w:t>Le bloc fournit des moyens officiels de contact et de suivi.</w:t>
      </w:r>
    </w:p>
    <w:p>
      <w:pPr>
        <w:pStyle w:val="Normal"/>
        <w:keepNext w:val="true"/>
        <w:keepLines/>
        <w:spacing w:before="40" w:after="0"/>
        <w:ind w:start="57"/>
        <w:rPr/>
      </w:pPr>
      <w:r>
        <w:rPr>
          <w:b/>
          <w:color w:val="0B3D91"/>
          <w:sz w:val="17"/>
        </w:rPr>
        <w:t>Q3. Quels éléments sont explicitement développés sous « Nous contacter et réseaux sociaux » ?</w:t>
      </w:r>
    </w:p>
    <w:p>
      <w:pPr>
        <w:pStyle w:val="Normal"/>
        <w:spacing w:before="0" w:after="40"/>
        <w:ind w:start="255"/>
        <w:rPr/>
      </w:pPr>
      <w:r>
        <w:rPr>
          <w:b/>
          <w:color w:val="D4A017"/>
          <w:sz w:val="16"/>
        </w:rPr>
        <w:t xml:space="preserve">Réponse : </w:t>
      </w:r>
      <w:r>
        <w:rPr>
          <w:color w:val="1F2937"/>
          <w:sz w:val="16"/>
        </w:rPr>
        <w:t>Adresse, téléphones, courriel et réseaux sociaux.</w:t>
      </w:r>
    </w:p>
    <w:p>
      <w:pPr>
        <w:pStyle w:val="Normal"/>
        <w:keepNext w:val="true"/>
        <w:keepLines/>
        <w:spacing w:before="40" w:after="0"/>
        <w:ind w:start="57"/>
        <w:rPr/>
      </w:pPr>
      <w:r>
        <w:rPr>
          <w:b/>
          <w:color w:val="0B3D91"/>
          <w:sz w:val="17"/>
        </w:rPr>
        <w:t>Q4. À quel public ou à quels acteurs « Nous contacter et réseaux sociaux » s’adresse-t-il ?</w:t>
      </w:r>
    </w:p>
    <w:p>
      <w:pPr>
        <w:pStyle w:val="Normal"/>
        <w:spacing w:before="0" w:after="40"/>
        <w:ind w:start="255"/>
        <w:rPr/>
      </w:pPr>
      <w:r>
        <w:rPr>
          <w:b/>
          <w:color w:val="D4A017"/>
          <w:sz w:val="16"/>
        </w:rPr>
        <w:t xml:space="preserve">Réponse : </w:t>
      </w:r>
      <w:r>
        <w:rPr>
          <w:color w:val="1F2937"/>
          <w:sz w:val="16"/>
        </w:rPr>
        <w:t>Familles, partenaires, visiteurs et membres de la communauté.</w:t>
      </w:r>
    </w:p>
    <w:p>
      <w:pPr>
        <w:pStyle w:val="Normal"/>
        <w:keepNext w:val="true"/>
        <w:keepLines/>
        <w:spacing w:before="40" w:after="0"/>
        <w:ind w:start="57"/>
        <w:rPr/>
      </w:pPr>
      <w:r>
        <w:rPr>
          <w:b/>
          <w:color w:val="0B3D91"/>
          <w:sz w:val="17"/>
        </w:rPr>
        <w:t>Q5. Quelle action ou conduite « Nous contacter et réseaux sociaux » invite-t-il à adopter ?</w:t>
      </w:r>
    </w:p>
    <w:p>
      <w:pPr>
        <w:pStyle w:val="Normal"/>
        <w:spacing w:before="0" w:after="40"/>
        <w:ind w:start="255"/>
        <w:rPr/>
      </w:pPr>
      <w:r>
        <w:rPr>
          <w:b/>
          <w:color w:val="D4A017"/>
          <w:sz w:val="16"/>
        </w:rPr>
        <w:t xml:space="preserve">Réponse : </w:t>
      </w:r>
      <w:r>
        <w:rPr>
          <w:color w:val="1F2937"/>
          <w:sz w:val="16"/>
        </w:rPr>
        <w:t>Utiliser un canal officiel pour demander une information ou planifier une visite.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transforme la lecture en possibilité de dialogue direct.</w:t>
      </w:r>
    </w:p>
    <w:p>
      <w:pPr>
        <w:pStyle w:val="Normal"/>
        <w:keepNext w:val="true"/>
        <w:keepLines/>
        <w:spacing w:before="40" w:after="0"/>
        <w:ind w:start="57"/>
        <w:rPr/>
      </w:pPr>
      <w:r>
        <w:rPr>
          <w:b/>
          <w:color w:val="0B3D91"/>
          <w:sz w:val="17"/>
        </w:rPr>
        <w:t>Q7. Quelle est l’importance de « Nous contacter et réseaux sociaux » dans le projet du GSE ?</w:t>
      </w:r>
    </w:p>
    <w:p>
      <w:pPr>
        <w:pStyle w:val="Normal"/>
        <w:spacing w:before="0" w:after="40"/>
        <w:ind w:start="255"/>
        <w:rPr/>
      </w:pPr>
      <w:r>
        <w:rPr>
          <w:b/>
          <w:color w:val="D4A017"/>
          <w:sz w:val="16"/>
        </w:rPr>
        <w:t xml:space="preserve">Réponse : </w:t>
      </w:r>
      <w:r>
        <w:rPr>
          <w:color w:val="1F2937"/>
          <w:sz w:val="16"/>
        </w:rPr>
        <w:t>Il renforce l’accessibilité, la confiance et la continuité de la relation avec les familles.</w:t>
      </w:r>
    </w:p>
    <w:p>
      <w:pPr>
        <w:pStyle w:val="Normal"/>
        <w:keepNext w:val="true"/>
        <w:keepLines/>
        <w:spacing w:before="40" w:after="0"/>
        <w:ind w:start="57"/>
        <w:rPr/>
      </w:pPr>
      <w:r>
        <w:rPr>
          <w:b/>
          <w:color w:val="0B3D91"/>
          <w:sz w:val="17"/>
        </w:rPr>
        <w:t>Q8. Quels liens « Nous contacter et réseaux sociaux » entretient-il avec les autres pages ou services ?</w:t>
      </w:r>
    </w:p>
    <w:p>
      <w:pPr>
        <w:pStyle w:val="Normal"/>
        <w:spacing w:before="0" w:after="40"/>
        <w:ind w:start="255"/>
        <w:rPr/>
      </w:pPr>
      <w:r>
        <w:rPr>
          <w:b/>
          <w:color w:val="D4A017"/>
          <w:sz w:val="16"/>
        </w:rPr>
        <w:t xml:space="preserve">Réponse : </w:t>
      </w:r>
      <w:r>
        <w:rPr>
          <w:color w:val="1F2937"/>
          <w:sz w:val="16"/>
        </w:rPr>
        <w:t>Liens avec Contact, Admissions, visite du campus et communication numérique.</w:t>
      </w:r>
    </w:p>
    <w:p>
      <w:pPr>
        <w:pStyle w:val="Normal"/>
        <w:keepNext w:val="true"/>
        <w:keepLines/>
        <w:spacing w:before="40" w:after="0"/>
        <w:ind w:start="57"/>
        <w:rPr/>
      </w:pPr>
      <w:r>
        <w:rPr>
          <w:b/>
          <w:color w:val="0B3D91"/>
          <w:sz w:val="17"/>
        </w:rPr>
        <w:t>Q9. Quelle précision, limite ou réserve faut-il conserver à propos de « Nous contacter et réseaux sociaux » ?</w:t>
      </w:r>
    </w:p>
    <w:p>
      <w:pPr>
        <w:pStyle w:val="Normal"/>
        <w:spacing w:before="0" w:after="40"/>
        <w:ind w:start="255"/>
        <w:rPr/>
      </w:pPr>
      <w:r>
        <w:rPr>
          <w:b/>
          <w:color w:val="D4A017"/>
          <w:sz w:val="16"/>
        </w:rPr>
        <w:t xml:space="preserve">Réponse : </w:t>
      </w:r>
      <w:r>
        <w:rPr>
          <w:color w:val="1F2937"/>
          <w:sz w:val="16"/>
        </w:rPr>
        <w:t>Les informations sensibles doivent être transmises uniquement par des canaux appropriés et sécurisés.</w:t>
      </w:r>
    </w:p>
    <w:p>
      <w:pPr>
        <w:pStyle w:val="Normal"/>
        <w:keepNext w:val="true"/>
        <w:keepLines/>
        <w:spacing w:before="40" w:after="0"/>
        <w:ind w:start="57"/>
        <w:rPr/>
      </w:pPr>
      <w:r>
        <w:rPr>
          <w:b/>
          <w:color w:val="0B3D91"/>
          <w:sz w:val="17"/>
        </w:rPr>
        <w:t>Q10. Quelle réponse essentielle faut-il retenir au sujet de « Nous contacter et réseaux sociaux » ?</w:t>
      </w:r>
    </w:p>
    <w:p>
      <w:pPr>
        <w:pStyle w:val="Normal"/>
        <w:spacing w:before="0" w:after="40"/>
        <w:ind w:start="255"/>
        <w:rPr/>
      </w:pPr>
      <w:r>
        <w:rPr>
          <w:b/>
          <w:color w:val="D4A017"/>
          <w:sz w:val="16"/>
        </w:rPr>
        <w:t xml:space="preserve">Réponse : </w:t>
      </w:r>
      <w:r>
        <w:rPr>
          <w:color w:val="1F2937"/>
          <w:sz w:val="16"/>
        </w:rPr>
        <w:t>Le site met à disposition plusieurs canaux officiels pour contacter l’école.</w:t>
      </w:r>
    </w:p>
    <w:p>
      <w:pPr>
        <w:pStyle w:val="Heading2"/>
        <w:keepNext w:val="true"/>
        <w:rPr/>
      </w:pPr>
      <w:r>
        <w:rPr/>
        <w:t>38. Confidentialité et assistance humaine</w:t>
      </w:r>
    </w:p>
    <w:p>
      <w:pPr>
        <w:pStyle w:val="Normal"/>
        <w:spacing w:before="20" w:after="80"/>
        <w:rPr/>
      </w:pPr>
      <w:r>
        <w:rPr>
          <w:b/>
          <w:color w:val="0B3D91"/>
          <w:sz w:val="16"/>
        </w:rPr>
        <w:t xml:space="preserve">Source contrôlée : </w:t>
      </w:r>
      <w:r>
        <w:rPr>
          <w:color w:val="555555"/>
          <w:sz w:val="16"/>
        </w:rPr>
        <w:t>Pied de page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pied de page donne accès à la politique de confidentialité et à l’assistance humaine.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reconnaît que l’information numérique doit rester protégée et complétée par l’intervention humaine.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la conformité, la confiance et la gestion responsable des demandes.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ÉMINA, Admissions, données personnelles et signalement d’erreurs.</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Protection des données</w:t>
      </w:r>
    </w:p>
    <w:p>
      <w:pPr>
        <w:pStyle w:val="ListBullet"/>
        <w:numPr>
          <w:ilvl w:val="0"/>
          <w:numId w:val="1"/>
        </w:numPr>
        <w:spacing w:before="0" w:after="20"/>
        <w:ind w:hanging="360" w:start="283"/>
        <w:contextualSpacing/>
        <w:rPr/>
      </w:pPr>
      <w:r>
        <w:rPr>
          <w:sz w:val="17"/>
        </w:rPr>
        <w:t>Assistance humaine</w:t>
      </w:r>
    </w:p>
    <w:p>
      <w:pPr>
        <w:pStyle w:val="ListBullet"/>
        <w:numPr>
          <w:ilvl w:val="0"/>
          <w:numId w:val="1"/>
        </w:numPr>
        <w:spacing w:before="0" w:after="20"/>
        <w:ind w:hanging="360" w:start="283"/>
        <w:contextualSpacing/>
        <w:rPr/>
      </w:pPr>
      <w:r>
        <w:rPr>
          <w:sz w:val="17"/>
        </w:rPr>
        <w:t>Demandes sensibles</w:t>
      </w:r>
    </w:p>
    <w:p>
      <w:pPr>
        <w:pStyle w:val="ListBullet"/>
        <w:numPr>
          <w:ilvl w:val="0"/>
          <w:numId w:val="1"/>
        </w:numPr>
        <w:spacing w:before="0" w:after="20"/>
        <w:ind w:hanging="360" w:start="283"/>
        <w:contextualSpacing/>
        <w:rPr/>
      </w:pPr>
      <w:r>
        <w:rPr>
          <w:sz w:val="17"/>
        </w:rPr>
        <w:t>Recours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Confidentialité et assistance humaine » ?</w:t>
      </w:r>
    </w:p>
    <w:p>
      <w:pPr>
        <w:pStyle w:val="Normal"/>
        <w:spacing w:before="0" w:after="40"/>
        <w:ind w:start="255"/>
        <w:rPr/>
      </w:pPr>
      <w:r>
        <w:rPr>
          <w:b/>
          <w:color w:val="D4A017"/>
          <w:sz w:val="16"/>
        </w:rPr>
        <w:t xml:space="preserve">Réponse : </w:t>
      </w:r>
      <w:r>
        <w:rPr>
          <w:color w:val="1F2937"/>
          <w:sz w:val="16"/>
        </w:rPr>
        <w:t>Le pied de page donne accès à la politique de confidentialité et à l’assistance humaine.</w:t>
      </w:r>
    </w:p>
    <w:p>
      <w:pPr>
        <w:pStyle w:val="Normal"/>
        <w:keepNext w:val="true"/>
        <w:keepLines/>
        <w:spacing w:before="40" w:after="0"/>
        <w:ind w:start="57"/>
        <w:rPr/>
      </w:pPr>
      <w:r>
        <w:rPr>
          <w:b/>
          <w:color w:val="0B3D91"/>
          <w:sz w:val="17"/>
        </w:rPr>
        <w:t>Q2. Quelle est l’idée centrale de « Confidentialité et assistance humaine » ?</w:t>
      </w:r>
    </w:p>
    <w:p>
      <w:pPr>
        <w:pStyle w:val="Normal"/>
        <w:spacing w:before="0" w:after="40"/>
        <w:ind w:start="255"/>
        <w:rPr/>
      </w:pPr>
      <w:r>
        <w:rPr>
          <w:b/>
          <w:color w:val="D4A017"/>
          <w:sz w:val="16"/>
        </w:rPr>
        <w:t xml:space="preserve">Réponse : </w:t>
      </w:r>
      <w:r>
        <w:rPr>
          <w:color w:val="1F2937"/>
          <w:sz w:val="16"/>
        </w:rPr>
        <w:t>Ces liens encadrent la protection des données et permettent une prise en charge par une personne.</w:t>
      </w:r>
    </w:p>
    <w:p>
      <w:pPr>
        <w:pStyle w:val="Normal"/>
        <w:keepNext w:val="true"/>
        <w:keepLines/>
        <w:spacing w:before="40" w:after="0"/>
        <w:ind w:start="57"/>
        <w:rPr/>
      </w:pPr>
      <w:r>
        <w:rPr>
          <w:b/>
          <w:color w:val="0B3D91"/>
          <w:sz w:val="17"/>
        </w:rPr>
        <w:t>Q3. Quels éléments sont explicitement développés sous « Confidentialité et assistance humaine » ?</w:t>
      </w:r>
    </w:p>
    <w:p>
      <w:pPr>
        <w:pStyle w:val="Normal"/>
        <w:spacing w:before="0" w:after="40"/>
        <w:ind w:start="255"/>
        <w:rPr/>
      </w:pPr>
      <w:r>
        <w:rPr>
          <w:b/>
          <w:color w:val="D4A017"/>
          <w:sz w:val="16"/>
        </w:rPr>
        <w:t xml:space="preserve">Réponse : </w:t>
      </w:r>
      <w:r>
        <w:rPr>
          <w:color w:val="1F2937"/>
          <w:sz w:val="16"/>
        </w:rPr>
        <w:t>Confidentialité et recours à un agent humain.</w:t>
      </w:r>
    </w:p>
    <w:p>
      <w:pPr>
        <w:pStyle w:val="Normal"/>
        <w:keepNext w:val="true"/>
        <w:keepLines/>
        <w:spacing w:before="40" w:after="0"/>
        <w:ind w:start="57"/>
        <w:rPr/>
      </w:pPr>
      <w:r>
        <w:rPr>
          <w:b/>
          <w:color w:val="0B3D91"/>
          <w:sz w:val="17"/>
        </w:rPr>
        <w:t>Q4. À quel public ou à quels acteurs « Confidentialité et assistance humaine » s’adresse-t-il ?</w:t>
      </w:r>
    </w:p>
    <w:p>
      <w:pPr>
        <w:pStyle w:val="Normal"/>
        <w:spacing w:before="0" w:after="40"/>
        <w:ind w:start="255"/>
        <w:rPr/>
      </w:pPr>
      <w:r>
        <w:rPr>
          <w:b/>
          <w:color w:val="D4A017"/>
          <w:sz w:val="16"/>
        </w:rPr>
        <w:t xml:space="preserve">Réponse : </w:t>
      </w:r>
      <w:r>
        <w:rPr>
          <w:color w:val="1F2937"/>
          <w:sz w:val="16"/>
        </w:rPr>
        <w:t>Tous les utilisateurs, notamment ceux ayant une demande sensible ou complexe.</w:t>
      </w:r>
    </w:p>
    <w:p>
      <w:pPr>
        <w:pStyle w:val="Normal"/>
        <w:keepNext w:val="true"/>
        <w:keepLines/>
        <w:spacing w:before="40" w:after="0"/>
        <w:ind w:start="57"/>
        <w:rPr/>
      </w:pPr>
      <w:r>
        <w:rPr>
          <w:b/>
          <w:color w:val="0B3D91"/>
          <w:sz w:val="17"/>
        </w:rPr>
        <w:t>Q5. Quelle action ou conduite « Confidentialité et assistance humaine » invite-t-il à adopter ?</w:t>
      </w:r>
    </w:p>
    <w:p>
      <w:pPr>
        <w:pStyle w:val="Normal"/>
        <w:spacing w:before="0" w:after="40"/>
        <w:ind w:start="255"/>
        <w:rPr/>
      </w:pPr>
      <w:r>
        <w:rPr>
          <w:b/>
          <w:color w:val="D4A017"/>
          <w:sz w:val="16"/>
        </w:rPr>
        <w:t xml:space="preserve">Réponse : </w:t>
      </w:r>
      <w:r>
        <w:rPr>
          <w:color w:val="1F2937"/>
          <w:sz w:val="16"/>
        </w:rPr>
        <w:t>Consulter la politique et demander une assistance humaine lorsque nécessaire.</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reconnaît que l’information numérique doit rester protégée et complétée par l’intervention humaine.</w:t>
      </w:r>
    </w:p>
    <w:p>
      <w:pPr>
        <w:pStyle w:val="Normal"/>
        <w:keepNext w:val="true"/>
        <w:keepLines/>
        <w:spacing w:before="40" w:after="0"/>
        <w:ind w:start="57"/>
        <w:rPr/>
      </w:pPr>
      <w:r>
        <w:rPr>
          <w:b/>
          <w:color w:val="0B3D91"/>
          <w:sz w:val="17"/>
        </w:rPr>
        <w:t>Q7. Quelle est l’importance de « Confidentialité et assistance humaine » dans le projet du GSE ?</w:t>
      </w:r>
    </w:p>
    <w:p>
      <w:pPr>
        <w:pStyle w:val="Normal"/>
        <w:spacing w:before="0" w:after="40"/>
        <w:ind w:start="255"/>
        <w:rPr/>
      </w:pPr>
      <w:r>
        <w:rPr>
          <w:b/>
          <w:color w:val="D4A017"/>
          <w:sz w:val="16"/>
        </w:rPr>
        <w:t xml:space="preserve">Réponse : </w:t>
      </w:r>
      <w:r>
        <w:rPr>
          <w:color w:val="1F2937"/>
          <w:sz w:val="16"/>
        </w:rPr>
        <w:t>Il soutient la conformité, la confiance et la gestion responsable des demandes.</w:t>
      </w:r>
    </w:p>
    <w:p>
      <w:pPr>
        <w:pStyle w:val="Normal"/>
        <w:keepNext w:val="true"/>
        <w:keepLines/>
        <w:spacing w:before="40" w:after="0"/>
        <w:ind w:start="57"/>
        <w:rPr/>
      </w:pPr>
      <w:r>
        <w:rPr>
          <w:b/>
          <w:color w:val="0B3D91"/>
          <w:sz w:val="17"/>
        </w:rPr>
        <w:t>Q8. Quels liens « Confidentialité et assistance humaine » entretient-il avec les autres pages ou services ?</w:t>
      </w:r>
    </w:p>
    <w:p>
      <w:pPr>
        <w:pStyle w:val="Normal"/>
        <w:spacing w:before="0" w:after="40"/>
        <w:ind w:start="255"/>
        <w:rPr/>
      </w:pPr>
      <w:r>
        <w:rPr>
          <w:b/>
          <w:color w:val="D4A017"/>
          <w:sz w:val="16"/>
        </w:rPr>
        <w:t xml:space="preserve">Réponse : </w:t>
      </w:r>
      <w:r>
        <w:rPr>
          <w:color w:val="1F2937"/>
          <w:sz w:val="16"/>
        </w:rPr>
        <w:t>Liens avec ÉMINA, Admissions, données personnelles et signalement d’erreurs.</w:t>
      </w:r>
    </w:p>
    <w:p>
      <w:pPr>
        <w:pStyle w:val="Normal"/>
        <w:keepNext w:val="true"/>
        <w:keepLines/>
        <w:spacing w:before="40" w:after="0"/>
        <w:ind w:start="57"/>
        <w:rPr/>
      </w:pPr>
      <w:r>
        <w:rPr>
          <w:b/>
          <w:color w:val="0B3D91"/>
          <w:sz w:val="17"/>
        </w:rPr>
        <w:t>Q9. Quelle précision, limite ou réserve faut-il conserver à propos de « Confidentialité et assistance humaine » ?</w:t>
      </w:r>
    </w:p>
    <w:p>
      <w:pPr>
        <w:pStyle w:val="Normal"/>
        <w:spacing w:before="0" w:after="40"/>
        <w:ind w:start="255"/>
        <w:rPr/>
      </w:pPr>
      <w:r>
        <w:rPr>
          <w:b/>
          <w:color w:val="D4A017"/>
          <w:sz w:val="16"/>
        </w:rPr>
        <w:t xml:space="preserve">Réponse : </w:t>
      </w:r>
      <w:r>
        <w:rPr>
          <w:color w:val="1F2937"/>
          <w:sz w:val="16"/>
        </w:rPr>
        <w:t>Les données sensibles ne doivent pas être saisies dans l’assistante publique.</w:t>
      </w:r>
    </w:p>
    <w:p>
      <w:pPr>
        <w:pStyle w:val="Normal"/>
        <w:keepNext w:val="true"/>
        <w:keepLines/>
        <w:spacing w:before="40" w:after="0"/>
        <w:ind w:start="57"/>
        <w:rPr/>
      </w:pPr>
      <w:r>
        <w:rPr>
          <w:b/>
          <w:color w:val="0B3D91"/>
          <w:sz w:val="17"/>
        </w:rPr>
        <w:t>Q10. Quelle réponse essentielle faut-il retenir au sujet de « Confidentialité et assistance humaine » ?</w:t>
      </w:r>
    </w:p>
    <w:p>
      <w:pPr>
        <w:pStyle w:val="Normal"/>
        <w:spacing w:before="0" w:after="40"/>
        <w:ind w:start="255"/>
        <w:rPr/>
      </w:pPr>
      <w:r>
        <w:rPr>
          <w:b/>
          <w:color w:val="D4A017"/>
          <w:sz w:val="16"/>
        </w:rPr>
        <w:t xml:space="preserve">Réponse : </w:t>
      </w:r>
      <w:r>
        <w:rPr>
          <w:color w:val="1F2937"/>
          <w:sz w:val="16"/>
        </w:rPr>
        <w:t>La confidentialité et l’accès à un humain sont des garanties essentielles du service en ligne.</w:t>
      </w:r>
    </w:p>
    <w:p>
      <w:pPr>
        <w:pStyle w:val="Heading2"/>
        <w:keepNext w:val="true"/>
        <w:rPr/>
      </w:pPr>
      <w:r>
        <w:rPr/>
        <w:t>39. Rôle et limites d’ÉMINA sur les pages d’actualité</w:t>
      </w:r>
    </w:p>
    <w:p>
      <w:pPr>
        <w:pStyle w:val="Normal"/>
        <w:spacing w:before="20" w:after="80"/>
        <w:rPr/>
      </w:pPr>
      <w:r>
        <w:rPr>
          <w:b/>
          <w:color w:val="0B3D91"/>
          <w:sz w:val="16"/>
        </w:rPr>
        <w:t xml:space="preserve">Source contrôlée : </w:t>
      </w:r>
      <w:r>
        <w:rPr>
          <w:color w:val="555555"/>
          <w:sz w:val="16"/>
        </w:rPr>
        <w:t>Widget ÉMINA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widget précise qu’ÉMINA fournit des informations publiques, permet de signaler une erreur et ne prend aucune décision à la place du personnel habilité.</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distingue clairement l’assistance informationnelle de l’autorité institutionnelle.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réduit les risques de mauvaise interprétation et protège les usagers.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ÉMINA, Confidentialité, Documentation et Assistance humaine.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Information publique</w:t>
      </w:r>
    </w:p>
    <w:p>
      <w:pPr>
        <w:pStyle w:val="ListBullet"/>
        <w:numPr>
          <w:ilvl w:val="0"/>
          <w:numId w:val="1"/>
        </w:numPr>
        <w:spacing w:before="0" w:after="20"/>
        <w:ind w:hanging="360" w:start="283"/>
        <w:contextualSpacing/>
        <w:rPr/>
      </w:pPr>
      <w:r>
        <w:rPr>
          <w:sz w:val="17"/>
        </w:rPr>
        <w:t>Signalement d’erreur</w:t>
      </w:r>
    </w:p>
    <w:p>
      <w:pPr>
        <w:pStyle w:val="ListBullet"/>
        <w:numPr>
          <w:ilvl w:val="0"/>
          <w:numId w:val="1"/>
        </w:numPr>
        <w:spacing w:before="0" w:after="20"/>
        <w:ind w:hanging="360" w:start="283"/>
        <w:contextualSpacing/>
        <w:rPr/>
      </w:pPr>
      <w:r>
        <w:rPr>
          <w:sz w:val="17"/>
        </w:rPr>
        <w:t>Pas de décision autonome</w:t>
      </w:r>
    </w:p>
    <w:p>
      <w:pPr>
        <w:pStyle w:val="ListBullet"/>
        <w:numPr>
          <w:ilvl w:val="0"/>
          <w:numId w:val="1"/>
        </w:numPr>
        <w:spacing w:before="0" w:after="20"/>
        <w:ind w:hanging="360" w:start="283"/>
        <w:contextualSpacing/>
        <w:rPr/>
      </w:pPr>
      <w:r>
        <w:rPr>
          <w:sz w:val="17"/>
        </w:rPr>
        <w:t>Pas de données sensibles</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Rôle et limites d’ÉMINA sur les pages d’actualité » ?</w:t>
      </w:r>
    </w:p>
    <w:p>
      <w:pPr>
        <w:pStyle w:val="Normal"/>
        <w:spacing w:before="0" w:after="40"/>
        <w:ind w:start="255"/>
        <w:rPr/>
      </w:pPr>
      <w:r>
        <w:rPr>
          <w:b/>
          <w:color w:val="D4A017"/>
          <w:sz w:val="16"/>
        </w:rPr>
        <w:t xml:space="preserve">Réponse : </w:t>
      </w:r>
      <w:r>
        <w:rPr>
          <w:color w:val="1F2937"/>
          <w:sz w:val="16"/>
        </w:rPr>
        <w:t>Le widget précise qu’ÉMINA fournit des informations publiques, permet de signaler une erreur et ne prend aucune décision à la place du personnel habilité.</w:t>
      </w:r>
    </w:p>
    <w:p>
      <w:pPr>
        <w:pStyle w:val="Normal"/>
        <w:keepNext w:val="true"/>
        <w:keepLines/>
        <w:spacing w:before="40" w:after="0"/>
        <w:ind w:start="57"/>
        <w:rPr/>
      </w:pPr>
      <w:r>
        <w:rPr>
          <w:b/>
          <w:color w:val="0B3D91"/>
          <w:sz w:val="17"/>
        </w:rPr>
        <w:t>Q2. Quelle est l’idée centrale de « Rôle et limites d’ÉMINA sur les pages d’actualité » ?</w:t>
      </w:r>
    </w:p>
    <w:p>
      <w:pPr>
        <w:pStyle w:val="Normal"/>
        <w:spacing w:before="0" w:after="40"/>
        <w:ind w:start="255"/>
        <w:rPr/>
      </w:pPr>
      <w:r>
        <w:rPr>
          <w:b/>
          <w:color w:val="D4A017"/>
          <w:sz w:val="16"/>
        </w:rPr>
        <w:t xml:space="preserve">Réponse : </w:t>
      </w:r>
      <w:r>
        <w:rPr>
          <w:color w:val="1F2937"/>
          <w:sz w:val="16"/>
        </w:rPr>
        <w:t>L’assistante est présentée comme un outil d’orientation encadré.</w:t>
      </w:r>
    </w:p>
    <w:p>
      <w:pPr>
        <w:pStyle w:val="Normal"/>
        <w:keepNext w:val="true"/>
        <w:keepLines/>
        <w:spacing w:before="40" w:after="0"/>
        <w:ind w:start="57"/>
        <w:rPr/>
      </w:pPr>
      <w:r>
        <w:rPr>
          <w:b/>
          <w:color w:val="0B3D91"/>
          <w:sz w:val="17"/>
        </w:rPr>
        <w:t>Q3. Quels éléments sont explicitement développés sous « Rôle et limites d’ÉMINA sur les pages d’actualité » ?</w:t>
      </w:r>
    </w:p>
    <w:p>
      <w:pPr>
        <w:pStyle w:val="Normal"/>
        <w:spacing w:before="0" w:after="40"/>
        <w:ind w:start="255"/>
        <w:rPr/>
      </w:pPr>
      <w:r>
        <w:rPr>
          <w:b/>
          <w:color w:val="D4A017"/>
          <w:sz w:val="16"/>
        </w:rPr>
        <w:t xml:space="preserve">Réponse : </w:t>
      </w:r>
      <w:r>
        <w:rPr>
          <w:color w:val="1F2937"/>
          <w:sz w:val="16"/>
        </w:rPr>
        <w:t>Information publique, signalement d’erreur, limites décisionnelles et protection des données.</w:t>
      </w:r>
    </w:p>
    <w:p>
      <w:pPr>
        <w:pStyle w:val="Normal"/>
        <w:keepNext w:val="true"/>
        <w:keepLines/>
        <w:spacing w:before="40" w:after="0"/>
        <w:ind w:start="57"/>
        <w:rPr/>
      </w:pPr>
      <w:r>
        <w:rPr>
          <w:b/>
          <w:color w:val="0B3D91"/>
          <w:sz w:val="17"/>
        </w:rPr>
        <w:t>Q4. À quel public ou à quels acteurs « Rôle et limites d’ÉMINA sur les pages d’actualité » s’adresse-t-il ?</w:t>
      </w:r>
    </w:p>
    <w:p>
      <w:pPr>
        <w:pStyle w:val="Normal"/>
        <w:spacing w:before="0" w:after="40"/>
        <w:ind w:start="255"/>
        <w:rPr/>
      </w:pPr>
      <w:r>
        <w:rPr>
          <w:b/>
          <w:color w:val="D4A017"/>
          <w:sz w:val="16"/>
        </w:rPr>
        <w:t xml:space="preserve">Réponse : </w:t>
      </w:r>
      <w:r>
        <w:rPr>
          <w:color w:val="1F2937"/>
          <w:sz w:val="16"/>
        </w:rPr>
        <w:t>Visiteurs du site et personnel chargé du suivi des réponses.</w:t>
      </w:r>
    </w:p>
    <w:p>
      <w:pPr>
        <w:pStyle w:val="Normal"/>
        <w:keepNext w:val="true"/>
        <w:keepLines/>
        <w:spacing w:before="40" w:after="0"/>
        <w:ind w:start="57"/>
        <w:rPr/>
      </w:pPr>
      <w:r>
        <w:rPr>
          <w:b/>
          <w:color w:val="0B3D91"/>
          <w:sz w:val="17"/>
        </w:rPr>
        <w:t>Q5. Quelle action ou conduite « Rôle et limites d’ÉMINA sur les pages d’actualité » invite-t-il à adopter ?</w:t>
      </w:r>
    </w:p>
    <w:p>
      <w:pPr>
        <w:pStyle w:val="Normal"/>
        <w:spacing w:before="0" w:after="40"/>
        <w:ind w:start="255"/>
        <w:rPr/>
      </w:pPr>
      <w:r>
        <w:rPr>
          <w:b/>
          <w:color w:val="D4A017"/>
          <w:sz w:val="16"/>
        </w:rPr>
        <w:t xml:space="preserve">Réponse : </w:t>
      </w:r>
      <w:r>
        <w:rPr>
          <w:color w:val="1F2937"/>
          <w:sz w:val="16"/>
        </w:rPr>
        <w:t>Poser des questions générales, éviter les données sensibles et solliciter un humain pour les décisions.</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distingue clairement l’assistance informationnelle de l’autorité institutionnelle.</w:t>
      </w:r>
    </w:p>
    <w:p>
      <w:pPr>
        <w:pStyle w:val="Normal"/>
        <w:keepNext w:val="true"/>
        <w:keepLines/>
        <w:spacing w:before="40" w:after="0"/>
        <w:ind w:start="57"/>
        <w:rPr/>
      </w:pPr>
      <w:r>
        <w:rPr>
          <w:b/>
          <w:color w:val="0B3D91"/>
          <w:sz w:val="17"/>
        </w:rPr>
        <w:t>Q7. Quelle est l’importance de « Rôle et limites d’ÉMINA sur les pages d’actualité » dans le projet du GSE ?</w:t>
      </w:r>
    </w:p>
    <w:p>
      <w:pPr>
        <w:pStyle w:val="Normal"/>
        <w:spacing w:before="0" w:after="40"/>
        <w:ind w:start="255"/>
        <w:rPr/>
      </w:pPr>
      <w:r>
        <w:rPr>
          <w:b/>
          <w:color w:val="D4A017"/>
          <w:sz w:val="16"/>
        </w:rPr>
        <w:t xml:space="preserve">Réponse : </w:t>
      </w:r>
      <w:r>
        <w:rPr>
          <w:color w:val="1F2937"/>
          <w:sz w:val="16"/>
        </w:rPr>
        <w:t>Il réduit les risques de mauvaise interprétation et protège les usagers.</w:t>
      </w:r>
    </w:p>
    <w:p>
      <w:pPr>
        <w:pStyle w:val="Normal"/>
        <w:keepNext w:val="true"/>
        <w:keepLines/>
        <w:spacing w:before="40" w:after="0"/>
        <w:ind w:start="57"/>
        <w:rPr/>
      </w:pPr>
      <w:r>
        <w:rPr>
          <w:b/>
          <w:color w:val="0B3D91"/>
          <w:sz w:val="17"/>
        </w:rPr>
        <w:t>Q8. Quels liens « Rôle et limites d’ÉMINA sur les pages d’actualité » entretient-il avec les autres pages ou services ?</w:t>
      </w:r>
    </w:p>
    <w:p>
      <w:pPr>
        <w:pStyle w:val="Normal"/>
        <w:spacing w:before="0" w:after="40"/>
        <w:ind w:start="255"/>
        <w:rPr/>
      </w:pPr>
      <w:r>
        <w:rPr>
          <w:b/>
          <w:color w:val="D4A017"/>
          <w:sz w:val="16"/>
        </w:rPr>
        <w:t xml:space="preserve">Réponse : </w:t>
      </w:r>
      <w:r>
        <w:rPr>
          <w:color w:val="1F2937"/>
          <w:sz w:val="16"/>
        </w:rPr>
        <w:t>Liens avec ÉMINA, Confidentialité, Documentation et Assistance humaine.</w:t>
      </w:r>
    </w:p>
    <w:p>
      <w:pPr>
        <w:pStyle w:val="Normal"/>
        <w:keepNext w:val="true"/>
        <w:keepLines/>
        <w:spacing w:before="40" w:after="0"/>
        <w:ind w:start="57"/>
        <w:rPr/>
      </w:pPr>
      <w:r>
        <w:rPr>
          <w:b/>
          <w:color w:val="0B3D91"/>
          <w:sz w:val="17"/>
        </w:rPr>
        <w:t>Q9. Quelle précision, limite ou réserve faut-il conserver à propos de « Rôle et limites d’ÉMINA sur les pages d’actualité » ?</w:t>
      </w:r>
    </w:p>
    <w:p>
      <w:pPr>
        <w:pStyle w:val="Normal"/>
        <w:spacing w:before="0" w:after="40"/>
        <w:ind w:start="255"/>
        <w:rPr/>
      </w:pPr>
      <w:r>
        <w:rPr>
          <w:b/>
          <w:color w:val="D4A017"/>
          <w:sz w:val="16"/>
        </w:rPr>
        <w:t xml:space="preserve">Réponse : </w:t>
      </w:r>
      <w:r>
        <w:rPr>
          <w:color w:val="1F2937"/>
          <w:sz w:val="16"/>
        </w:rPr>
        <w:t>Ne pas transmettre de données médicales, financières, mots de passe ou autres informations sensibles.</w:t>
      </w:r>
    </w:p>
    <w:p>
      <w:pPr>
        <w:pStyle w:val="Normal"/>
        <w:keepNext w:val="true"/>
        <w:keepLines/>
        <w:spacing w:before="40" w:after="0"/>
        <w:ind w:start="57"/>
        <w:rPr/>
      </w:pPr>
      <w:r>
        <w:rPr>
          <w:b/>
          <w:color w:val="0B3D91"/>
          <w:sz w:val="17"/>
        </w:rPr>
        <w:t>Q10. Quelle réponse essentielle faut-il retenir au sujet de « Rôle et limites d’ÉMINA sur les pages d’actualité » ?</w:t>
      </w:r>
    </w:p>
    <w:p>
      <w:pPr>
        <w:pStyle w:val="Normal"/>
        <w:spacing w:before="0" w:after="40"/>
        <w:ind w:start="255"/>
        <w:rPr/>
      </w:pPr>
      <w:r>
        <w:rPr>
          <w:b/>
          <w:color w:val="D4A017"/>
          <w:sz w:val="16"/>
        </w:rPr>
        <w:t xml:space="preserve">Réponse : </w:t>
      </w:r>
      <w:r>
        <w:rPr>
          <w:color w:val="1F2937"/>
          <w:sz w:val="16"/>
        </w:rPr>
        <w:t>ÉMINA guide et informe, mais ne remplace ni le personnel ni les validations officielles.</w:t>
      </w:r>
    </w:p>
    <w:p>
      <w:pPr>
        <w:pStyle w:val="Heading2"/>
        <w:keepNext w:val="true"/>
        <w:rPr/>
      </w:pPr>
      <w:r>
        <w:rPr/>
        <w:t>40. Sélecteur des six langues</w:t>
      </w:r>
    </w:p>
    <w:p>
      <w:pPr>
        <w:pStyle w:val="Normal"/>
        <w:spacing w:before="20" w:after="80"/>
        <w:rPr/>
      </w:pPr>
      <w:r>
        <w:rPr>
          <w:b/>
          <w:color w:val="0B3D91"/>
          <w:sz w:val="16"/>
        </w:rPr>
        <w:t xml:space="preserve">Source contrôlée : </w:t>
      </w:r>
      <w:r>
        <w:rPr>
          <w:color w:val="555555"/>
          <w:sz w:val="16"/>
        </w:rPr>
        <w:t>En-tête et widget ÉMINA — https://test.gsleseminents.com/actualites-et-galerie/ — inspection du 2 juillet 2026</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sous-jacent — synthèse fidèle : </w:t>
            </w:r>
            <w:r>
              <w:rPr>
                <w:color w:val="1F2937"/>
                <w:sz w:val="17"/>
              </w:rPr>
              <w:t>Le site propose Français, English, Kiswahili, Lingala, Kikongo ya Leta et Tshiluba.</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Raison du titre ou de la section : </w:t>
            </w:r>
            <w:r>
              <w:rPr>
                <w:color w:val="1F2937"/>
                <w:sz w:val="17"/>
              </w:rPr>
              <w:t>Le titre matérialise l’engagement d’accessibilité linguistique.</w:t>
            </w:r>
          </w:p>
        </w:tc>
      </w:tr>
      <w:tr>
        <w:trPr/>
        <w:tc>
          <w:tcPr>
            <w:tcW w:w="10370"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élargit l’accès à l’information et soutient l’inclusion des familles.</w:t>
            </w:r>
          </w:p>
        </w:tc>
      </w:tr>
      <w:tr>
        <w:trPr/>
        <w:tc>
          <w:tcPr>
            <w:tcW w:w="10370" w:type="dxa"/>
            <w:tcBorders>
              <w:top w:val="single" w:sz="6" w:space="0" w:color="7A8493"/>
              <w:start w:val="single" w:sz="6" w:space="0" w:color="7A8493"/>
              <w:bottom w:val="single" w:sz="6" w:space="0" w:color="7A8493"/>
              <w:end w:val="single" w:sz="6" w:space="0" w:color="7A8493"/>
            </w:tcBorders>
            <w:shd w:fill="F3F4F6"/>
          </w:tcPr>
          <w:p>
            <w:pPr>
              <w:pStyle w:val="Normal"/>
              <w:spacing w:before="0" w:after="0"/>
              <w:rPr/>
            </w:pPr>
            <w:r>
              <w:rPr>
                <w:b/>
                <w:color w:val="0B3D91"/>
                <w:sz w:val="17"/>
              </w:rPr>
              <w:t xml:space="preserve">Liens avec les autres sections : </w:t>
            </w:r>
            <w:r>
              <w:rPr>
                <w:color w:val="1F2937"/>
                <w:sz w:val="17"/>
              </w:rPr>
              <w:t>Liens avec Bilinguisme, ÉMINA, traduction du site et communication école-famille.</w:t>
            </w:r>
          </w:p>
        </w:tc>
      </w:tr>
    </w:tbl>
    <w:p>
      <w:pPr>
        <w:pStyle w:val="Normal"/>
        <w:spacing w:before="80" w:after="40"/>
        <w:rPr/>
      </w:pPr>
      <w:r>
        <w:rPr>
          <w:b/>
          <w:color w:val="0B3D91"/>
          <w:sz w:val="19"/>
        </w:rPr>
        <w:t>Points développés</w:t>
      </w:r>
    </w:p>
    <w:p>
      <w:pPr>
        <w:pStyle w:val="ListBullet"/>
        <w:numPr>
          <w:ilvl w:val="0"/>
          <w:numId w:val="1"/>
        </w:numPr>
        <w:spacing w:before="0" w:after="20"/>
        <w:ind w:hanging="360" w:start="283"/>
        <w:contextualSpacing/>
        <w:rPr/>
      </w:pPr>
      <w:r>
        <w:rPr>
          <w:sz w:val="17"/>
        </w:rPr>
        <w:t>Français</w:t>
      </w:r>
    </w:p>
    <w:p>
      <w:pPr>
        <w:pStyle w:val="ListBullet"/>
        <w:numPr>
          <w:ilvl w:val="0"/>
          <w:numId w:val="1"/>
        </w:numPr>
        <w:spacing w:before="0" w:after="20"/>
        <w:ind w:hanging="360" w:start="283"/>
        <w:contextualSpacing/>
        <w:rPr/>
      </w:pPr>
      <w:r>
        <w:rPr>
          <w:sz w:val="17"/>
        </w:rPr>
        <w:t>English</w:t>
      </w:r>
    </w:p>
    <w:p>
      <w:pPr>
        <w:pStyle w:val="ListBullet"/>
        <w:numPr>
          <w:ilvl w:val="0"/>
          <w:numId w:val="1"/>
        </w:numPr>
        <w:spacing w:before="0" w:after="20"/>
        <w:ind w:hanging="360" w:start="283"/>
        <w:contextualSpacing/>
        <w:rPr/>
      </w:pPr>
      <w:r>
        <w:rPr>
          <w:sz w:val="17"/>
        </w:rPr>
        <w:t>Kiswahili</w:t>
      </w:r>
    </w:p>
    <w:p>
      <w:pPr>
        <w:pStyle w:val="ListBullet"/>
        <w:numPr>
          <w:ilvl w:val="0"/>
          <w:numId w:val="1"/>
        </w:numPr>
        <w:spacing w:before="0" w:after="20"/>
        <w:ind w:hanging="360" w:start="283"/>
        <w:contextualSpacing/>
        <w:rPr/>
      </w:pPr>
      <w:r>
        <w:rPr>
          <w:sz w:val="17"/>
        </w:rPr>
        <w:t>Lingala</w:t>
      </w:r>
    </w:p>
    <w:p>
      <w:pPr>
        <w:pStyle w:val="ListBullet"/>
        <w:numPr>
          <w:ilvl w:val="0"/>
          <w:numId w:val="1"/>
        </w:numPr>
        <w:spacing w:before="0" w:after="20"/>
        <w:ind w:hanging="360" w:start="283"/>
        <w:contextualSpacing/>
        <w:rPr/>
      </w:pPr>
      <w:r>
        <w:rPr>
          <w:sz w:val="17"/>
        </w:rPr>
        <w:t>Kikongo ya Leta</w:t>
      </w:r>
    </w:p>
    <w:p>
      <w:pPr>
        <w:pStyle w:val="ListBullet"/>
        <w:numPr>
          <w:ilvl w:val="0"/>
          <w:numId w:val="1"/>
        </w:numPr>
        <w:spacing w:before="0" w:after="20"/>
        <w:ind w:hanging="360" w:start="283"/>
        <w:contextualSpacing/>
        <w:rPr/>
      </w:pPr>
      <w:r>
        <w:rPr>
          <w:sz w:val="17"/>
        </w:rPr>
        <w:t>Tshiluba</w:t>
      </w:r>
    </w:p>
    <w:p>
      <w:pPr>
        <w:pStyle w:val="Normal"/>
        <w:spacing w:before="80" w:after="40"/>
        <w:rPr/>
      </w:pPr>
      <w:r>
        <w:rPr>
          <w:b/>
          <w:color w:val="0B3D91"/>
          <w:sz w:val="19"/>
        </w:rPr>
        <w:t>Banque de questions-réponses</w:t>
      </w:r>
    </w:p>
    <w:p>
      <w:pPr>
        <w:pStyle w:val="Normal"/>
        <w:keepNext w:val="true"/>
        <w:keepLines/>
        <w:spacing w:before="40" w:after="0"/>
        <w:ind w:start="57"/>
        <w:rPr/>
      </w:pPr>
      <w:r>
        <w:rPr>
          <w:b/>
          <w:color w:val="0B3D91"/>
          <w:sz w:val="17"/>
        </w:rPr>
        <w:t>Q1. Que présente la rubrique ou le point « Sélecteur des six langues » ?</w:t>
      </w:r>
    </w:p>
    <w:p>
      <w:pPr>
        <w:pStyle w:val="Normal"/>
        <w:spacing w:before="0" w:after="40"/>
        <w:ind w:start="255"/>
        <w:rPr/>
      </w:pPr>
      <w:r>
        <w:rPr>
          <w:b/>
          <w:color w:val="D4A017"/>
          <w:sz w:val="16"/>
        </w:rPr>
        <w:t xml:space="preserve">Réponse : </w:t>
      </w:r>
      <w:r>
        <w:rPr>
          <w:color w:val="1F2937"/>
          <w:sz w:val="16"/>
        </w:rPr>
        <w:t>Le site propose Français, English, Kiswahili, Lingala, Kikongo ya Leta et Tshiluba.</w:t>
      </w:r>
    </w:p>
    <w:p>
      <w:pPr>
        <w:pStyle w:val="Normal"/>
        <w:keepNext w:val="true"/>
        <w:keepLines/>
        <w:spacing w:before="40" w:after="0"/>
        <w:ind w:start="57"/>
        <w:rPr/>
      </w:pPr>
      <w:r>
        <w:rPr>
          <w:b/>
          <w:color w:val="0B3D91"/>
          <w:sz w:val="17"/>
        </w:rPr>
        <w:t>Q2. Quelle est l’idée centrale de « Sélecteur des six langues » ?</w:t>
      </w:r>
    </w:p>
    <w:p>
      <w:pPr>
        <w:pStyle w:val="Normal"/>
        <w:spacing w:before="0" w:after="40"/>
        <w:ind w:start="255"/>
        <w:rPr/>
      </w:pPr>
      <w:r>
        <w:rPr>
          <w:b/>
          <w:color w:val="D4A017"/>
          <w:sz w:val="16"/>
        </w:rPr>
        <w:t xml:space="preserve">Réponse : </w:t>
      </w:r>
      <w:r>
        <w:rPr>
          <w:color w:val="1F2937"/>
          <w:sz w:val="16"/>
        </w:rPr>
        <w:t>Le sélecteur vise à rendre l’information accessible dans les langues retenues par l’établissement.</w:t>
      </w:r>
    </w:p>
    <w:p>
      <w:pPr>
        <w:pStyle w:val="Normal"/>
        <w:keepNext w:val="true"/>
        <w:keepLines/>
        <w:spacing w:before="40" w:after="0"/>
        <w:ind w:start="57"/>
        <w:rPr/>
      </w:pPr>
      <w:r>
        <w:rPr>
          <w:b/>
          <w:color w:val="0B3D91"/>
          <w:sz w:val="17"/>
        </w:rPr>
        <w:t>Q3. Quels éléments sont explicitement développés sous « Sélecteur des six langues » ?</w:t>
      </w:r>
    </w:p>
    <w:p>
      <w:pPr>
        <w:pStyle w:val="Normal"/>
        <w:spacing w:before="0" w:after="40"/>
        <w:ind w:start="255"/>
        <w:rPr/>
      </w:pPr>
      <w:r>
        <w:rPr>
          <w:b/>
          <w:color w:val="D4A017"/>
          <w:sz w:val="16"/>
        </w:rPr>
        <w:t xml:space="preserve">Réponse : </w:t>
      </w:r>
      <w:r>
        <w:rPr>
          <w:color w:val="1F2937"/>
          <w:sz w:val="16"/>
        </w:rPr>
        <w:t>Six langues : français, anglais et quatre langues nationales de la RDC.</w:t>
      </w:r>
    </w:p>
    <w:p>
      <w:pPr>
        <w:pStyle w:val="Normal"/>
        <w:keepNext w:val="true"/>
        <w:keepLines/>
        <w:spacing w:before="40" w:after="0"/>
        <w:ind w:start="57"/>
        <w:rPr/>
      </w:pPr>
      <w:r>
        <w:rPr>
          <w:b/>
          <w:color w:val="0B3D91"/>
          <w:sz w:val="17"/>
        </w:rPr>
        <w:t>Q4. À quel public ou à quels acteurs « Sélecteur des six langues » s’adresse-t-il ?</w:t>
      </w:r>
    </w:p>
    <w:p>
      <w:pPr>
        <w:pStyle w:val="Normal"/>
        <w:spacing w:before="0" w:after="40"/>
        <w:ind w:start="255"/>
        <w:rPr/>
      </w:pPr>
      <w:r>
        <w:rPr>
          <w:b/>
          <w:color w:val="D4A017"/>
          <w:sz w:val="16"/>
        </w:rPr>
        <w:t xml:space="preserve">Réponse : </w:t>
      </w:r>
      <w:r>
        <w:rPr>
          <w:color w:val="1F2937"/>
          <w:sz w:val="16"/>
        </w:rPr>
        <w:t>Familles et visiteurs ayant des préférences linguistiques différentes.</w:t>
      </w:r>
    </w:p>
    <w:p>
      <w:pPr>
        <w:pStyle w:val="Normal"/>
        <w:keepNext w:val="true"/>
        <w:keepLines/>
        <w:spacing w:before="40" w:after="0"/>
        <w:ind w:start="57"/>
        <w:rPr/>
      </w:pPr>
      <w:r>
        <w:rPr>
          <w:b/>
          <w:color w:val="0B3D91"/>
          <w:sz w:val="17"/>
        </w:rPr>
        <w:t>Q5. Quelle action ou conduite « Sélecteur des six langues » invite-t-il à adopter ?</w:t>
      </w:r>
    </w:p>
    <w:p>
      <w:pPr>
        <w:pStyle w:val="Normal"/>
        <w:spacing w:before="0" w:after="40"/>
        <w:ind w:start="255"/>
        <w:rPr/>
      </w:pPr>
      <w:r>
        <w:rPr>
          <w:b/>
          <w:color w:val="D4A017"/>
          <w:sz w:val="16"/>
        </w:rPr>
        <w:t xml:space="preserve">Réponse : </w:t>
      </w:r>
      <w:r>
        <w:rPr>
          <w:color w:val="1F2937"/>
          <w:sz w:val="16"/>
        </w:rPr>
        <w:t>Choisir la langue la plus confortable pour consulter le site ou dialoguer avec ÉMINA.</w:t>
      </w:r>
    </w:p>
    <w:p>
      <w:pPr>
        <w:pStyle w:val="Normal"/>
        <w:keepNext w:val="true"/>
        <w:keepLines/>
        <w:spacing w:before="40" w:after="0"/>
        <w:ind w:start="57"/>
        <w:rPr/>
      </w:pPr>
      <w:r>
        <w:rPr>
          <w:b/>
          <w:color w:val="0B3D91"/>
          <w:sz w:val="17"/>
        </w:rPr>
        <w:t>Q6. Pourquoi ce titre ou cette section a-t-il sa place dans le menu « Actualités et galerie » ?</w:t>
      </w:r>
    </w:p>
    <w:p>
      <w:pPr>
        <w:pStyle w:val="Normal"/>
        <w:spacing w:before="0" w:after="40"/>
        <w:ind w:start="255"/>
        <w:rPr/>
      </w:pPr>
      <w:r>
        <w:rPr>
          <w:b/>
          <w:color w:val="D4A017"/>
          <w:sz w:val="16"/>
        </w:rPr>
        <w:t xml:space="preserve">Réponse : </w:t>
      </w:r>
      <w:r>
        <w:rPr>
          <w:color w:val="1F2937"/>
          <w:sz w:val="16"/>
        </w:rPr>
        <w:t>Le titre matérialise l’engagement d’accessibilité linguistique.</w:t>
      </w:r>
    </w:p>
    <w:p>
      <w:pPr>
        <w:pStyle w:val="Normal"/>
        <w:keepNext w:val="true"/>
        <w:keepLines/>
        <w:spacing w:before="40" w:after="0"/>
        <w:ind w:start="57"/>
        <w:rPr/>
      </w:pPr>
      <w:r>
        <w:rPr>
          <w:b/>
          <w:color w:val="0B3D91"/>
          <w:sz w:val="17"/>
        </w:rPr>
        <w:t>Q7. Quelle est l’importance de « Sélecteur des six langues » dans le projet du GSE ?</w:t>
      </w:r>
    </w:p>
    <w:p>
      <w:pPr>
        <w:pStyle w:val="Normal"/>
        <w:spacing w:before="0" w:after="40"/>
        <w:ind w:start="255"/>
        <w:rPr/>
      </w:pPr>
      <w:r>
        <w:rPr>
          <w:b/>
          <w:color w:val="D4A017"/>
          <w:sz w:val="16"/>
        </w:rPr>
        <w:t xml:space="preserve">Réponse : </w:t>
      </w:r>
      <w:r>
        <w:rPr>
          <w:color w:val="1F2937"/>
          <w:sz w:val="16"/>
        </w:rPr>
        <w:t>Il élargit l’accès à l’information et soutient l’inclusion des familles.</w:t>
      </w:r>
    </w:p>
    <w:p>
      <w:pPr>
        <w:pStyle w:val="Normal"/>
        <w:keepNext w:val="true"/>
        <w:keepLines/>
        <w:spacing w:before="40" w:after="0"/>
        <w:ind w:start="57"/>
        <w:rPr/>
      </w:pPr>
      <w:r>
        <w:rPr>
          <w:b/>
          <w:color w:val="0B3D91"/>
          <w:sz w:val="17"/>
        </w:rPr>
        <w:t>Q8. Quels liens « Sélecteur des six langues » entretient-il avec les autres pages ou services ?</w:t>
      </w:r>
    </w:p>
    <w:p>
      <w:pPr>
        <w:pStyle w:val="Normal"/>
        <w:spacing w:before="0" w:after="40"/>
        <w:ind w:start="255"/>
        <w:rPr/>
      </w:pPr>
      <w:r>
        <w:rPr>
          <w:b/>
          <w:color w:val="D4A017"/>
          <w:sz w:val="16"/>
        </w:rPr>
        <w:t xml:space="preserve">Réponse : </w:t>
      </w:r>
      <w:r>
        <w:rPr>
          <w:color w:val="1F2937"/>
          <w:sz w:val="16"/>
        </w:rPr>
        <w:t>Liens avec Bilinguisme, ÉMINA, traduction du site et communication école-famille.</w:t>
      </w:r>
    </w:p>
    <w:p>
      <w:pPr>
        <w:pStyle w:val="Normal"/>
        <w:keepNext w:val="true"/>
        <w:keepLines/>
        <w:spacing w:before="40" w:after="0"/>
        <w:ind w:start="57"/>
        <w:rPr/>
      </w:pPr>
      <w:r>
        <w:rPr>
          <w:b/>
          <w:color w:val="0B3D91"/>
          <w:sz w:val="17"/>
        </w:rPr>
        <w:t>Q9. Quelle précision, limite ou réserve faut-il conserver à propos de « Sélecteur des six langues » ?</w:t>
      </w:r>
    </w:p>
    <w:p>
      <w:pPr>
        <w:pStyle w:val="Normal"/>
        <w:spacing w:before="0" w:after="40"/>
        <w:ind w:start="255"/>
        <w:rPr/>
      </w:pPr>
      <w:r>
        <w:rPr>
          <w:b/>
          <w:color w:val="D4A017"/>
          <w:sz w:val="16"/>
        </w:rPr>
        <w:t xml:space="preserve">Réponse : </w:t>
      </w:r>
      <w:r>
        <w:rPr>
          <w:color w:val="1F2937"/>
          <w:sz w:val="16"/>
        </w:rPr>
        <w:t>La disponibilité du sélecteur doit être accompagnée de traductions complètes et cohérentes des contenus.</w:t>
      </w:r>
    </w:p>
    <w:p>
      <w:pPr>
        <w:pStyle w:val="Normal"/>
        <w:keepNext w:val="true"/>
        <w:keepLines/>
        <w:spacing w:before="40" w:after="0"/>
        <w:ind w:start="57"/>
        <w:rPr/>
      </w:pPr>
      <w:r>
        <w:rPr>
          <w:b/>
          <w:color w:val="0B3D91"/>
          <w:sz w:val="17"/>
        </w:rPr>
        <w:t>Q10. Quelle réponse essentielle faut-il retenir au sujet de « Sélecteur des six langues » ?</w:t>
      </w:r>
    </w:p>
    <w:p>
      <w:pPr>
        <w:pStyle w:val="Normal"/>
        <w:spacing w:before="0" w:after="40"/>
        <w:ind w:start="255"/>
        <w:rPr/>
      </w:pPr>
      <w:r>
        <w:rPr>
          <w:b/>
          <w:color w:val="D4A017"/>
          <w:sz w:val="16"/>
        </w:rPr>
        <w:t xml:space="preserve">Réponse : </w:t>
      </w:r>
      <w:r>
        <w:rPr>
          <w:color w:val="1F2937"/>
          <w:sz w:val="16"/>
        </w:rPr>
        <w:t>L’information institutionnelle est conçue pour être accessible dans six langues.</w:t>
      </w:r>
    </w:p>
    <w:p>
      <w:pPr>
        <w:pStyle w:val="Normal"/>
        <w:rPr/>
      </w:pPr>
      <w:r>
        <w:rPr/>
      </w:r>
      <w:r>
        <w:br w:type="page"/>
      </w:r>
    </w:p>
    <w:p>
      <w:pPr>
        <w:pStyle w:val="Heading1"/>
        <w:spacing w:before="0" w:after="0"/>
        <w:jc w:val="center"/>
        <w:rPr/>
      </w:pPr>
      <w:r>
        <w:rPr/>
        <w:t>GLOSSAIRE — MOTS CLÉS, SIGLES, ABRÉVIATIONS ET TERMES DIFFICILES</w:t>
      </w:r>
    </w:p>
    <w:p>
      <w:pPr>
        <w:pStyle w:val="Normal"/>
        <w:jc w:val="center"/>
        <w:rPr/>
      </w:pPr>
      <w:r>
        <w:rPr>
          <w:i/>
          <w:sz w:val="18"/>
        </w:rPr>
        <w:t>Les définitions ci-dessous facilitent l’utilisation de la banque de questions par les familles, le personnel, les partenaires et ÉMINA.</w:t>
      </w:r>
    </w:p>
    <w:tbl>
      <w:tblPr>
        <w:tblStyle w:val="TableGrid"/>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185"/>
        <w:gridCol w:w="5184"/>
      </w:tblGrid>
      <w:tr>
        <w:trPr>
          <w:tblHeader w:val="true"/>
        </w:trPr>
        <w:tc>
          <w:tcPr>
            <w:tcW w:w="5185"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Terme / sigle</w:t>
            </w:r>
          </w:p>
        </w:tc>
        <w:tc>
          <w:tcPr>
            <w:tcW w:w="5184" w:type="dxa"/>
            <w:tcBorders>
              <w:top w:val="single" w:sz="4" w:space="0" w:color="0B3D91"/>
              <w:start w:val="single" w:sz="4" w:space="0" w:color="0B3D91"/>
              <w:bottom w:val="single" w:sz="4" w:space="0" w:color="0B3D91"/>
              <w:end w:val="single" w:sz="4" w:space="0" w:color="0B3D91"/>
            </w:tcBorders>
            <w:shd w:fill="0B3D91"/>
          </w:tcPr>
          <w:p>
            <w:pPr>
              <w:pStyle w:val="Normal"/>
              <w:spacing w:lineRule="auto" w:line="240" w:before="0" w:after="0"/>
              <w:rPr>
                <w:rFonts w:eastAsia="ＭＳ 明朝" w:cs=""/>
                <w:kern w:val="0"/>
                <w:szCs w:val="22"/>
                <w:lang w:val="en-US" w:eastAsia="en-US" w:bidi="ar-SA"/>
              </w:rPr>
            </w:pPr>
            <w:r>
              <w:rPr>
                <w:rFonts w:eastAsia="ＭＳ 明朝" w:cs=""/>
                <w:b/>
                <w:color w:val="FFFFFF"/>
                <w:kern w:val="0"/>
                <w:sz w:val="16"/>
                <w:szCs w:val="22"/>
                <w:lang w:val="en-US" w:eastAsia="en-US" w:bidi="ar-SA"/>
              </w:rPr>
              <w:t>Définition de référence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Accompagnement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Soutien organisé apporté à une personne pendant une démarche ou un apprentissage.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Actualité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Information récente publiée pour rendre compte d’un événement, d’une annonce ou d’une évolution.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Actualités et galerie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Menu public regroupant les nouvelles de l’école et les contenus visuels qui les illustrent.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Admission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Processus par lequel une demande d’entrée à l’école est étudiée puis éventuellement validée.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Agent habilité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Membre du personnel autorisé à accomplir une action ou à prendre une décision précise.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Année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Période officielle pendant laquelle se déroulent les activités d’enseignement d’une cohorte.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Appel à l’action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Formulation ou bouton invitant l’utilisateur à accomplir une étape précise.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Article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Publication développée consacrée à un sujet particulier.</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Assistance humaine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Intervention d’un membre du personnel lorsqu’une demande ne peut pas être traitée uniquement en ligne.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Bilingue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Qui utilise ou développe deux langues ; au GSE, principalement le français et l’anglais.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Bilinguisme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Apprentissage et usage progressif de deux langues dans les situations éducatives.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Campagne d’inscriptions</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Période organisée pendant laquelle l’école reçoit et traite les demandes d’admission.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Campus</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des bâtiments et espaces utilisés par l’établissement scolaire.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Capacité de communication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Aptitude à comprendre, exprimer et échanger des idées de manière adaptée.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Caractère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des dispositions, attitudes et habitudes qui orientent la conduite d’une personne.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Carte d’actualité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Bloc visuel résumant une publication par une image, une date, un titre, un extrait et un lien.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Christianisme / chrétien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Référence à la foi chrétienne qui inspire l’identité et les valeurs éducatives annoncées par l’école.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Communauté éducative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formé notamment par les élèves, familles, enseignants, personnels et responsables.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Communication institutionnelle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Informations officielles publiées au nom d’une organisation.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Confiance saine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Assurance équilibrée qui permet d’agir et de s’exprimer sans arrogance ni mépris d’autrui.</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Confidentialité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Protection des informations afin qu’elles ne soient accessibles qu’aux personnes autorisées.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Constitution du dossier</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Action de réunir, vérifier et transmettre les informations et pièces demandées.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Contact officiel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Canal reconnu par l’établissement pour recevoir ou transmettre une information institutionnelle.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Créativité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Capacité à imaginer, concevoir ou produire des idées et solutions nouvelles.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Date de publication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Jour auquel une actualité est rendue publique.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Discipline positive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Approche éducative qui fixe des règles claires tout en respectant la dignité et le développement de l’enfant.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Dossier</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structuré de renseignements et de documents relatifs à une demande.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Durée de lecture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Estimation du temps nécessaire pour lire un contenu.</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Décision éclairée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Choix réalisé après avoir reçu et compris les informations nécessaires.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EN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Abréviation courante de English, c’est-à-dire anglais.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Engagement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Promesse, responsabilité ou action assumée par une personne ou une institution.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Excellence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Recherche constante d’un travail de qualité et d’une progression continue.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Extrait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Court résumé présenté avant l’ouverture du contenu complet.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Famille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Communauté de l’établissement considérée dans une relation de proximité, de soutien et de responsabilité partagée.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FAQ</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Frequently Asked Questions ; en français, foire aux questions ou questions fréquentes.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Foi</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Confiance spirituelle et valeur chrétienne qui inspire l’action et le service.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Formation du caractère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Développement progressif des valeurs, attitudes et habitudes responsables.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FR</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Abréviation courante de français.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Galerie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Espace organisé présentant des photographies, vidéos ou autres contenus visuels.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GSE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Sigle de GROUPE SCOLAIRE LES ÉMINENTS.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Information claire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Information compréhensible, précise, accessible et dépourvue d’ambiguïté inutile.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Information publique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Information destinée à être diffusée à tous, sans caractère confidentiel.</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Inscription définitive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Étape par laquelle l’admission est finalisée après les contrôles et validations requis.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Intégrité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Fait de dire vrai, d’agir justement et de respecter ses engagements.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Kikongo ya Leta</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L’une des langues nationales de la République démocratique du Congo proposée dans le sélecteur linguistique.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Kiswahili</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L’une des langues nationales de la République démocratique du Congo proposée dans le sélecteur linguistique.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Langage simple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Façon d’expliquer une information avec des mots accessibles et une structure facile à comprendre.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Leadership</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Capacité à prendre des initiatives et à mobiliser les autres au service du bien commun.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Lecture estimée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Indication approximative du temps nécessaire pour parcourir un article.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Lingala</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L’une des langues nationales de la République démocratique du Congo proposée dans le sélecteur linguistique.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Lire la suite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Lien permettant d’ouvrir l’article complet à partir de son résumé.</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Maternelle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Cycle destiné aux jeunes enfants avant l’enseignement primaire.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Métadonnée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Information descriptive associée à un contenu, par exemple sa date ou sa durée de lecture.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Numérique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des outils, usages et compétences liés aux technologies informatiques.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Offre opérationnelle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Niveaux ou services réellement ouverts et disponibles à une période donnée.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Orientation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Aide apportée pour comprendre une démarche et identifier l’étape ou le service approprié.</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Parcours d’admission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Suite organisée des étapes allant de la prise d’information à l’inscription finalisée.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Partenaire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Personne ou organisation qui collabore avec l’école dans un objectif commun.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Pied de page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Zone inférieure d’une page web contenant généralement des liens, contacts et mentions institutionnelles.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Planifier</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Organiser à l’avance une action, une visite ou une démarche.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Primaire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Cycle d’enseignement qui développe les apprentissages fondamentaux après la Maternelle.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Procédure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Suite ordonnée d’étapes à respecter pour réaliser une démarche.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Programme officiel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Programme d’enseignement reconnu ou prescrit par l’autorité éducative compétente.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Progression bilingue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Développement graduel des compétences dans deux langues selon l’âge et le niveau.</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Projet éducatif</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cohérent des finalités, valeurs, programmes et méthodes d’un établissement.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Préinscription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Première manifestation d’intérêt d’une famille, préalable à l’étude et à la finalisation du dossier.</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Publication</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Contenu rendu accessible au public sur le site ou un autre canal officiel.</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RDC</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République démocratique du Congo.</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Redevabilité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Obligation d’expliquer ses actions, de rendre compte et d’assumer les responsabilités confiées.</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Rentrée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Période de reprise des activités scolaires au début d’une nouvelle année.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Responsable légal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Personne légalement autorisée à prendre des décisions pour l’enfant.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Règlement intérieur</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Document qui précise les règles de fonctionnement et de vie au sein de l’établissement.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Réseau social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Plateforme numérique utilisée pour diffuser des informations et interagir avec une communauté.</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Résumé</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Présentation condensée des idées principales d’un contenu.</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Santé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des mesures de prévention, de suivi et d’intervention relatives à la santé dans l’école.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Sciences</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Domaines d’apprentissage fondés sur l’observation, l’expérimentation et le raisonnement.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Service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Action utile accomplie au bénéfice d’une personne ou de la communauté.</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Service Admissions</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Unité chargée d’informer, accompagner et traiter les démarches d’entrée à l’école.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Site test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Version de travail ou de validation du site utilisée avant ou pendant sa mise au point.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Sous-menu</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Liste d’options rattachées à une entrée principale de navigation.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Sélecteur de langue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Outil permettant de choisir la langue d’affichage ou d’échange.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Tshiluba</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L’une des langues nationales de la République démocratique du Congo proposée dans le sélecteur linguistique.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Uniforme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Tenue officielle portée par les élèves selon les règles de l’établissement.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URL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Uniform Resource Locator ; adresse permettant d’accéder à une ressource sur internet.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Valeur institutionnelle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Principe de référence qui guide les comportements et décisions de l’organisation.</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Vie scolaire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Ensemble des règles, activités, relations et services qui structurent la vie quotidienne à l’école.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Visite du campus</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Rencontre planifiée permettant de découvrir les espaces et d’échanger avec l’établissement.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Visuel institutionnel</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Image conçue pour représenter l’identité, les activités ou le projet de l’établissement.</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WhatsApp</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Service de messagerie utilisé ici comme canal de contact avec l’école.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Éducation chrétienne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Éducation inspirée par la foi chrétienne, le service, l’intégrité et le respect de la personne.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Éducation intégrale</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Approche qui cherche à développer les dimensions intellectuelle, sociale, morale, physique et spirituelle.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ÉMINA</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Assistante institutionnelle du GROUPE SCOLAIRE LES ÉMINENTS, destinée à fournir des informations publiques et une orientation générale.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Épanouissement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Développement équilibré des capacités et du bien-être d’une personne.</w:t>
            </w:r>
          </w:p>
        </w:tc>
      </w:tr>
      <w:tr>
        <w:trPr/>
        <w:tc>
          <w:tcPr>
            <w:tcW w:w="5185"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b/>
                <w:color w:val="0B3D91"/>
                <w:kern w:val="0"/>
                <w:sz w:val="15"/>
                <w:szCs w:val="22"/>
                <w:lang w:val="en-US" w:eastAsia="en-US" w:bidi="ar-SA"/>
              </w:rPr>
              <w:t>Événement</w:t>
            </w:r>
          </w:p>
        </w:tc>
        <w:tc>
          <w:tcPr>
            <w:tcW w:w="5184"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eastAsia="ＭＳ 明朝" w:cs=""/>
                <w:kern w:val="0"/>
                <w:szCs w:val="22"/>
                <w:lang w:val="en-US" w:eastAsia="en-US" w:bidi="ar-SA"/>
              </w:rPr>
            </w:pPr>
            <w:r>
              <w:rPr>
                <w:rFonts w:eastAsia="ＭＳ 明朝" w:cs=""/>
                <w:kern w:val="0"/>
                <w:sz w:val="15"/>
                <w:szCs w:val="22"/>
                <w:lang w:val="en-US" w:eastAsia="en-US" w:bidi="ar-SA"/>
              </w:rPr>
              <w:t>Activité ou fait organisé à une date ou dans une période déterminée.</w:t>
            </w:r>
          </w:p>
        </w:tc>
      </w:tr>
    </w:tbl>
    <w:p>
      <w:pPr>
        <w:pStyle w:val="Normal"/>
        <w:rPr/>
      </w:pPr>
      <w:r>
        <w:rPr/>
      </w:r>
      <w:r>
        <w:br w:type="page"/>
      </w:r>
    </w:p>
    <w:p>
      <w:pPr>
        <w:pStyle w:val="Heading1"/>
        <w:spacing w:before="0" w:after="0"/>
        <w:rPr/>
      </w:pPr>
      <w:r>
        <w:rPr/>
        <w:t>RECOMMANDATIONS ÉDITORIALES ET FONCTIONNELLES</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Créer une galerie autonome : </w:t>
            </w:r>
            <w:r>
              <w:rPr>
                <w:color w:val="1F2937"/>
                <w:sz w:val="17"/>
              </w:rPr>
              <w:t>Ajouter une section ou un sous-menu clairement identifié pour les photos et vidéos, avec albums, catégories, légendes, dates et règles de consentement.</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Diversifier les visuels : </w:t>
            </w:r>
            <w:r>
              <w:rPr>
                <w:color w:val="1F2937"/>
                <w:sz w:val="17"/>
              </w:rPr>
              <w:t>Éviter d’utiliser la même image pour toutes les cartes ; associer à chaque article une illustration cohérente avec son sujet.</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Harmoniser le menu : </w:t>
            </w:r>
            <w:r>
              <w:rPr>
                <w:color w:val="1F2937"/>
                <w:sz w:val="17"/>
              </w:rPr>
              <w:t>Conserver partout le même intitulé « Actualités et galerie » et la même arborescence, y compris sur les anciennes pages ou modèles de pied de page.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Publier régulièrement : </w:t>
            </w:r>
            <w:r>
              <w:rPr>
                <w:color w:val="1F2937"/>
                <w:sz w:val="17"/>
              </w:rPr>
              <w:t>Alimenter la rubrique avec les événements, activités, étapes du chantier, rencontres, résultats et informations utiles afin que « La vie des Éminents » reste vivante.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Développer les articles : </w:t>
            </w:r>
            <w:r>
              <w:rPr>
                <w:color w:val="1F2937"/>
                <w:sz w:val="17"/>
              </w:rPr>
              <w:t>Ajouter aux articles des informations pratiques, liens contextuels, documents associés, auteurs ou services responsables et dates de mise à jour.</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Prévoir l’accessibilité : </w:t>
            </w:r>
            <w:r>
              <w:rPr>
                <w:color w:val="1F2937"/>
                <w:sz w:val="17"/>
              </w:rPr>
              <w:t>Rédiger des textes alternatifs précis pour les images et éviter que l’information essentielle soit portée uniquement par le visuel.</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Renforcer la traçabilité : </w:t>
            </w:r>
            <w:r>
              <w:rPr>
                <w:color w:val="1F2937"/>
                <w:sz w:val="17"/>
              </w:rPr>
              <w:t>Afficher la date de publication, la date de mise à jour et le service propriétaire de chaque actualité.</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Relier ÉMINA à la source : </w:t>
            </w:r>
            <w:r>
              <w:rPr>
                <w:color w:val="1F2937"/>
                <w:sz w:val="17"/>
              </w:rPr>
              <w:t>Faire répondre ÉMINA à partir du texte validé de chaque article et prévoir un lien vers la publication d’origine.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Traduire méthodiquement : </w:t>
            </w:r>
            <w:r>
              <w:rPr>
                <w:color w:val="1F2937"/>
                <w:sz w:val="17"/>
              </w:rPr>
              <w:t>Prévoir la disponibilité cohérente des actualités et légendes dans les six langues du site, avec validation humaine.</w:t>
            </w:r>
          </w:p>
        </w:tc>
      </w:tr>
      <w:tr>
        <w:trPr/>
        <w:tc>
          <w:tcPr>
            <w:tcW w:w="10370"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Archiver sans perdre : </w:t>
            </w:r>
            <w:r>
              <w:rPr>
                <w:color w:val="1F2937"/>
                <w:sz w:val="17"/>
              </w:rPr>
              <w:t>Mettre en place des filtres par année, thème et type de contenu pour conserver une mémoire institutionnelle exploitable.</w:t>
            </w:r>
          </w:p>
        </w:tc>
      </w:tr>
    </w:tbl>
    <w:p>
      <w:pPr>
        <w:pStyle w:val="Heading1"/>
        <w:rPr/>
      </w:pPr>
      <w:r>
        <w:rPr/>
        <w:t>SOURCES PUBLIQUES CONTRÔLÉES</w:t>
      </w:r>
    </w:p>
    <w:p>
      <w:pPr>
        <w:pStyle w:val="ListBullet"/>
        <w:numPr>
          <w:ilvl w:val="0"/>
          <w:numId w:val="1"/>
        </w:numPr>
        <w:rPr/>
      </w:pPr>
      <w:r>
        <w:rPr>
          <w:b/>
          <w:sz w:val="17"/>
        </w:rPr>
        <w:t xml:space="preserve">Page centrale « Actualités et galerie » : </w:t>
      </w:r>
      <w:r>
        <w:rPr>
          <w:color w:val="0B3D91"/>
          <w:sz w:val="17"/>
        </w:rPr>
        <w:t>https://test.gsleseminents.com/actualites-et-galerie/</w:t>
      </w:r>
    </w:p>
    <w:p>
      <w:pPr>
        <w:pStyle w:val="ListBullet"/>
        <w:numPr>
          <w:ilvl w:val="0"/>
          <w:numId w:val="1"/>
        </w:numPr>
        <w:rPr/>
      </w:pPr>
      <w:r>
        <w:rPr>
          <w:b/>
          <w:sz w:val="17"/>
        </w:rPr>
        <w:t xml:space="preserve">Article « Préparer la rentrée avec confiance » : </w:t>
      </w:r>
      <w:r>
        <w:rPr>
          <w:color w:val="0B3D91"/>
          <w:sz w:val="17"/>
        </w:rPr>
        <w:t>https://test.gsleseminents.com/preparer-rentree-avec-confiance/</w:t>
      </w:r>
    </w:p>
    <w:p>
      <w:pPr>
        <w:pStyle w:val="ListBullet"/>
        <w:numPr>
          <w:ilvl w:val="0"/>
          <w:numId w:val="1"/>
        </w:numPr>
        <w:rPr/>
      </w:pPr>
      <w:r>
        <w:rPr>
          <w:b/>
          <w:sz w:val="17"/>
        </w:rPr>
        <w:t xml:space="preserve">Article « Une école chrétienne bilingue tournée vers l’avenir » : </w:t>
      </w:r>
      <w:r>
        <w:rPr>
          <w:color w:val="0B3D91"/>
          <w:sz w:val="17"/>
        </w:rPr>
        <w:t>https://test.gsleseminents.com/ecole-chretienne-bilingue-tournee-vers-avenir/</w:t>
      </w:r>
    </w:p>
    <w:p>
      <w:pPr>
        <w:pStyle w:val="ListBullet"/>
        <w:numPr>
          <w:ilvl w:val="0"/>
          <w:numId w:val="1"/>
        </w:numPr>
        <w:rPr/>
      </w:pPr>
      <w:r>
        <w:rPr>
          <w:b/>
          <w:sz w:val="17"/>
        </w:rPr>
        <w:t xml:space="preserve">Article « Inscriptions 2026-2027 : les préinscriptions sont ouvertes » : </w:t>
      </w:r>
      <w:r>
        <w:rPr>
          <w:color w:val="0B3D91"/>
          <w:sz w:val="17"/>
        </w:rPr>
        <w:t>https://test.gsleseminents.com/inscriptions-2026-2027-ouvertes/</w:t>
      </w:r>
    </w:p>
    <w:p>
      <w:pPr>
        <w:pStyle w:val="Heading1"/>
        <w:rPr/>
      </w:pPr>
      <w:r>
        <w:rPr/>
        <w:t>CONCLUSION</w:t>
      </w:r>
    </w:p>
    <w:tbl>
      <w:tblPr>
        <w:tblW w:w="1037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370"/>
      </w:tblGrid>
      <w:tr>
        <w:trPr/>
        <w:tc>
          <w:tcPr>
            <w:tcW w:w="10370"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Synthèse finale : </w:t>
            </w:r>
            <w:r>
              <w:rPr>
                <w:color w:val="1F2937"/>
                <w:sz w:val="17"/>
              </w:rPr>
              <w:t>Le menu « Actualités et galerie » présente actuellement une page centrale et trois articles, sans sous-menu visible ni galerie autonome. La présente banque comprend 40 fiches, 400 questions-réponses et 94 définitions. Elle peut servir à la FAQ, à la formation du personnel, à la communication, à la traduction et à la base de connaissances d’ÉMINA.</w:t>
            </w:r>
          </w:p>
        </w:tc>
      </w:tr>
    </w:tbl>
    <w:p>
      <w:pPr>
        <w:pStyle w:val="Normal"/>
        <w:spacing w:before="240" w:after="200"/>
        <w:jc w:val="center"/>
        <w:rPr/>
      </w:pPr>
      <w:r>
        <w:rPr>
          <w:b/>
          <w:color w:val="D4A017"/>
          <w:sz w:val="22"/>
        </w:rPr>
        <w:t>FIN DU DOCUMENT</w:t>
      </w:r>
    </w:p>
    <w:p>
      <w:pPr>
        <w:pStyle w:val="Normal"/>
        <w:rPr/>
      </w:pPr>
      <w:r>
        <w:rPr/>
      </w:r>
      <w:r>
        <w:br w:type="page"/>
      </w:r>
    </w:p>
    <w:p>
      <w:pPr>
        <w:pStyle w:val="Normal"/>
        <w:rPr/>
      </w:pPr>
      <w:r>
        <w:rPr/>
      </w:r>
    </w:p>
    <w:p>
      <w:pPr>
        <w:pStyle w:val="Normal"/>
        <w:jc w:val="center"/>
        <w:rPr/>
      </w:pPr>
      <w:r>
        <w:rPr/>
        <w:drawing>
          <wp:inline distT="0" distB="0" distL="0" distR="0">
            <wp:extent cx="1800225" cy="1616075"/>
            <wp:effectExtent l="0" t="0" r="0" b="0"/>
            <wp:docPr id="25"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 descr="" title=""/>
                    <pic:cNvPicPr>
                      <a:picLocks noChangeAspect="1" noChangeArrowheads="1"/>
                    </pic:cNvPicPr>
                  </pic:nvPicPr>
                  <pic:blipFill>
                    <a:blip r:embed="rId53"/>
                    <a:stretch>
                      <a:fillRect/>
                    </a:stretch>
                  </pic:blipFill>
                  <pic:spPr bwMode="auto">
                    <a:xfrm>
                      <a:off x="0" y="0"/>
                      <a:ext cx="1800225" cy="1616075"/>
                    </a:xfrm>
                    <a:prstGeom prst="rect">
                      <a:avLst/>
                    </a:prstGeom>
                    <a:noFill/>
                  </pic:spPr>
                </pic:pic>
              </a:graphicData>
            </a:graphic>
          </wp:inline>
        </w:drawing>
      </w:r>
    </w:p>
    <w:p>
      <w:pPr>
        <w:pStyle w:val="Normal"/>
        <w:spacing w:before="160" w:after="40"/>
        <w:jc w:val="center"/>
        <w:rPr/>
      </w:pPr>
      <w:r>
        <w:rPr>
          <w:b/>
          <w:color w:val="0B3D91"/>
          <w:sz w:val="48"/>
        </w:rPr>
        <w:t>GROUPE SCOLAIRE</w:t>
        <w:br/>
        <w:t>LES ÉMINENTS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3494"/>
        <w:gridCol w:w="3495"/>
        <w:gridCol w:w="3494"/>
      </w:tblGrid>
      <w:tr>
        <w:trPr/>
        <w:tc>
          <w:tcPr>
            <w:tcW w:w="3494" w:type="dxa"/>
            <w:tcBorders>
              <w:top w:val="single" w:sz="6" w:space="0" w:color="0B3D91"/>
              <w:start w:val="single" w:sz="6" w:space="0" w:color="0B3D91"/>
              <w:bottom w:val="single" w:sz="6" w:space="0" w:color="0B3D91"/>
              <w:end w:val="single" w:sz="6" w:space="0" w:color="0B3D91"/>
            </w:tcBorders>
            <w:shd w:fill="0B3D91"/>
          </w:tcPr>
          <w:p>
            <w:pPr>
              <w:pStyle w:val="Normal"/>
              <w:spacing w:before="0" w:after="80"/>
              <w:rPr/>
            </w:pPr>
            <w:r>
              <w:rPr/>
            </w:r>
          </w:p>
        </w:tc>
        <w:tc>
          <w:tcPr>
            <w:tcW w:w="3495" w:type="dxa"/>
            <w:tcBorders>
              <w:top w:val="single" w:sz="6" w:space="0" w:color="D4A017"/>
              <w:start w:val="single" w:sz="6" w:space="0" w:color="D4A017"/>
              <w:bottom w:val="single" w:sz="6" w:space="0" w:color="D4A017"/>
              <w:end w:val="single" w:sz="6" w:space="0" w:color="D4A017"/>
            </w:tcBorders>
            <w:shd w:fill="D4A017"/>
          </w:tcPr>
          <w:p>
            <w:pPr>
              <w:pStyle w:val="Normal"/>
              <w:spacing w:before="0" w:after="80"/>
              <w:rPr/>
            </w:pPr>
            <w:r>
              <w:rPr/>
            </w:r>
          </w:p>
        </w:tc>
        <w:tc>
          <w:tcPr>
            <w:tcW w:w="3494" w:type="dxa"/>
            <w:tcBorders>
              <w:top w:val="single" w:sz="6" w:space="0" w:color="0B3D91"/>
              <w:start w:val="single" w:sz="6" w:space="0" w:color="0B3D91"/>
              <w:bottom w:val="single" w:sz="6" w:space="0" w:color="0B3D91"/>
              <w:end w:val="single" w:sz="6" w:space="0" w:color="0B3D91"/>
            </w:tcBorders>
            <w:shd w:fill="0B3D91"/>
          </w:tcPr>
          <w:p>
            <w:pPr>
              <w:pStyle w:val="Normal"/>
              <w:spacing w:before="0" w:after="80"/>
              <w:rPr/>
            </w:pPr>
            <w:r>
              <w:rPr/>
            </w:r>
          </w:p>
        </w:tc>
      </w:tr>
    </w:tbl>
    <w:p>
      <w:pPr>
        <w:pStyle w:val="Normal"/>
        <w:spacing w:before="320" w:after="40"/>
        <w:jc w:val="center"/>
        <w:rPr/>
      </w:pPr>
      <w:r>
        <w:rPr>
          <w:b/>
          <w:color w:val="0B3D91"/>
          <w:sz w:val="36"/>
        </w:rPr>
        <w:t>RELEVÉ EXHAUSTIF ET BANQUE DE QUESTIONS</w:t>
      </w:r>
    </w:p>
    <w:p>
      <w:pPr>
        <w:pStyle w:val="Normal"/>
        <w:jc w:val="center"/>
        <w:rPr/>
      </w:pPr>
      <w:r>
        <w:rPr>
          <w:b/>
          <w:color w:val="D4A017"/>
          <w:sz w:val="38"/>
        </w:rPr>
        <w:t>MENU « CONTACT » ET ÉLÉMENTS ASSOCIÉS</w:t>
      </w:r>
    </w:p>
    <w:p>
      <w:pPr>
        <w:pStyle w:val="Normal"/>
        <w:spacing w:before="100" w:after="40"/>
        <w:jc w:val="center"/>
        <w:rPr/>
      </w:pPr>
      <w:r>
        <w:rPr>
          <w:i/>
          <w:color w:val="1F2937"/>
          <w:sz w:val="21"/>
        </w:rPr>
        <w:t>Inventaire des contenus publiés, 450 questions-réponses, analyse institutionnelle et glossaire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8"/>
              </w:rPr>
              <w:t xml:space="preserve">Périmètre : </w:t>
            </w:r>
            <w:r>
              <w:rPr>
                <w:color w:val="1F2937"/>
                <w:sz w:val="18"/>
              </w:rPr>
              <w:t>Menu « Contact » du site test.gsleseminents.com, page « Contact et visite de l’école », formulaire, coordonnées officielles, visite, assistance, ÉMINA et confidentialité.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8"/>
              </w:rPr>
              <w:t xml:space="preserve">Constat de structure : </w:t>
            </w:r>
            <w:r>
              <w:rPr>
                <w:color w:val="1F2937"/>
                <w:sz w:val="18"/>
              </w:rPr>
              <w:t>Aucun sous-menu enfant n’est visible sous « Contact » dans la navigation inspectée. Les fonctions sont regroupées sur une page unique.</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8"/>
              </w:rPr>
              <w:t xml:space="preserve">Alerte prioritaire : </w:t>
            </w:r>
            <w:r>
              <w:rPr>
                <w:color w:val="1F2937"/>
                <w:sz w:val="18"/>
              </w:rPr>
              <w:t>Le corps principal contient encore une adresse américaine, un numéro +01 et mail@example.com. Ces données de démonstration doivent être remplacées par les coordonnées officielles du GSE.</w:t>
            </w:r>
          </w:p>
        </w:tc>
      </w:tr>
    </w:tbl>
    <w:p>
      <w:pPr>
        <w:pStyle w:val="Normal"/>
        <w:spacing w:before="280" w:after="40"/>
        <w:jc w:val="center"/>
        <w:rPr/>
      </w:pPr>
      <w:r>
        <w:rPr>
          <w:b/>
          <w:color w:val="0B3D91"/>
          <w:sz w:val="20"/>
        </w:rPr>
        <w:t>Relevé effectué le 2 juillet 2026</w:t>
      </w:r>
    </w:p>
    <w:p>
      <w:pPr>
        <w:pStyle w:val="Normal"/>
        <w:jc w:val="center"/>
        <w:rPr/>
      </w:pPr>
      <w:r>
        <w:rPr>
          <w:color w:val="0B3D91"/>
          <w:sz w:val="19"/>
          <w:u w:val="single"/>
        </w:rPr>
        <w:t>https://test.gsleseminents.com/contact/</w:t>
      </w:r>
    </w:p>
    <w:p>
      <w:pPr>
        <w:pStyle w:val="Normal"/>
        <w:rPr/>
      </w:pPr>
      <w:r>
        <w:rPr/>
      </w:r>
      <w:r>
        <w:br w:type="page"/>
      </w:r>
    </w:p>
    <w:p>
      <w:pPr>
        <w:pStyle w:val="Heading1"/>
        <w:spacing w:before="0" w:after="0"/>
        <w:rPr/>
      </w:pPr>
      <w:r>
        <w:rPr/>
        <w:t>1. Objet, méthode et périmètre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Objet : </w:t>
            </w:r>
            <w:r>
              <w:rPr>
                <w:color w:val="1F2937"/>
                <w:sz w:val="17"/>
              </w:rPr>
              <w:t>Relever tous les points développés dans le menu Contact, produire pour chaque titre ou section au moins dix questions avec réponses fondées sur le texte publié, puis expliquer la raison, l’importance et les liens institutionnels.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Méthode : </w:t>
            </w:r>
            <w:r>
              <w:rPr>
                <w:color w:val="1F2937"/>
                <w:sz w:val="17"/>
              </w:rPr>
              <w:t>Inspection directe de la navigation, de la page Contact, du pied de page, des liens de préinscription, de l’Espace Parents et de la Politique de confidentialité. Les données publiées sont distinguées des références institutionnelles validées et des éléments de démonstration.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Date de contrôle : </w:t>
            </w:r>
            <w:r>
              <w:rPr>
                <w:color w:val="1F2937"/>
                <w:sz w:val="17"/>
              </w:rPr>
              <w:t>2 juillet 2026</w:t>
            </w:r>
          </w:p>
        </w:tc>
      </w:tr>
    </w:tbl>
    <w:p>
      <w:pPr>
        <w:pStyle w:val="Normal"/>
        <w:rPr/>
      </w:pPr>
      <w:r>
        <w:rPr>
          <w:b/>
          <w:color w:val="0B3D91"/>
          <w:sz w:val="20"/>
        </w:rPr>
        <w:t>Pages contrôlées</w:t>
      </w:r>
    </w:p>
    <w:p>
      <w:pPr>
        <w:pStyle w:val="ListBullet"/>
        <w:numPr>
          <w:ilvl w:val="0"/>
          <w:numId w:val="1"/>
        </w:numPr>
        <w:spacing w:before="0" w:after="20"/>
        <w:ind w:hanging="360" w:start="255"/>
        <w:contextualSpacing/>
        <w:rPr/>
      </w:pPr>
      <w:r>
        <w:rPr>
          <w:sz w:val="17"/>
        </w:rPr>
        <w:t>https://test.gsleseminents.com/</w:t>
      </w:r>
    </w:p>
    <w:p>
      <w:pPr>
        <w:pStyle w:val="ListBullet"/>
        <w:numPr>
          <w:ilvl w:val="0"/>
          <w:numId w:val="1"/>
        </w:numPr>
        <w:spacing w:before="0" w:after="20"/>
        <w:ind w:hanging="360" w:start="255"/>
        <w:contextualSpacing/>
        <w:rPr/>
      </w:pPr>
      <w:r>
        <w:rPr>
          <w:sz w:val="17"/>
        </w:rPr>
        <w:t>https://test.gsleseminents.com/contact/</w:t>
      </w:r>
    </w:p>
    <w:p>
      <w:pPr>
        <w:pStyle w:val="ListBullet"/>
        <w:numPr>
          <w:ilvl w:val="0"/>
          <w:numId w:val="1"/>
        </w:numPr>
        <w:spacing w:before="0" w:after="20"/>
        <w:ind w:hanging="360" w:start="255"/>
        <w:contextualSpacing/>
        <w:rPr/>
      </w:pPr>
      <w:r>
        <w:rPr>
          <w:sz w:val="17"/>
        </w:rPr>
        <w:t>https://test.gsleseminents.com/preinscription/</w:t>
      </w:r>
    </w:p>
    <w:p>
      <w:pPr>
        <w:pStyle w:val="ListBullet"/>
        <w:numPr>
          <w:ilvl w:val="0"/>
          <w:numId w:val="1"/>
        </w:numPr>
        <w:spacing w:before="0" w:after="20"/>
        <w:ind w:hanging="360" w:start="255"/>
        <w:contextualSpacing/>
        <w:rPr/>
      </w:pPr>
      <w:r>
        <w:rPr>
          <w:sz w:val="17"/>
        </w:rPr>
        <w:t>https://test.gsleseminents.com/espace-parents/</w:t>
      </w:r>
    </w:p>
    <w:p>
      <w:pPr>
        <w:pStyle w:val="ListBullet"/>
        <w:numPr>
          <w:ilvl w:val="0"/>
          <w:numId w:val="1"/>
        </w:numPr>
        <w:spacing w:before="0" w:after="20"/>
        <w:ind w:hanging="360" w:start="255"/>
        <w:contextualSpacing/>
        <w:rPr/>
      </w:pPr>
      <w:r>
        <w:rPr>
          <w:sz w:val="17"/>
        </w:rPr>
        <w:t>https://test.gsleseminents.com/politique-de-confidentialite/</w:t>
      </w:r>
    </w:p>
    <w:p>
      <w:pPr>
        <w:pStyle w:val="ListBullet"/>
        <w:numPr>
          <w:ilvl w:val="0"/>
          <w:numId w:val="1"/>
        </w:numPr>
        <w:spacing w:before="0" w:after="20"/>
        <w:ind w:hanging="360" w:start="255"/>
        <w:contextualSpacing/>
        <w:rPr/>
      </w:pPr>
      <w:r>
        <w:rPr>
          <w:sz w:val="17"/>
        </w:rPr>
        <w:t>https://wa.me/243992818280</w:t>
      </w:r>
    </w:p>
    <w:p>
      <w:pPr>
        <w:pStyle w:val="Heading1"/>
        <w:rPr/>
      </w:pPr>
      <w:r>
        <w:rPr/>
        <w:t>2. Synthèse exécutive</w:t>
      </w:r>
    </w:p>
    <w:tbl>
      <w:tblPr>
        <w:tblStyle w:val="TableGrid"/>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blHeader w:val="true"/>
        </w:trPr>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7"/>
                <w:szCs w:val="22"/>
                <w:lang w:val="en-US" w:eastAsia="en-US" w:bidi="ar-SA"/>
              </w:rPr>
              <w:t>Élément</w:t>
            </w:r>
          </w:p>
        </w:tc>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7"/>
                <w:szCs w:val="22"/>
                <w:lang w:val="en-US" w:eastAsia="en-US" w:bidi="ar-SA"/>
              </w:rPr>
              <w:t>Constat</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Structure du menu</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 Contact » est une entrée autonome sans sous-menu visible.</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Titre de page</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 Contact et visite de l’école ».</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Fonctions annoncées</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Coordonnées, localisation, demande d’information et planification d’une visite.</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Formulaire</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Bloc anglais « Contact Us » avec Name, Email, Subject, Message et Submit.</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Anomalies critiques</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Adresse américaine de démonstration, numéro +01 et mail@example.com.</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Coordonnées correctes visibles</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Adresse à Labotte/Bukavu, numéros +243 992 818 280 et +243 997 712 645, e-mail promotion@gsleseminents.com, WhatsApp.</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Coordonnée à harmoniser</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+243 817 792 448 est officiel et visible ailleurs, mais absent du bloc Contact inspecté.</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Assistance</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La page relie contact humain, préinscription, Espace Parents et ÉMINA.</w:t>
            </w:r>
          </w:p>
        </w:tc>
      </w:tr>
      <w:tr>
        <w:trPr/>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Protection</w:t>
            </w:r>
          </w:p>
        </w:tc>
        <w:tc>
          <w:tcPr>
            <w:tcW w:w="5241" w:type="dxa"/>
            <w:tcBorders>
              <w:top w:val="single" w:sz="4" w:space="0" w:color="D7DEE8"/>
              <w:start w:val="single" w:sz="4" w:space="0" w:color="D7DEE8"/>
              <w:bottom w:val="single" w:sz="4" w:space="0" w:color="D7DEE8"/>
              <w:end w:val="single" w:sz="4" w:space="0" w:color="D7DEE8"/>
            </w:tcBorders>
            <w:vAlign w:val="center"/>
          </w:tcPr>
          <w:p>
            <w:pPr>
              <w:pStyle w:val="Normal"/>
              <w:spacing w:lineRule="auto" w:line="240" w:before="0" w:after="80"/>
              <w:rPr>
                <w:rFonts w:cs=""/>
                <w:kern w:val="0"/>
                <w:szCs w:val="22"/>
                <w:lang w:val="en-US" w:eastAsia="en-US" w:bidi="ar-SA"/>
              </w:rPr>
            </w:pPr>
            <w:r>
              <w:rPr>
                <w:rFonts w:cs=""/>
                <w:kern w:val="0"/>
                <w:sz w:val="16"/>
                <w:szCs w:val="22"/>
                <w:lang w:val="en-US" w:eastAsia="en-US" w:bidi="ar-SA"/>
              </w:rPr>
              <w:t>Le site rappelle de ne pas transmettre de données sensibles dans les outils publics.</w:t>
            </w:r>
          </w:p>
        </w:tc>
      </w:tr>
    </w:tbl>
    <w:p>
      <w:pPr>
        <w:pStyle w:val="Heading1"/>
        <w:rPr/>
      </w:pPr>
      <w:r>
        <w:rPr/>
        <w:t>3. Arborescence relevée</w:t>
      </w:r>
    </w:p>
    <w:p>
      <w:pPr>
        <w:pStyle w:val="ListBullet"/>
        <w:numPr>
          <w:ilvl w:val="0"/>
          <w:numId w:val="1"/>
        </w:numPr>
        <w:spacing w:before="0" w:after="20"/>
        <w:ind w:hanging="360" w:start="255"/>
        <w:contextualSpacing/>
        <w:rPr/>
      </w:pPr>
      <w:r>
        <w:rPr>
          <w:sz w:val="17"/>
        </w:rPr>
        <w:t>Contact</w:t>
      </w:r>
    </w:p>
    <w:p>
      <w:pPr>
        <w:pStyle w:val="ListBullet2"/>
        <w:numPr>
          <w:ilvl w:val="0"/>
          <w:numId w:val="2"/>
        </w:numPr>
        <w:spacing w:before="0" w:after="20"/>
        <w:ind w:hanging="360" w:start="454"/>
        <w:contextualSpacing/>
        <w:rPr/>
      </w:pPr>
      <w:r>
        <w:rPr>
          <w:sz w:val="17"/>
        </w:rPr>
        <w:t>Aucun sous-menu visible</w:t>
      </w:r>
    </w:p>
    <w:p>
      <w:pPr>
        <w:pStyle w:val="ListBullet2"/>
        <w:numPr>
          <w:ilvl w:val="0"/>
          <w:numId w:val="2"/>
        </w:numPr>
        <w:spacing w:before="0" w:after="20"/>
        <w:ind w:hanging="360" w:start="454"/>
        <w:contextualSpacing/>
        <w:rPr/>
      </w:pPr>
      <w:r>
        <w:rPr>
          <w:sz w:val="17"/>
        </w:rPr>
        <w:t>Page : Contact et visite de l’école</w:t>
      </w:r>
    </w:p>
    <w:p>
      <w:pPr>
        <w:pStyle w:val="ListBullet2"/>
        <w:numPr>
          <w:ilvl w:val="0"/>
          <w:numId w:val="2"/>
        </w:numPr>
        <w:spacing w:before="0" w:after="20"/>
        <w:ind w:hanging="360" w:start="454"/>
        <w:contextualSpacing/>
        <w:rPr/>
      </w:pPr>
      <w:r>
        <w:rPr>
          <w:sz w:val="17"/>
        </w:rPr>
        <w:t>Sections : introduction, accueil, Contact Us, Address, Phone, Email, Send Us a Message, formulaire</w:t>
      </w:r>
    </w:p>
    <w:p>
      <w:pPr>
        <w:pStyle w:val="ListBullet2"/>
        <w:numPr>
          <w:ilvl w:val="0"/>
          <w:numId w:val="2"/>
        </w:numPr>
        <w:spacing w:before="0" w:after="20"/>
        <w:ind w:hanging="360" w:start="454"/>
        <w:contextualSpacing/>
        <w:rPr/>
      </w:pPr>
      <w:r>
        <w:rPr>
          <w:sz w:val="17"/>
        </w:rPr>
        <w:t>Éléments associés : Nous contacter, Planifier une visite, Assistance, Espace Parents, Préinscription, ÉMINA, Confidentialité</w:t>
      </w:r>
    </w:p>
    <w:p>
      <w:pPr>
        <w:pStyle w:val="Normal"/>
        <w:rPr/>
      </w:pPr>
      <w:r>
        <w:rPr/>
      </w:r>
      <w:r>
        <w:br w:type="page"/>
      </w:r>
    </w:p>
    <w:p>
      <w:pPr>
        <w:pStyle w:val="Normal"/>
        <w:spacing w:before="0" w:after="40"/>
        <w:jc w:val="center"/>
        <w:rPr/>
      </w:pPr>
      <w:r>
        <w:rPr>
          <w:b/>
          <w:color w:val="0B3D91"/>
          <w:sz w:val="34"/>
        </w:rPr>
        <w:t>PARTIE I — ARCHITECTURE DU MENU ET IDENTITÉ DE LA PAGE</w:t>
      </w:r>
    </w:p>
    <w:p>
      <w:pPr>
        <w:pStyle w:val="Normal"/>
        <w:jc w:val="center"/>
        <w:rPr/>
      </w:pPr>
      <w:r>
        <w:rPr>
          <w:i/>
          <w:color w:val="D4A017"/>
          <w:sz w:val="20"/>
        </w:rPr>
        <w:t>Fiches thématiques et questions-réponses de référence</w:t>
      </w:r>
    </w:p>
    <w:p>
      <w:pPr>
        <w:pStyle w:val="Normal"/>
        <w:rPr/>
      </w:pPr>
      <w:r>
        <w:rPr/>
      </w:r>
      <w:r>
        <w:br w:type="page"/>
      </w:r>
    </w:p>
    <w:p>
      <w:pPr>
        <w:pStyle w:val="Heading1"/>
        <w:spacing w:before="0" w:after="100"/>
        <w:rPr/>
      </w:pPr>
      <w:r>
        <w:rPr/>
        <w:t>Fiche 01 — Menu principal « Contact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menu principal du site comporte une entrée de premier niveau intitulée « Contact », placée après « Actualités et galerie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Entrée active et publiquement accessible.</w:t>
            </w:r>
          </w:p>
        </w:tc>
      </w:tr>
    </w:tbl>
    <w:p>
      <w:pPr>
        <w:pStyle w:val="Normal"/>
        <w:spacing w:before="20" w:after="80"/>
        <w:rPr/>
      </w:pPr>
      <w:r>
        <w:rPr>
          <w:b/>
          <w:color w:val="0B3D91"/>
          <w:sz w:val="15"/>
        </w:rPr>
        <w:t xml:space="preserve">Source contrôlée : </w:t>
      </w:r>
      <w:r>
        <w:rPr>
          <w:color w:val="555555"/>
          <w:sz w:val="15"/>
        </w:rPr>
        <w:t>Navigation principale — https://test.gsleseminents.com/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Entrée de premier niveau</w:t>
      </w:r>
    </w:p>
    <w:p>
      <w:pPr>
        <w:pStyle w:val="ListBullet"/>
        <w:numPr>
          <w:ilvl w:val="0"/>
          <w:numId w:val="1"/>
        </w:numPr>
        <w:spacing w:before="0" w:after="20"/>
        <w:ind w:hanging="360" w:start="255"/>
        <w:contextualSpacing/>
        <w:rPr/>
      </w:pPr>
      <w:r>
        <w:rPr>
          <w:sz w:val="17"/>
        </w:rPr>
        <w:t>Lien visible dans le menu</w:t>
      </w:r>
    </w:p>
    <w:p>
      <w:pPr>
        <w:pStyle w:val="ListBullet"/>
        <w:numPr>
          <w:ilvl w:val="0"/>
          <w:numId w:val="1"/>
        </w:numPr>
        <w:spacing w:before="0" w:after="20"/>
        <w:ind w:hanging="360" w:start="255"/>
        <w:contextualSpacing/>
        <w:rPr/>
      </w:pPr>
      <w:r>
        <w:rPr>
          <w:sz w:val="17"/>
        </w:rPr>
        <w:t>Lien repris dans le pied de page</w:t>
      </w:r>
    </w:p>
    <w:p>
      <w:pPr>
        <w:pStyle w:val="ListBullet"/>
        <w:numPr>
          <w:ilvl w:val="0"/>
          <w:numId w:val="1"/>
        </w:numPr>
        <w:spacing w:before="0" w:after="20"/>
        <w:ind w:hanging="360" w:start="255"/>
        <w:contextualSpacing/>
        <w:rPr/>
      </w:pPr>
      <w:r>
        <w:rPr>
          <w:sz w:val="17"/>
        </w:rPr>
        <w:t>Accès direct à la page Contact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est simple, universel et immédiatement compréhensible par tout visiteur.</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rend l’établissement joignable et soutient la confiance, les admissions et les relations institutionnelles.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Préinscription, Espace Parents, ÉMINA, Confidentialité et Actualités.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Menu principal « Contact » » ?</w:t>
      </w:r>
    </w:p>
    <w:p>
      <w:pPr>
        <w:pStyle w:val="Normal"/>
        <w:spacing w:before="0" w:after="30"/>
        <w:ind w:start="227"/>
        <w:rPr/>
      </w:pPr>
      <w:r>
        <w:rPr>
          <w:b/>
          <w:color w:val="D4A017"/>
          <w:sz w:val="16"/>
        </w:rPr>
        <w:t xml:space="preserve">Réponse : </w:t>
      </w:r>
      <w:r>
        <w:rPr>
          <w:color w:val="1F2937"/>
          <w:sz w:val="16"/>
        </w:rPr>
        <w:t>Le menu principal du site comporte une entrée de premier niveau intitulée « Contact », placée après « Actualités et galerie ».</w:t>
      </w:r>
    </w:p>
    <w:p>
      <w:pPr>
        <w:pStyle w:val="Normal"/>
        <w:keepNext w:val="true"/>
        <w:keepLines/>
        <w:spacing w:before="30" w:after="0"/>
        <w:ind w:start="28"/>
        <w:rPr/>
      </w:pPr>
      <w:r>
        <w:rPr>
          <w:b/>
          <w:color w:val="0B3D91"/>
          <w:sz w:val="16"/>
        </w:rPr>
        <w:t>Q2. Quelle est l’idée centrale développée sous « Menu principal « Contact » » ?</w:t>
      </w:r>
    </w:p>
    <w:p>
      <w:pPr>
        <w:pStyle w:val="Normal"/>
        <w:spacing w:before="0" w:after="30"/>
        <w:ind w:start="227"/>
        <w:rPr/>
      </w:pPr>
      <w:r>
        <w:rPr>
          <w:b/>
          <w:color w:val="D4A017"/>
          <w:sz w:val="16"/>
        </w:rPr>
        <w:t xml:space="preserve">Réponse : </w:t>
      </w:r>
      <w:r>
        <w:rPr>
          <w:color w:val="1F2937"/>
          <w:sz w:val="16"/>
        </w:rPr>
        <w:t>Cette entrée donne accès à la page publique de contact et de visite de l’école.</w:t>
      </w:r>
    </w:p>
    <w:p>
      <w:pPr>
        <w:pStyle w:val="Normal"/>
        <w:keepNext w:val="true"/>
        <w:keepLines/>
        <w:spacing w:before="30" w:after="0"/>
        <w:ind w:start="28"/>
        <w:rPr/>
      </w:pPr>
      <w:r>
        <w:rPr>
          <w:b/>
          <w:color w:val="0B3D91"/>
          <w:sz w:val="16"/>
        </w:rPr>
        <w:t>Q3. Quels éléments précis sont associés à « Menu principal « Contact » » ?</w:t>
      </w:r>
    </w:p>
    <w:p>
      <w:pPr>
        <w:pStyle w:val="Normal"/>
        <w:spacing w:before="0" w:after="30"/>
        <w:ind w:start="227"/>
        <w:rPr/>
      </w:pPr>
      <w:r>
        <w:rPr>
          <w:b/>
          <w:color w:val="D4A017"/>
          <w:sz w:val="16"/>
        </w:rPr>
        <w:t xml:space="preserve">Réponse : </w:t>
      </w:r>
      <w:r>
        <w:rPr>
          <w:color w:val="1F2937"/>
          <w:sz w:val="16"/>
        </w:rPr>
        <w:t>Un lien principal « Contact » dans la barre de navigation, également repris dans le pied de page.</w:t>
      </w:r>
    </w:p>
    <w:p>
      <w:pPr>
        <w:pStyle w:val="Normal"/>
        <w:keepNext w:val="true"/>
        <w:keepLines/>
        <w:spacing w:before="30" w:after="0"/>
        <w:ind w:start="28"/>
        <w:rPr/>
      </w:pPr>
      <w:r>
        <w:rPr>
          <w:b/>
          <w:color w:val="0B3D91"/>
          <w:sz w:val="16"/>
        </w:rPr>
        <w:t>Q4. Où « Menu principal « Contact » » apparaît-il dans le parcours de la page Contact ?</w:t>
      </w:r>
    </w:p>
    <w:p>
      <w:pPr>
        <w:pStyle w:val="Normal"/>
        <w:spacing w:before="0" w:after="30"/>
        <w:ind w:start="227"/>
        <w:rPr/>
      </w:pPr>
      <w:r>
        <w:rPr>
          <w:b/>
          <w:color w:val="D4A017"/>
          <w:sz w:val="16"/>
        </w:rPr>
        <w:t xml:space="preserve">Réponse : </w:t>
      </w:r>
      <w:r>
        <w:rPr>
          <w:color w:val="1F2937"/>
          <w:sz w:val="16"/>
        </w:rPr>
        <w:t>Dans la navigation principale du site et dans le bloc « Navigation » du pied de page.</w:t>
      </w:r>
    </w:p>
    <w:p>
      <w:pPr>
        <w:pStyle w:val="Normal"/>
        <w:keepNext w:val="true"/>
        <w:keepLines/>
        <w:spacing w:before="30" w:after="0"/>
        <w:ind w:start="28"/>
        <w:rPr/>
      </w:pPr>
      <w:r>
        <w:rPr>
          <w:b/>
          <w:color w:val="0B3D91"/>
          <w:sz w:val="16"/>
        </w:rPr>
        <w:t>Q5. À quel public « Menu principal « Contact » » s’adresse-t-il ?</w:t>
      </w:r>
    </w:p>
    <w:p>
      <w:pPr>
        <w:pStyle w:val="Normal"/>
        <w:spacing w:before="0" w:after="30"/>
        <w:ind w:start="227"/>
        <w:rPr/>
      </w:pPr>
      <w:r>
        <w:rPr>
          <w:b/>
          <w:color w:val="D4A017"/>
          <w:sz w:val="16"/>
        </w:rPr>
        <w:t xml:space="preserve">Réponse : </w:t>
      </w:r>
      <w:r>
        <w:rPr>
          <w:color w:val="1F2937"/>
          <w:sz w:val="16"/>
        </w:rPr>
        <w:t>Familles, visiteurs, partenaires, candidats, parents d’élèves et membres de la communauté éducative.</w:t>
      </w:r>
    </w:p>
    <w:p>
      <w:pPr>
        <w:pStyle w:val="Normal"/>
        <w:keepNext w:val="true"/>
        <w:keepLines/>
        <w:spacing w:before="30" w:after="0"/>
        <w:ind w:start="28"/>
        <w:rPr/>
      </w:pPr>
      <w:r>
        <w:rPr>
          <w:b/>
          <w:color w:val="0B3D91"/>
          <w:sz w:val="16"/>
        </w:rPr>
        <w:t>Q6. Quelle action le visiteur peut-il accomplir à partir de « Menu principal « Contact » » ?</w:t>
      </w:r>
    </w:p>
    <w:p>
      <w:pPr>
        <w:pStyle w:val="Normal"/>
        <w:spacing w:before="0" w:after="30"/>
        <w:ind w:start="227"/>
        <w:rPr/>
      </w:pPr>
      <w:r>
        <w:rPr>
          <w:b/>
          <w:color w:val="D4A017"/>
          <w:sz w:val="16"/>
        </w:rPr>
        <w:t xml:space="preserve">Réponse : </w:t>
      </w:r>
      <w:r>
        <w:rPr>
          <w:color w:val="1F2937"/>
          <w:sz w:val="16"/>
        </w:rPr>
        <w:t>Ouvrir la page de contact, demander une information ou préparer une visite.</w:t>
      </w:r>
    </w:p>
    <w:p>
      <w:pPr>
        <w:pStyle w:val="Normal"/>
        <w:keepNext w:val="true"/>
        <w:keepLines/>
        <w:spacing w:before="30" w:after="0"/>
        <w:ind w:start="28"/>
        <w:rPr/>
      </w:pPr>
      <w:r>
        <w:rPr>
          <w:b/>
          <w:color w:val="0B3D91"/>
          <w:sz w:val="16"/>
        </w:rPr>
        <w:t>Q7. Quel canal ou moyen de contact est lié à « Menu principal « Contact » » ?</w:t>
      </w:r>
    </w:p>
    <w:p>
      <w:pPr>
        <w:pStyle w:val="Normal"/>
        <w:spacing w:before="0" w:after="30"/>
        <w:ind w:start="227"/>
        <w:rPr/>
      </w:pPr>
      <w:r>
        <w:rPr>
          <w:b/>
          <w:color w:val="D4A017"/>
          <w:sz w:val="16"/>
        </w:rPr>
        <w:t xml:space="preserve">Réponse : </w:t>
      </w:r>
      <w:r>
        <w:rPr>
          <w:color w:val="1F2937"/>
          <w:sz w:val="16"/>
        </w:rPr>
        <w:t>Navigation web vers la page Contact.</w:t>
      </w:r>
    </w:p>
    <w:p>
      <w:pPr>
        <w:pStyle w:val="Normal"/>
        <w:keepNext w:val="true"/>
        <w:keepLines/>
        <w:spacing w:before="30" w:after="0"/>
        <w:ind w:start="28"/>
        <w:rPr/>
      </w:pPr>
      <w:r>
        <w:rPr>
          <w:b/>
          <w:color w:val="0B3D91"/>
          <w:sz w:val="16"/>
        </w:rPr>
        <w:t>Q8. Quel est le statut éditorial ou fonctionnel de « Menu principal « Contact » » sur le site inspecté ?</w:t>
      </w:r>
    </w:p>
    <w:p>
      <w:pPr>
        <w:pStyle w:val="Normal"/>
        <w:spacing w:before="0" w:after="30"/>
        <w:ind w:start="227"/>
        <w:rPr/>
      </w:pPr>
      <w:r>
        <w:rPr>
          <w:b/>
          <w:color w:val="D4A017"/>
          <w:sz w:val="16"/>
        </w:rPr>
        <w:t xml:space="preserve">Réponse : </w:t>
      </w:r>
      <w:r>
        <w:rPr>
          <w:color w:val="1F2937"/>
          <w:sz w:val="16"/>
        </w:rPr>
        <w:t>Entrée active et publiquement accessible.</w:t>
      </w:r>
    </w:p>
    <w:p>
      <w:pPr>
        <w:pStyle w:val="Normal"/>
        <w:keepNext w:val="true"/>
        <w:keepLines/>
        <w:spacing w:before="30" w:after="0"/>
        <w:ind w:start="28"/>
        <w:rPr/>
      </w:pPr>
      <w:r>
        <w:rPr>
          <w:b/>
          <w:color w:val="0B3D91"/>
          <w:sz w:val="16"/>
        </w:rPr>
        <w:t>Q9. Quelle limite ou précaution faut-il conserver à propos de « Menu principal « Contact » » ?</w:t>
      </w:r>
    </w:p>
    <w:p>
      <w:pPr>
        <w:pStyle w:val="Normal"/>
        <w:spacing w:before="0" w:after="30"/>
        <w:ind w:start="227"/>
        <w:rPr/>
      </w:pPr>
      <w:r>
        <w:rPr>
          <w:b/>
          <w:color w:val="D4A017"/>
          <w:sz w:val="16"/>
        </w:rPr>
        <w:t xml:space="preserve">Réponse : </w:t>
      </w:r>
      <w:r>
        <w:rPr>
          <w:color w:val="1F2937"/>
          <w:sz w:val="16"/>
        </w:rPr>
        <w:t>Le lien ouvre une page dont le contenu principal contient encore des données de démonstration.</w:t>
      </w:r>
    </w:p>
    <w:p>
      <w:pPr>
        <w:pStyle w:val="Normal"/>
        <w:keepNext w:val="true"/>
        <w:keepLines/>
        <w:spacing w:before="30" w:after="0"/>
        <w:ind w:start="28"/>
        <w:rPr/>
      </w:pPr>
      <w:r>
        <w:rPr>
          <w:b/>
          <w:color w:val="0B3D91"/>
          <w:sz w:val="16"/>
        </w:rPr>
        <w:t>Q10. Quelle réponse essentielle faut-il retenir au sujet de « Menu principal « Contact » » ?</w:t>
      </w:r>
    </w:p>
    <w:p>
      <w:pPr>
        <w:pStyle w:val="Normal"/>
        <w:spacing w:before="0" w:after="30"/>
        <w:ind w:start="227"/>
        <w:rPr/>
      </w:pPr>
      <w:r>
        <w:rPr>
          <w:b/>
          <w:color w:val="D4A017"/>
          <w:sz w:val="16"/>
        </w:rPr>
        <w:t xml:space="preserve">Réponse : </w:t>
      </w:r>
      <w:r>
        <w:rPr>
          <w:color w:val="1F2937"/>
          <w:sz w:val="16"/>
        </w:rPr>
        <w:t>Le menu « Contact » est la porte d’entrée institutionnelle vers l’école et ses canaux de communication.</w:t>
      </w:r>
    </w:p>
    <w:p>
      <w:pPr>
        <w:pStyle w:val="Normal"/>
        <w:rPr/>
      </w:pPr>
      <w:r>
        <w:rPr/>
      </w:r>
      <w:r>
        <w:br w:type="page"/>
      </w:r>
    </w:p>
    <w:p>
      <w:pPr>
        <w:pStyle w:val="Heading1"/>
        <w:spacing w:before="0" w:after="100"/>
        <w:rPr/>
      </w:pPr>
      <w:r>
        <w:rPr/>
        <w:t>Fiche 02 — Absence de sous-menus visibles sous « Contact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L’inspection du menu ne montre aucun sous-menu enfant directement rattaché à « Contact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Structure publiée sans sous-menu visible.</w:t>
            </w:r>
          </w:p>
        </w:tc>
      </w:tr>
    </w:tbl>
    <w:p>
      <w:pPr>
        <w:pStyle w:val="Normal"/>
        <w:spacing w:before="20" w:after="80"/>
        <w:rPr/>
      </w:pPr>
      <w:r>
        <w:rPr>
          <w:b/>
          <w:color w:val="0B3D91"/>
          <w:sz w:val="15"/>
        </w:rPr>
        <w:t xml:space="preserve">Source contrôlée : </w:t>
      </w:r>
      <w:r>
        <w:rPr>
          <w:color w:val="555555"/>
          <w:sz w:val="15"/>
        </w:rPr>
        <w:t>Navigation principale — https://test.gsleseminents.com/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Aucun enfant de menu visible</w:t>
      </w:r>
    </w:p>
    <w:p>
      <w:pPr>
        <w:pStyle w:val="ListBullet"/>
        <w:numPr>
          <w:ilvl w:val="0"/>
          <w:numId w:val="1"/>
        </w:numPr>
        <w:spacing w:before="0" w:after="20"/>
        <w:ind w:hanging="360" w:start="255"/>
        <w:contextualSpacing/>
        <w:rPr/>
      </w:pPr>
      <w:r>
        <w:rPr>
          <w:sz w:val="17"/>
        </w:rPr>
        <w:t>Fonctions regroupées sur une page</w:t>
      </w:r>
    </w:p>
    <w:p>
      <w:pPr>
        <w:pStyle w:val="ListBullet"/>
        <w:numPr>
          <w:ilvl w:val="0"/>
          <w:numId w:val="1"/>
        </w:numPr>
        <w:spacing w:before="0" w:after="20"/>
        <w:ind w:hanging="360" w:start="255"/>
        <w:contextualSpacing/>
        <w:rPr/>
      </w:pPr>
      <w:r>
        <w:rPr>
          <w:sz w:val="17"/>
        </w:rPr>
        <w:t>Pas de sous-menu « Visite »</w:t>
      </w:r>
    </w:p>
    <w:p>
      <w:pPr>
        <w:pStyle w:val="ListBullet"/>
        <w:numPr>
          <w:ilvl w:val="0"/>
          <w:numId w:val="1"/>
        </w:numPr>
        <w:spacing w:before="0" w:after="20"/>
        <w:ind w:hanging="360" w:start="255"/>
        <w:contextualSpacing/>
        <w:rPr/>
      </w:pPr>
      <w:r>
        <w:rPr>
          <w:sz w:val="17"/>
        </w:rPr>
        <w:t>Pas de sous-menu « Localisation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observation évite d’inventer des pages ou sous-menus qui ne sont pas publiés.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facilite la cartographie du site et la future organisation d’une FAQ ou d’une base ÉMINA.</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la page Contact elle-même et ses sections « Contact Us », formulaire, visite et assistance.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Absence de sous-menus visibles sous « Contact » » ?</w:t>
      </w:r>
    </w:p>
    <w:p>
      <w:pPr>
        <w:pStyle w:val="Normal"/>
        <w:spacing w:before="0" w:after="30"/>
        <w:ind w:start="227"/>
        <w:rPr/>
      </w:pPr>
      <w:r>
        <w:rPr>
          <w:b/>
          <w:color w:val="D4A017"/>
          <w:sz w:val="16"/>
        </w:rPr>
        <w:t xml:space="preserve">Réponse : </w:t>
      </w:r>
      <w:r>
        <w:rPr>
          <w:color w:val="1F2937"/>
          <w:sz w:val="16"/>
        </w:rPr>
        <w:t>L’inspection du menu ne montre aucun sous-menu enfant directement rattaché à « Contact ».</w:t>
      </w:r>
    </w:p>
    <w:p>
      <w:pPr>
        <w:pStyle w:val="Normal"/>
        <w:keepNext w:val="true"/>
        <w:keepLines/>
        <w:spacing w:before="30" w:after="0"/>
        <w:ind w:start="28"/>
        <w:rPr/>
      </w:pPr>
      <w:r>
        <w:rPr>
          <w:b/>
          <w:color w:val="0B3D91"/>
          <w:sz w:val="16"/>
        </w:rPr>
        <w:t>Q2. Quelle est l’idée centrale développée sous « Absence de sous-menus visibles sous « Contact » » ?</w:t>
      </w:r>
    </w:p>
    <w:p>
      <w:pPr>
        <w:pStyle w:val="Normal"/>
        <w:spacing w:before="0" w:after="30"/>
        <w:ind w:start="227"/>
        <w:rPr/>
      </w:pPr>
      <w:r>
        <w:rPr>
          <w:b/>
          <w:color w:val="D4A017"/>
          <w:sz w:val="16"/>
        </w:rPr>
        <w:t xml:space="preserve">Réponse : </w:t>
      </w:r>
      <w:r>
        <w:rPr>
          <w:color w:val="1F2937"/>
          <w:sz w:val="16"/>
        </w:rPr>
        <w:t>Toutes les fonctions de contact sont actuellement regroupées dans une seule page.</w:t>
      </w:r>
    </w:p>
    <w:p>
      <w:pPr>
        <w:pStyle w:val="Normal"/>
        <w:keepNext w:val="true"/>
        <w:keepLines/>
        <w:spacing w:before="30" w:after="0"/>
        <w:ind w:start="28"/>
        <w:rPr/>
      </w:pPr>
      <w:r>
        <w:rPr>
          <w:b/>
          <w:color w:val="0B3D91"/>
          <w:sz w:val="16"/>
        </w:rPr>
        <w:t>Q3. Quels éléments précis sont associés à « Absence de sous-menus visibles sous « Contact » » ?</w:t>
      </w:r>
    </w:p>
    <w:p>
      <w:pPr>
        <w:pStyle w:val="Normal"/>
        <w:spacing w:before="0" w:after="30"/>
        <w:ind w:start="227"/>
        <w:rPr/>
      </w:pPr>
      <w:r>
        <w:rPr>
          <w:b/>
          <w:color w:val="D4A017"/>
          <w:sz w:val="16"/>
        </w:rPr>
        <w:t xml:space="preserve">Réponse : </w:t>
      </w:r>
      <w:r>
        <w:rPr>
          <w:color w:val="1F2937"/>
          <w:sz w:val="16"/>
        </w:rPr>
        <w:t>Aucun élément enfant tel que « Nous écrire », « Planifier une visite » ou « Localisation » n’apparaît sous le menu principal.</w:t>
      </w:r>
    </w:p>
    <w:p>
      <w:pPr>
        <w:pStyle w:val="Normal"/>
        <w:keepNext w:val="true"/>
        <w:keepLines/>
        <w:spacing w:before="30" w:after="0"/>
        <w:ind w:start="28"/>
        <w:rPr/>
      </w:pPr>
      <w:r>
        <w:rPr>
          <w:b/>
          <w:color w:val="0B3D91"/>
          <w:sz w:val="16"/>
        </w:rPr>
        <w:t>Q4. Où « Absence de sous-menus visibles sous « Contact » » apparaît-il dans le parcours de la page Contact ?</w:t>
      </w:r>
    </w:p>
    <w:p>
      <w:pPr>
        <w:pStyle w:val="Normal"/>
        <w:spacing w:before="0" w:after="30"/>
        <w:ind w:start="227"/>
        <w:rPr/>
      </w:pPr>
      <w:r>
        <w:rPr>
          <w:b/>
          <w:color w:val="D4A017"/>
          <w:sz w:val="16"/>
        </w:rPr>
        <w:t xml:space="preserve">Réponse : </w:t>
      </w:r>
      <w:r>
        <w:rPr>
          <w:color w:val="1F2937"/>
          <w:sz w:val="16"/>
        </w:rPr>
        <w:t>Dans l’arborescence du menu principal inspecté le 2 juillet 2026.</w:t>
      </w:r>
    </w:p>
    <w:p>
      <w:pPr>
        <w:pStyle w:val="Normal"/>
        <w:keepNext w:val="true"/>
        <w:keepLines/>
        <w:spacing w:before="30" w:after="0"/>
        <w:ind w:start="28"/>
        <w:rPr/>
      </w:pPr>
      <w:r>
        <w:rPr>
          <w:b/>
          <w:color w:val="0B3D91"/>
          <w:sz w:val="16"/>
        </w:rPr>
        <w:t>Q5. À quel public « Absence de sous-menus visibles sous « Contact » » s’adresse-t-il ?</w:t>
      </w:r>
    </w:p>
    <w:p>
      <w:pPr>
        <w:pStyle w:val="Normal"/>
        <w:spacing w:before="0" w:after="30"/>
        <w:ind w:start="227"/>
        <w:rPr/>
      </w:pPr>
      <w:r>
        <w:rPr>
          <w:b/>
          <w:color w:val="D4A017"/>
          <w:sz w:val="16"/>
        </w:rPr>
        <w:t xml:space="preserve">Réponse : </w:t>
      </w:r>
      <w:r>
        <w:rPr>
          <w:color w:val="1F2937"/>
          <w:sz w:val="16"/>
        </w:rPr>
        <w:t>Administrateurs du site, visiteurs et responsables de la communication.</w:t>
      </w:r>
    </w:p>
    <w:p>
      <w:pPr>
        <w:pStyle w:val="Normal"/>
        <w:keepNext w:val="true"/>
        <w:keepLines/>
        <w:spacing w:before="30" w:after="0"/>
        <w:ind w:start="28"/>
        <w:rPr/>
      </w:pPr>
      <w:r>
        <w:rPr>
          <w:b/>
          <w:color w:val="0B3D91"/>
          <w:sz w:val="16"/>
        </w:rPr>
        <w:t>Q6. Quelle action le visiteur peut-il accomplir à partir de « Absence de sous-menus visibles sous « Contact » » ?</w:t>
      </w:r>
    </w:p>
    <w:p>
      <w:pPr>
        <w:pStyle w:val="Normal"/>
        <w:spacing w:before="0" w:after="30"/>
        <w:ind w:start="227"/>
        <w:rPr/>
      </w:pPr>
      <w:r>
        <w:rPr>
          <w:b/>
          <w:color w:val="D4A017"/>
          <w:sz w:val="16"/>
        </w:rPr>
        <w:t xml:space="preserve">Réponse : </w:t>
      </w:r>
      <w:r>
        <w:rPr>
          <w:color w:val="1F2937"/>
          <w:sz w:val="16"/>
        </w:rPr>
        <w:t>Entrer dans la page Contact puis utiliser les blocs et liens internes.</w:t>
      </w:r>
    </w:p>
    <w:p>
      <w:pPr>
        <w:pStyle w:val="Normal"/>
        <w:keepNext w:val="true"/>
        <w:keepLines/>
        <w:spacing w:before="30" w:after="0"/>
        <w:ind w:start="28"/>
        <w:rPr/>
      </w:pPr>
      <w:r>
        <w:rPr>
          <w:b/>
          <w:color w:val="0B3D91"/>
          <w:sz w:val="16"/>
        </w:rPr>
        <w:t>Q7. Quel canal ou moyen de contact est lié à « Absence de sous-menus visibles sous « Contact » » ?</w:t>
      </w:r>
    </w:p>
    <w:p>
      <w:pPr>
        <w:pStyle w:val="Normal"/>
        <w:spacing w:before="0" w:after="30"/>
        <w:ind w:start="227"/>
        <w:rPr/>
      </w:pPr>
      <w:r>
        <w:rPr>
          <w:b/>
          <w:color w:val="D4A017"/>
          <w:sz w:val="16"/>
        </w:rPr>
        <w:t xml:space="preserve">Réponse : </w:t>
      </w:r>
      <w:r>
        <w:rPr>
          <w:color w:val="1F2937"/>
          <w:sz w:val="16"/>
        </w:rPr>
        <w:t>Page unique, formulaire, téléphone, e-mail, WhatsApp et assistance.</w:t>
      </w:r>
    </w:p>
    <w:p>
      <w:pPr>
        <w:pStyle w:val="Normal"/>
        <w:keepNext w:val="true"/>
        <w:keepLines/>
        <w:spacing w:before="30" w:after="0"/>
        <w:ind w:start="28"/>
        <w:rPr/>
      </w:pPr>
      <w:r>
        <w:rPr>
          <w:b/>
          <w:color w:val="0B3D91"/>
          <w:sz w:val="16"/>
        </w:rPr>
        <w:t>Q8. Quel est le statut éditorial ou fonctionnel de « Absence de sous-menus visibles sous « Contact » » sur le site inspecté ?</w:t>
      </w:r>
    </w:p>
    <w:p>
      <w:pPr>
        <w:pStyle w:val="Normal"/>
        <w:spacing w:before="0" w:after="30"/>
        <w:ind w:start="227"/>
        <w:rPr/>
      </w:pPr>
      <w:r>
        <w:rPr>
          <w:b/>
          <w:color w:val="D4A017"/>
          <w:sz w:val="16"/>
        </w:rPr>
        <w:t xml:space="preserve">Réponse : </w:t>
      </w:r>
      <w:r>
        <w:rPr>
          <w:color w:val="1F2937"/>
          <w:sz w:val="16"/>
        </w:rPr>
        <w:t>Structure publiée sans sous-menu visible.</w:t>
      </w:r>
    </w:p>
    <w:p>
      <w:pPr>
        <w:pStyle w:val="Normal"/>
        <w:keepNext w:val="true"/>
        <w:keepLines/>
        <w:spacing w:before="30" w:after="0"/>
        <w:ind w:start="28"/>
        <w:rPr/>
      </w:pPr>
      <w:r>
        <w:rPr>
          <w:b/>
          <w:color w:val="0B3D91"/>
          <w:sz w:val="16"/>
        </w:rPr>
        <w:t>Q9. Quelle limite ou précaution faut-il conserver à propos de « Absence de sous-menus visibles sous « Contact » » ?</w:t>
      </w:r>
    </w:p>
    <w:p>
      <w:pPr>
        <w:pStyle w:val="Normal"/>
        <w:spacing w:before="0" w:after="30"/>
        <w:ind w:start="227"/>
        <w:rPr/>
      </w:pPr>
      <w:r>
        <w:rPr>
          <w:b/>
          <w:color w:val="D4A017"/>
          <w:sz w:val="16"/>
        </w:rPr>
        <w:t xml:space="preserve">Réponse : </w:t>
      </w:r>
      <w:r>
        <w:rPr>
          <w:color w:val="1F2937"/>
          <w:sz w:val="16"/>
        </w:rPr>
        <w:t>L’absence de sous-menu ne signifie pas l’absence de fonctions internes sur la page.</w:t>
      </w:r>
    </w:p>
    <w:p>
      <w:pPr>
        <w:pStyle w:val="Normal"/>
        <w:keepNext w:val="true"/>
        <w:keepLines/>
        <w:spacing w:before="30" w:after="0"/>
        <w:ind w:start="28"/>
        <w:rPr/>
      </w:pPr>
      <w:r>
        <w:rPr>
          <w:b/>
          <w:color w:val="0B3D91"/>
          <w:sz w:val="16"/>
        </w:rPr>
        <w:t>Q10. Quelle réponse essentielle faut-il retenir au sujet de « Absence de sous-menus visibles sous « Contact » » ?</w:t>
      </w:r>
    </w:p>
    <w:p>
      <w:pPr>
        <w:pStyle w:val="Normal"/>
        <w:spacing w:before="0" w:after="30"/>
        <w:ind w:start="227"/>
        <w:rPr/>
      </w:pPr>
      <w:r>
        <w:rPr>
          <w:b/>
          <w:color w:val="D4A017"/>
          <w:sz w:val="16"/>
        </w:rPr>
        <w:t xml:space="preserve">Réponse : </w:t>
      </w:r>
      <w:r>
        <w:rPr>
          <w:color w:val="1F2937"/>
          <w:sz w:val="16"/>
        </w:rPr>
        <w:t>À la date du relevé, « Contact » est une entrée autonome sans sous-rubrique de navigation.</w:t>
      </w:r>
    </w:p>
    <w:p>
      <w:pPr>
        <w:pStyle w:val="Normal"/>
        <w:rPr/>
      </w:pPr>
      <w:r>
        <w:rPr/>
      </w:r>
      <w:r>
        <w:br w:type="page"/>
      </w:r>
    </w:p>
    <w:p>
      <w:pPr>
        <w:pStyle w:val="Heading1"/>
        <w:spacing w:before="0" w:after="100"/>
        <w:rPr/>
      </w:pPr>
      <w:r>
        <w:rPr/>
        <w:t>Fiche 03 — Position de « Contact » dans la navigation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Dans la navigation inspectée, « Contact » apparaît après « Actualités et galerie » et avant les accès complémentaires tels que l’Espace Parents.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Position cohérente avec les usages habituels des sites institutionnels.</w:t>
            </w:r>
          </w:p>
        </w:tc>
      </w:tr>
    </w:tbl>
    <w:p>
      <w:pPr>
        <w:pStyle w:val="Normal"/>
        <w:spacing w:before="20" w:after="80"/>
        <w:rPr/>
      </w:pPr>
      <w:r>
        <w:rPr>
          <w:b/>
          <w:color w:val="0B3D91"/>
          <w:sz w:val="15"/>
        </w:rPr>
        <w:t xml:space="preserve">Source contrôlée : </w:t>
      </w:r>
      <w:r>
        <w:rPr>
          <w:color w:val="555555"/>
          <w:sz w:val="15"/>
        </w:rPr>
        <w:t>Navigation principale — https://test.gsleseminents.com/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Après Actualités et galerie</w:t>
      </w:r>
    </w:p>
    <w:p>
      <w:pPr>
        <w:pStyle w:val="ListBullet"/>
        <w:numPr>
          <w:ilvl w:val="0"/>
          <w:numId w:val="1"/>
        </w:numPr>
        <w:spacing w:before="0" w:after="20"/>
        <w:ind w:hanging="360" w:start="255"/>
        <w:contextualSpacing/>
        <w:rPr/>
      </w:pPr>
      <w:r>
        <w:rPr>
          <w:sz w:val="17"/>
        </w:rPr>
        <w:t>Avant les accès complémentaires</w:t>
      </w:r>
    </w:p>
    <w:p>
      <w:pPr>
        <w:pStyle w:val="ListBullet"/>
        <w:numPr>
          <w:ilvl w:val="0"/>
          <w:numId w:val="1"/>
        </w:numPr>
        <w:spacing w:before="0" w:after="20"/>
        <w:ind w:hanging="360" w:start="255"/>
        <w:contextualSpacing/>
        <w:rPr/>
      </w:pPr>
      <w:r>
        <w:rPr>
          <w:sz w:val="17"/>
        </w:rPr>
        <w:t>Point de conversion</w:t>
      </w:r>
    </w:p>
    <w:p>
      <w:pPr>
        <w:pStyle w:val="ListBullet"/>
        <w:numPr>
          <w:ilvl w:val="0"/>
          <w:numId w:val="1"/>
        </w:numPr>
        <w:spacing w:before="0" w:after="20"/>
        <w:ind w:hanging="360" w:start="255"/>
        <w:contextualSpacing/>
        <w:rPr/>
      </w:pPr>
      <w:r>
        <w:rPr>
          <w:sz w:val="17"/>
        </w:rPr>
        <w:t>Accès relationnel</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place correspond au moment où le visiteur cherche comment joindre l’école.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soutient la conversion des visiteurs en familles intéressées, partenaires ou interlocuteurs.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Actualités, Admissions, Planifier une visite et ÉMINA.</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Position de « Contact » dans la navigation » ?</w:t>
      </w:r>
    </w:p>
    <w:p>
      <w:pPr>
        <w:pStyle w:val="Normal"/>
        <w:spacing w:before="0" w:after="30"/>
        <w:ind w:start="227"/>
        <w:rPr/>
      </w:pPr>
      <w:r>
        <w:rPr>
          <w:b/>
          <w:color w:val="D4A017"/>
          <w:sz w:val="16"/>
        </w:rPr>
        <w:t xml:space="preserve">Réponse : </w:t>
      </w:r>
      <w:r>
        <w:rPr>
          <w:color w:val="1F2937"/>
          <w:sz w:val="16"/>
        </w:rPr>
        <w:t>Dans la navigation inspectée, « Contact » apparaît après « Actualités et galerie » et avant les accès complémentaires tels que l’Espace Parents.</w:t>
      </w:r>
    </w:p>
    <w:p>
      <w:pPr>
        <w:pStyle w:val="Normal"/>
        <w:keepNext w:val="true"/>
        <w:keepLines/>
        <w:spacing w:before="30" w:after="0"/>
        <w:ind w:start="28"/>
        <w:rPr/>
      </w:pPr>
      <w:r>
        <w:rPr>
          <w:b/>
          <w:color w:val="0B3D91"/>
          <w:sz w:val="16"/>
        </w:rPr>
        <w:t>Q2. Quelle est l’idée centrale développée sous « Position de « Contact » dans la navigation » ?</w:t>
      </w:r>
    </w:p>
    <w:p>
      <w:pPr>
        <w:pStyle w:val="Normal"/>
        <w:spacing w:before="0" w:after="30"/>
        <w:ind w:start="227"/>
        <w:rPr/>
      </w:pPr>
      <w:r>
        <w:rPr>
          <w:b/>
          <w:color w:val="D4A017"/>
          <w:sz w:val="16"/>
        </w:rPr>
        <w:t xml:space="preserve">Réponse : </w:t>
      </w:r>
      <w:r>
        <w:rPr>
          <w:color w:val="1F2937"/>
          <w:sz w:val="16"/>
        </w:rPr>
        <w:t>Sa position finale dans le menu institutionnel en fait un point de sortie naturel vers la prise de contact.</w:t>
      </w:r>
    </w:p>
    <w:p>
      <w:pPr>
        <w:pStyle w:val="Normal"/>
        <w:keepNext w:val="true"/>
        <w:keepLines/>
        <w:spacing w:before="30" w:after="0"/>
        <w:ind w:start="28"/>
        <w:rPr/>
      </w:pPr>
      <w:r>
        <w:rPr>
          <w:b/>
          <w:color w:val="0B3D91"/>
          <w:sz w:val="16"/>
        </w:rPr>
        <w:t>Q3. Quels éléments précis sont associés à « Position de « Contact » dans la navigation » ?</w:t>
      </w:r>
    </w:p>
    <w:p>
      <w:pPr>
        <w:pStyle w:val="Normal"/>
        <w:spacing w:before="0" w:after="30"/>
        <w:ind w:start="227"/>
        <w:rPr/>
      </w:pPr>
      <w:r>
        <w:rPr>
          <w:b/>
          <w:color w:val="D4A017"/>
          <w:sz w:val="16"/>
        </w:rPr>
        <w:t xml:space="preserve">Réponse : </w:t>
      </w:r>
      <w:r>
        <w:rPr>
          <w:color w:val="1F2937"/>
          <w:sz w:val="16"/>
        </w:rPr>
        <w:t>Ordre de navigation, proximité avec Actualités, Espace Parents et Préinscription.</w:t>
      </w:r>
    </w:p>
    <w:p>
      <w:pPr>
        <w:pStyle w:val="Normal"/>
        <w:keepNext w:val="true"/>
        <w:keepLines/>
        <w:spacing w:before="30" w:after="0"/>
        <w:ind w:start="28"/>
        <w:rPr/>
      </w:pPr>
      <w:r>
        <w:rPr>
          <w:b/>
          <w:color w:val="0B3D91"/>
          <w:sz w:val="16"/>
        </w:rPr>
        <w:t>Q4. Où « Position de « Contact » dans la navigation » apparaît-il dans le parcours de la page Contact ?</w:t>
      </w:r>
    </w:p>
    <w:p>
      <w:pPr>
        <w:pStyle w:val="Normal"/>
        <w:spacing w:before="0" w:after="30"/>
        <w:ind w:start="227"/>
        <w:rPr/>
      </w:pPr>
      <w:r>
        <w:rPr>
          <w:b/>
          <w:color w:val="D4A017"/>
          <w:sz w:val="16"/>
        </w:rPr>
        <w:t xml:space="preserve">Réponse : </w:t>
      </w:r>
      <w:r>
        <w:rPr>
          <w:color w:val="1F2937"/>
          <w:sz w:val="16"/>
        </w:rPr>
        <w:t>Dans l’en-tête du site, sur ordinateur et dans le menu ouvrable.</w:t>
      </w:r>
    </w:p>
    <w:p>
      <w:pPr>
        <w:pStyle w:val="Normal"/>
        <w:keepNext w:val="true"/>
        <w:keepLines/>
        <w:spacing w:before="30" w:after="0"/>
        <w:ind w:start="28"/>
        <w:rPr/>
      </w:pPr>
      <w:r>
        <w:rPr>
          <w:b/>
          <w:color w:val="0B3D91"/>
          <w:sz w:val="16"/>
        </w:rPr>
        <w:t>Q5. À quel public « Position de « Contact » dans la navigation » s’adresse-t-il ?</w:t>
      </w:r>
    </w:p>
    <w:p>
      <w:pPr>
        <w:pStyle w:val="Normal"/>
        <w:spacing w:before="0" w:after="30"/>
        <w:ind w:start="227"/>
        <w:rPr/>
      </w:pPr>
      <w:r>
        <w:rPr>
          <w:b/>
          <w:color w:val="D4A017"/>
          <w:sz w:val="16"/>
        </w:rPr>
        <w:t xml:space="preserve">Réponse : </w:t>
      </w:r>
      <w:r>
        <w:rPr>
          <w:color w:val="1F2937"/>
          <w:sz w:val="16"/>
        </w:rPr>
        <w:t>Visiteurs ayant terminé leur parcours d’information et souhaitant agir.</w:t>
      </w:r>
    </w:p>
    <w:p>
      <w:pPr>
        <w:pStyle w:val="Normal"/>
        <w:keepNext w:val="true"/>
        <w:keepLines/>
        <w:spacing w:before="30" w:after="0"/>
        <w:ind w:start="28"/>
        <w:rPr/>
      </w:pPr>
      <w:r>
        <w:rPr>
          <w:b/>
          <w:color w:val="0B3D91"/>
          <w:sz w:val="16"/>
        </w:rPr>
        <w:t>Q6. Quelle action le visiteur peut-il accomplir à partir de « Position de « Contact » dans la navigation » ?</w:t>
      </w:r>
    </w:p>
    <w:p>
      <w:pPr>
        <w:pStyle w:val="Normal"/>
        <w:spacing w:before="0" w:after="30"/>
        <w:ind w:start="227"/>
        <w:rPr/>
      </w:pPr>
      <w:r>
        <w:rPr>
          <w:b/>
          <w:color w:val="D4A017"/>
          <w:sz w:val="16"/>
        </w:rPr>
        <w:t xml:space="preserve">Réponse : </w:t>
      </w:r>
      <w:r>
        <w:rPr>
          <w:color w:val="1F2937"/>
          <w:sz w:val="16"/>
        </w:rPr>
        <w:t>Passer de la consultation à une demande, une visite ou une inscription.</w:t>
      </w:r>
    </w:p>
    <w:p>
      <w:pPr>
        <w:pStyle w:val="Normal"/>
        <w:keepNext w:val="true"/>
        <w:keepLines/>
        <w:spacing w:before="30" w:after="0"/>
        <w:ind w:start="28"/>
        <w:rPr/>
      </w:pPr>
      <w:r>
        <w:rPr>
          <w:b/>
          <w:color w:val="0B3D91"/>
          <w:sz w:val="16"/>
        </w:rPr>
        <w:t>Q7. Quel canal ou moyen de contact est lié à « Position de « Contact » dans la navigation » ?</w:t>
      </w:r>
    </w:p>
    <w:p>
      <w:pPr>
        <w:pStyle w:val="Normal"/>
        <w:spacing w:before="0" w:after="30"/>
        <w:ind w:start="227"/>
        <w:rPr/>
      </w:pPr>
      <w:r>
        <w:rPr>
          <w:b/>
          <w:color w:val="D4A017"/>
          <w:sz w:val="16"/>
        </w:rPr>
        <w:t xml:space="preserve">Réponse : </w:t>
      </w:r>
      <w:r>
        <w:rPr>
          <w:color w:val="1F2937"/>
          <w:sz w:val="16"/>
        </w:rPr>
        <w:t>Lien de navigation principal.</w:t>
      </w:r>
    </w:p>
    <w:p>
      <w:pPr>
        <w:pStyle w:val="Normal"/>
        <w:keepNext w:val="true"/>
        <w:keepLines/>
        <w:spacing w:before="30" w:after="0"/>
        <w:ind w:start="28"/>
        <w:rPr/>
      </w:pPr>
      <w:r>
        <w:rPr>
          <w:b/>
          <w:color w:val="0B3D91"/>
          <w:sz w:val="16"/>
        </w:rPr>
        <w:t>Q8. Quel est le statut éditorial ou fonctionnel de « Position de « Contact » dans la navigation » sur le site inspecté ?</w:t>
      </w:r>
    </w:p>
    <w:p>
      <w:pPr>
        <w:pStyle w:val="Normal"/>
        <w:spacing w:before="0" w:after="30"/>
        <w:ind w:start="227"/>
        <w:rPr/>
      </w:pPr>
      <w:r>
        <w:rPr>
          <w:b/>
          <w:color w:val="D4A017"/>
          <w:sz w:val="16"/>
        </w:rPr>
        <w:t xml:space="preserve">Réponse : </w:t>
      </w:r>
      <w:r>
        <w:rPr>
          <w:color w:val="1F2937"/>
          <w:sz w:val="16"/>
        </w:rPr>
        <w:t>Position cohérente avec les usages habituels des sites institutionnels.</w:t>
      </w:r>
    </w:p>
    <w:p>
      <w:pPr>
        <w:pStyle w:val="Normal"/>
        <w:keepNext w:val="true"/>
        <w:keepLines/>
        <w:spacing w:before="30" w:after="0"/>
        <w:ind w:start="28"/>
        <w:rPr/>
      </w:pPr>
      <w:r>
        <w:rPr>
          <w:b/>
          <w:color w:val="0B3D91"/>
          <w:sz w:val="16"/>
        </w:rPr>
        <w:t>Q9. Quelle limite ou précaution faut-il conserver à propos de « Position de « Contact » dans la navigation » ?</w:t>
      </w:r>
    </w:p>
    <w:p>
      <w:pPr>
        <w:pStyle w:val="Normal"/>
        <w:spacing w:before="0" w:after="30"/>
        <w:ind w:start="227"/>
        <w:rPr/>
      </w:pPr>
      <w:r>
        <w:rPr>
          <w:b/>
          <w:color w:val="D4A017"/>
          <w:sz w:val="16"/>
        </w:rPr>
        <w:t xml:space="preserve">Réponse : </w:t>
      </w:r>
      <w:r>
        <w:rPr>
          <w:color w:val="1F2937"/>
          <w:sz w:val="16"/>
        </w:rPr>
        <w:t>La structure de certains anciens gabarits de page diffère encore de celle de la page d’accueil actuelle.</w:t>
      </w:r>
    </w:p>
    <w:p>
      <w:pPr>
        <w:pStyle w:val="Normal"/>
        <w:keepNext w:val="true"/>
        <w:keepLines/>
        <w:spacing w:before="30" w:after="0"/>
        <w:ind w:start="28"/>
        <w:rPr/>
      </w:pPr>
      <w:r>
        <w:rPr>
          <w:b/>
          <w:color w:val="0B3D91"/>
          <w:sz w:val="16"/>
        </w:rPr>
        <w:t>Q10. Quelle réponse essentielle faut-il retenir au sujet de « Position de « Contact » dans la navigation » ?</w:t>
      </w:r>
    </w:p>
    <w:p>
      <w:pPr>
        <w:pStyle w:val="Normal"/>
        <w:spacing w:before="0" w:after="30"/>
        <w:ind w:start="227"/>
        <w:rPr/>
      </w:pPr>
      <w:r>
        <w:rPr>
          <w:b/>
          <w:color w:val="D4A017"/>
          <w:sz w:val="16"/>
        </w:rPr>
        <w:t xml:space="preserve">Réponse : </w:t>
      </w:r>
      <w:r>
        <w:rPr>
          <w:color w:val="1F2937"/>
          <w:sz w:val="16"/>
        </w:rPr>
        <w:t>Le menu Contact clôt le parcours d’information et ouvre le parcours relationnel.</w:t>
      </w:r>
    </w:p>
    <w:p>
      <w:pPr>
        <w:pStyle w:val="Normal"/>
        <w:rPr/>
      </w:pPr>
      <w:r>
        <w:rPr/>
      </w:r>
      <w:r>
        <w:br w:type="page"/>
      </w:r>
    </w:p>
    <w:p>
      <w:pPr>
        <w:pStyle w:val="Heading1"/>
        <w:spacing w:before="0" w:after="100"/>
        <w:rPr/>
      </w:pPr>
      <w:r>
        <w:rPr/>
        <w:t>Fiche 04 — Fil d’Ariane « Accueil › Contact et visite de l’école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page affiche un fil d’Ariane reliant « Accueil » à « Contact et visite de l’école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Élément fonctionnel publié.</w:t>
            </w:r>
          </w:p>
        </w:tc>
      </w:tr>
    </w:tbl>
    <w:p>
      <w:pPr>
        <w:pStyle w:val="Normal"/>
        <w:spacing w:before="20" w:after="80"/>
        <w:rPr/>
      </w:pPr>
      <w:r>
        <w:rPr>
          <w:b/>
          <w:color w:val="0B3D91"/>
          <w:sz w:val="15"/>
        </w:rPr>
        <w:t xml:space="preserve">Source contrôlée : </w:t>
      </w:r>
      <w:r>
        <w:rPr>
          <w:color w:val="555555"/>
          <w:sz w:val="15"/>
        </w:rPr>
        <w:t>En-tête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Accueil</w:t>
      </w:r>
    </w:p>
    <w:p>
      <w:pPr>
        <w:pStyle w:val="ListBullet"/>
        <w:numPr>
          <w:ilvl w:val="0"/>
          <w:numId w:val="1"/>
        </w:numPr>
        <w:spacing w:before="0" w:after="20"/>
        <w:ind w:hanging="360" w:start="255"/>
        <w:contextualSpacing/>
        <w:rPr/>
      </w:pPr>
      <w:r>
        <w:rPr>
          <w:sz w:val="17"/>
        </w:rPr>
        <w:t>Séparateur</w:t>
      </w:r>
    </w:p>
    <w:p>
      <w:pPr>
        <w:pStyle w:val="ListBullet"/>
        <w:numPr>
          <w:ilvl w:val="0"/>
          <w:numId w:val="1"/>
        </w:numPr>
        <w:spacing w:before="0" w:after="20"/>
        <w:ind w:hanging="360" w:start="255"/>
        <w:contextualSpacing/>
        <w:rPr/>
      </w:pPr>
      <w:r>
        <w:rPr>
          <w:sz w:val="17"/>
        </w:rPr>
        <w:t>Nom de la page</w:t>
      </w:r>
    </w:p>
    <w:p>
      <w:pPr>
        <w:pStyle w:val="ListBullet"/>
        <w:numPr>
          <w:ilvl w:val="0"/>
          <w:numId w:val="1"/>
        </w:numPr>
        <w:spacing w:before="0" w:after="20"/>
        <w:ind w:hanging="360" w:start="255"/>
        <w:contextualSpacing/>
        <w:rPr/>
      </w:pPr>
      <w:r>
        <w:rPr>
          <w:sz w:val="17"/>
        </w:rPr>
        <w:t>Retour possible vers l’accueil</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rend visible le chemin parcouru par l’utilisateur.</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l’orientation, l’accessibilité et la compréhension de l’architecture du site.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Accueil, Navigation et Contact.</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Fil d’Ariane « Accueil › Contact et visite de l’école » » ?</w:t>
      </w:r>
    </w:p>
    <w:p>
      <w:pPr>
        <w:pStyle w:val="Normal"/>
        <w:spacing w:before="0" w:after="30"/>
        <w:ind w:start="227"/>
        <w:rPr/>
      </w:pPr>
      <w:r>
        <w:rPr>
          <w:b/>
          <w:color w:val="D4A017"/>
          <w:sz w:val="16"/>
        </w:rPr>
        <w:t xml:space="preserve">Réponse : </w:t>
      </w:r>
      <w:r>
        <w:rPr>
          <w:color w:val="1F2937"/>
          <w:sz w:val="16"/>
        </w:rPr>
        <w:t>La page affiche un fil d’Ariane reliant « Accueil » à « Contact et visite de l’école ».</w:t>
      </w:r>
    </w:p>
    <w:p>
      <w:pPr>
        <w:pStyle w:val="Normal"/>
        <w:keepNext w:val="true"/>
        <w:keepLines/>
        <w:spacing w:before="30" w:after="0"/>
        <w:ind w:start="28"/>
        <w:rPr/>
      </w:pPr>
      <w:r>
        <w:rPr>
          <w:b/>
          <w:color w:val="0B3D91"/>
          <w:sz w:val="16"/>
        </w:rPr>
        <w:t>Q2. Quelle est l’idée centrale développée sous « Fil d’Ariane « Accueil › Contact et visite de l’école » » ?</w:t>
      </w:r>
    </w:p>
    <w:p>
      <w:pPr>
        <w:pStyle w:val="Normal"/>
        <w:spacing w:before="0" w:after="30"/>
        <w:ind w:start="227"/>
        <w:rPr/>
      </w:pPr>
      <w:r>
        <w:rPr>
          <w:b/>
          <w:color w:val="D4A017"/>
          <w:sz w:val="16"/>
        </w:rPr>
        <w:t xml:space="preserve">Réponse : </w:t>
      </w:r>
      <w:r>
        <w:rPr>
          <w:color w:val="1F2937"/>
          <w:sz w:val="16"/>
        </w:rPr>
        <w:t>Le fil d’Ariane indique la position de la page dans le site et permet de revenir à l’accueil.</w:t>
      </w:r>
    </w:p>
    <w:p>
      <w:pPr>
        <w:pStyle w:val="Normal"/>
        <w:keepNext w:val="true"/>
        <w:keepLines/>
        <w:spacing w:before="30" w:after="0"/>
        <w:ind w:start="28"/>
        <w:rPr/>
      </w:pPr>
      <w:r>
        <w:rPr>
          <w:b/>
          <w:color w:val="0B3D91"/>
          <w:sz w:val="16"/>
        </w:rPr>
        <w:t>Q3. Quels éléments précis sont associés à « Fil d’Ariane « Accueil › Contact et visite de l’école » » ?</w:t>
      </w:r>
    </w:p>
    <w:p>
      <w:pPr>
        <w:pStyle w:val="Normal"/>
        <w:spacing w:before="0" w:after="30"/>
        <w:ind w:start="227"/>
        <w:rPr/>
      </w:pPr>
      <w:r>
        <w:rPr>
          <w:b/>
          <w:color w:val="D4A017"/>
          <w:sz w:val="16"/>
        </w:rPr>
        <w:t xml:space="preserve">Réponse : </w:t>
      </w:r>
      <w:r>
        <w:rPr>
          <w:color w:val="1F2937"/>
          <w:sz w:val="16"/>
        </w:rPr>
        <w:t>Lien « Accueil », séparateur et nom de la page courante.</w:t>
      </w:r>
    </w:p>
    <w:p>
      <w:pPr>
        <w:pStyle w:val="Normal"/>
        <w:keepNext w:val="true"/>
        <w:keepLines/>
        <w:spacing w:before="30" w:after="0"/>
        <w:ind w:start="28"/>
        <w:rPr/>
      </w:pPr>
      <w:r>
        <w:rPr>
          <w:b/>
          <w:color w:val="0B3D91"/>
          <w:sz w:val="16"/>
        </w:rPr>
        <w:t>Q4. Où « Fil d’Ariane « Accueil › Contact et visite de l’école » » apparaît-il dans le parcours de la page Contact ?</w:t>
      </w:r>
    </w:p>
    <w:p>
      <w:pPr>
        <w:pStyle w:val="Normal"/>
        <w:spacing w:before="0" w:after="30"/>
        <w:ind w:start="227"/>
        <w:rPr/>
      </w:pPr>
      <w:r>
        <w:rPr>
          <w:b/>
          <w:color w:val="D4A017"/>
          <w:sz w:val="16"/>
        </w:rPr>
        <w:t xml:space="preserve">Réponse : </w:t>
      </w:r>
      <w:r>
        <w:rPr>
          <w:color w:val="1F2937"/>
          <w:sz w:val="16"/>
        </w:rPr>
        <w:t>Au-dessus du grand titre de la page Contact.</w:t>
      </w:r>
    </w:p>
    <w:p>
      <w:pPr>
        <w:pStyle w:val="Normal"/>
        <w:keepNext w:val="true"/>
        <w:keepLines/>
        <w:spacing w:before="30" w:after="0"/>
        <w:ind w:start="28"/>
        <w:rPr/>
      </w:pPr>
      <w:r>
        <w:rPr>
          <w:b/>
          <w:color w:val="0B3D91"/>
          <w:sz w:val="16"/>
        </w:rPr>
        <w:t>Q5. À quel public « Fil d’Ariane « Accueil › Contact et visite de l’école » » s’adresse-t-il ?</w:t>
      </w:r>
    </w:p>
    <w:p>
      <w:pPr>
        <w:pStyle w:val="Normal"/>
        <w:spacing w:before="0" w:after="30"/>
        <w:ind w:start="227"/>
        <w:rPr/>
      </w:pPr>
      <w:r>
        <w:rPr>
          <w:b/>
          <w:color w:val="D4A017"/>
          <w:sz w:val="16"/>
        </w:rPr>
        <w:t xml:space="preserve">Réponse : </w:t>
      </w:r>
      <w:r>
        <w:rPr>
          <w:color w:val="1F2937"/>
          <w:sz w:val="16"/>
        </w:rPr>
        <w:t>Tous les visiteurs, notamment ceux qui arrivent depuis un lien externe.</w:t>
      </w:r>
    </w:p>
    <w:p>
      <w:pPr>
        <w:pStyle w:val="Normal"/>
        <w:keepNext w:val="true"/>
        <w:keepLines/>
        <w:spacing w:before="30" w:after="0"/>
        <w:ind w:start="28"/>
        <w:rPr/>
      </w:pPr>
      <w:r>
        <w:rPr>
          <w:b/>
          <w:color w:val="0B3D91"/>
          <w:sz w:val="16"/>
        </w:rPr>
        <w:t>Q6. Quelle action le visiteur peut-il accomplir à partir de « Fil d’Ariane « Accueil › Contact et visite de l’école » » ?</w:t>
      </w:r>
    </w:p>
    <w:p>
      <w:pPr>
        <w:pStyle w:val="Normal"/>
        <w:spacing w:before="0" w:after="30"/>
        <w:ind w:start="227"/>
        <w:rPr/>
      </w:pPr>
      <w:r>
        <w:rPr>
          <w:b/>
          <w:color w:val="D4A017"/>
          <w:sz w:val="16"/>
        </w:rPr>
        <w:t xml:space="preserve">Réponse : </w:t>
      </w:r>
      <w:r>
        <w:rPr>
          <w:color w:val="1F2937"/>
          <w:sz w:val="16"/>
        </w:rPr>
        <w:t>Revenir à l’accueil ou comprendre le chemin de navigation.</w:t>
      </w:r>
    </w:p>
    <w:p>
      <w:pPr>
        <w:pStyle w:val="Normal"/>
        <w:keepNext w:val="true"/>
        <w:keepLines/>
        <w:spacing w:before="30" w:after="0"/>
        <w:ind w:start="28"/>
        <w:rPr/>
      </w:pPr>
      <w:r>
        <w:rPr>
          <w:b/>
          <w:color w:val="0B3D91"/>
          <w:sz w:val="16"/>
        </w:rPr>
        <w:t>Q7. Quel canal ou moyen de contact est lié à « Fil d’Ariane « Accueil › Contact et visite de l’école » » ?</w:t>
      </w:r>
    </w:p>
    <w:p>
      <w:pPr>
        <w:pStyle w:val="Normal"/>
        <w:spacing w:before="0" w:after="30"/>
        <w:ind w:start="227"/>
        <w:rPr/>
      </w:pPr>
      <w:r>
        <w:rPr>
          <w:b/>
          <w:color w:val="D4A017"/>
          <w:sz w:val="16"/>
        </w:rPr>
        <w:t xml:space="preserve">Réponse : </w:t>
      </w:r>
      <w:r>
        <w:rPr>
          <w:color w:val="1F2937"/>
          <w:sz w:val="16"/>
        </w:rPr>
        <w:t>Navigation interne par hyperlien.</w:t>
      </w:r>
    </w:p>
    <w:p>
      <w:pPr>
        <w:pStyle w:val="Normal"/>
        <w:keepNext w:val="true"/>
        <w:keepLines/>
        <w:spacing w:before="30" w:after="0"/>
        <w:ind w:start="28"/>
        <w:rPr/>
      </w:pPr>
      <w:r>
        <w:rPr>
          <w:b/>
          <w:color w:val="0B3D91"/>
          <w:sz w:val="16"/>
        </w:rPr>
        <w:t>Q8. Quel est le statut éditorial ou fonctionnel de « Fil d’Ariane « Accueil › Contact et visite de l’école » » sur le site inspecté ?</w:t>
      </w:r>
    </w:p>
    <w:p>
      <w:pPr>
        <w:pStyle w:val="Normal"/>
        <w:spacing w:before="0" w:after="30"/>
        <w:ind w:start="227"/>
        <w:rPr/>
      </w:pPr>
      <w:r>
        <w:rPr>
          <w:b/>
          <w:color w:val="D4A017"/>
          <w:sz w:val="16"/>
        </w:rPr>
        <w:t xml:space="preserve">Réponse : </w:t>
      </w:r>
      <w:r>
        <w:rPr>
          <w:color w:val="1F2937"/>
          <w:sz w:val="16"/>
        </w:rPr>
        <w:t>Élément fonctionnel publié.</w:t>
      </w:r>
    </w:p>
    <w:p>
      <w:pPr>
        <w:pStyle w:val="Normal"/>
        <w:keepNext w:val="true"/>
        <w:keepLines/>
        <w:spacing w:before="30" w:after="0"/>
        <w:ind w:start="28"/>
        <w:rPr/>
      </w:pPr>
      <w:r>
        <w:rPr>
          <w:b/>
          <w:color w:val="0B3D91"/>
          <w:sz w:val="16"/>
        </w:rPr>
        <w:t>Q9. Quelle limite ou précaution faut-il conserver à propos de « Fil d’Ariane « Accueil › Contact et visite de l’école » » ?</w:t>
      </w:r>
    </w:p>
    <w:p>
      <w:pPr>
        <w:pStyle w:val="Normal"/>
        <w:spacing w:before="0" w:after="30"/>
        <w:ind w:start="227"/>
        <w:rPr/>
      </w:pPr>
      <w:r>
        <w:rPr>
          <w:b/>
          <w:color w:val="D4A017"/>
          <w:sz w:val="16"/>
        </w:rPr>
        <w:t xml:space="preserve">Réponse : </w:t>
      </w:r>
      <w:r>
        <w:rPr>
          <w:color w:val="1F2937"/>
          <w:sz w:val="16"/>
        </w:rPr>
        <w:t>Il ne constitue pas un sous-menu ; il s’agit d’un repère de navigation.</w:t>
      </w:r>
    </w:p>
    <w:p>
      <w:pPr>
        <w:pStyle w:val="Normal"/>
        <w:keepNext w:val="true"/>
        <w:keepLines/>
        <w:spacing w:before="30" w:after="0"/>
        <w:ind w:start="28"/>
        <w:rPr/>
      </w:pPr>
      <w:r>
        <w:rPr>
          <w:b/>
          <w:color w:val="0B3D91"/>
          <w:sz w:val="16"/>
        </w:rPr>
        <w:t>Q10. Quelle réponse essentielle faut-il retenir au sujet de « Fil d’Ariane « Accueil › Contact et visite de l’école » » ?</w:t>
      </w:r>
    </w:p>
    <w:p>
      <w:pPr>
        <w:pStyle w:val="Normal"/>
        <w:spacing w:before="0" w:after="30"/>
        <w:ind w:start="227"/>
        <w:rPr/>
      </w:pPr>
      <w:r>
        <w:rPr>
          <w:b/>
          <w:color w:val="D4A017"/>
          <w:sz w:val="16"/>
        </w:rPr>
        <w:t xml:space="preserve">Réponse : </w:t>
      </w:r>
      <w:r>
        <w:rPr>
          <w:color w:val="1F2937"/>
          <w:sz w:val="16"/>
        </w:rPr>
        <w:t>La page Contact est rattachée directement à l’accueil dans le fil d’Ariane.</w:t>
      </w:r>
    </w:p>
    <w:p>
      <w:pPr>
        <w:pStyle w:val="Normal"/>
        <w:rPr/>
      </w:pPr>
      <w:r>
        <w:rPr/>
      </w:r>
      <w:r>
        <w:br w:type="page"/>
      </w:r>
    </w:p>
    <w:p>
      <w:pPr>
        <w:pStyle w:val="Heading1"/>
        <w:spacing w:before="0" w:after="100"/>
        <w:rPr/>
      </w:pPr>
      <w:r>
        <w:rPr/>
        <w:t>Fiche 05 — Titre « Contact et visite de l’école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titre principal de la page est « Contact et visite de l’école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Titre actif et cohérent avec l’objet annoncé.</w:t>
            </w:r>
          </w:p>
        </w:tc>
      </w:tr>
    </w:tbl>
    <w:p>
      <w:pPr>
        <w:pStyle w:val="Normal"/>
        <w:spacing w:before="20" w:after="80"/>
        <w:rPr/>
      </w:pPr>
      <w:r>
        <w:rPr>
          <w:b/>
          <w:color w:val="0B3D91"/>
          <w:sz w:val="15"/>
        </w:rPr>
        <w:t xml:space="preserve">Source contrôlée : </w:t>
      </w:r>
      <w:r>
        <w:rPr>
          <w:color w:val="555555"/>
          <w:sz w:val="15"/>
        </w:rPr>
        <w:t>Titre principal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Contact</w:t>
      </w:r>
    </w:p>
    <w:p>
      <w:pPr>
        <w:pStyle w:val="ListBullet"/>
        <w:numPr>
          <w:ilvl w:val="0"/>
          <w:numId w:val="1"/>
        </w:numPr>
        <w:spacing w:before="0" w:after="20"/>
        <w:ind w:hanging="360" w:start="255"/>
        <w:contextualSpacing/>
        <w:rPr/>
      </w:pPr>
      <w:r>
        <w:rPr>
          <w:sz w:val="17"/>
        </w:rPr>
        <w:t>Visite de l’école</w:t>
      </w:r>
    </w:p>
    <w:p>
      <w:pPr>
        <w:pStyle w:val="ListBullet"/>
        <w:numPr>
          <w:ilvl w:val="0"/>
          <w:numId w:val="1"/>
        </w:numPr>
        <w:spacing w:before="0" w:after="20"/>
        <w:ind w:hanging="360" w:start="255"/>
        <w:contextualSpacing/>
        <w:rPr/>
      </w:pPr>
      <w:r>
        <w:rPr>
          <w:sz w:val="17"/>
        </w:rPr>
        <w:t>Prise de renseignement</w:t>
      </w:r>
    </w:p>
    <w:p>
      <w:pPr>
        <w:pStyle w:val="ListBullet"/>
        <w:numPr>
          <w:ilvl w:val="0"/>
          <w:numId w:val="1"/>
        </w:numPr>
        <w:spacing w:before="0" w:after="20"/>
        <w:ind w:hanging="360" w:start="255"/>
        <w:contextualSpacing/>
        <w:rPr/>
      </w:pPr>
      <w:r>
        <w:rPr>
          <w:sz w:val="17"/>
        </w:rPr>
        <w:t>Découverte du campus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dépasse le simple mot « Contact » pour valoriser l’accueil sur le campus.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visite aide les familles à découvrir l’environnement avant l’inscription.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Infrastructures, Préinscription, Espace Parents et ÉMINA.</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Titre « Contact et visite de l’école » » ?</w:t>
      </w:r>
    </w:p>
    <w:p>
      <w:pPr>
        <w:pStyle w:val="Normal"/>
        <w:spacing w:before="0" w:after="30"/>
        <w:ind w:start="227"/>
        <w:rPr/>
      </w:pPr>
      <w:r>
        <w:rPr>
          <w:b/>
          <w:color w:val="D4A017"/>
          <w:sz w:val="16"/>
        </w:rPr>
        <w:t xml:space="preserve">Réponse : </w:t>
      </w:r>
      <w:r>
        <w:rPr>
          <w:color w:val="1F2937"/>
          <w:sz w:val="16"/>
        </w:rPr>
        <w:t>Le titre principal de la page est « Contact et visite de l’école ».</w:t>
      </w:r>
    </w:p>
    <w:p>
      <w:pPr>
        <w:pStyle w:val="Normal"/>
        <w:keepNext w:val="true"/>
        <w:keepLines/>
        <w:spacing w:before="30" w:after="0"/>
        <w:ind w:start="28"/>
        <w:rPr/>
      </w:pPr>
      <w:r>
        <w:rPr>
          <w:b/>
          <w:color w:val="0B3D91"/>
          <w:sz w:val="16"/>
        </w:rPr>
        <w:t>Q2. Quelle est l’idée centrale développée sous « Titre « Contact et visite de l’école » » ?</w:t>
      </w:r>
    </w:p>
    <w:p>
      <w:pPr>
        <w:pStyle w:val="Normal"/>
        <w:spacing w:before="0" w:after="30"/>
        <w:ind w:start="227"/>
        <w:rPr/>
      </w:pPr>
      <w:r>
        <w:rPr>
          <w:b/>
          <w:color w:val="D4A017"/>
          <w:sz w:val="16"/>
        </w:rPr>
        <w:t xml:space="preserve">Réponse : </w:t>
      </w:r>
      <w:r>
        <w:rPr>
          <w:color w:val="1F2937"/>
          <w:sz w:val="16"/>
        </w:rPr>
        <w:t>Il réunit deux objectifs : joindre l’établissement et organiser une visite du campus.</w:t>
      </w:r>
    </w:p>
    <w:p>
      <w:pPr>
        <w:pStyle w:val="Normal"/>
        <w:keepNext w:val="true"/>
        <w:keepLines/>
        <w:spacing w:before="30" w:after="0"/>
        <w:ind w:start="28"/>
        <w:rPr/>
      </w:pPr>
      <w:r>
        <w:rPr>
          <w:b/>
          <w:color w:val="0B3D91"/>
          <w:sz w:val="16"/>
        </w:rPr>
        <w:t>Q3. Quels éléments précis sont associés à « Titre « Contact et visite de l’école » » ?</w:t>
      </w:r>
    </w:p>
    <w:p>
      <w:pPr>
        <w:pStyle w:val="Normal"/>
        <w:spacing w:before="0" w:after="30"/>
        <w:ind w:start="227"/>
        <w:rPr/>
      </w:pPr>
      <w:r>
        <w:rPr>
          <w:b/>
          <w:color w:val="D4A017"/>
          <w:sz w:val="16"/>
        </w:rPr>
        <w:t xml:space="preserve">Réponse : </w:t>
      </w:r>
      <w:r>
        <w:rPr>
          <w:color w:val="1F2937"/>
          <w:sz w:val="16"/>
        </w:rPr>
        <w:t>Contact institutionnel et visite de l’école.</w:t>
      </w:r>
    </w:p>
    <w:p>
      <w:pPr>
        <w:pStyle w:val="Normal"/>
        <w:keepNext w:val="true"/>
        <w:keepLines/>
        <w:spacing w:before="30" w:after="0"/>
        <w:ind w:start="28"/>
        <w:rPr/>
      </w:pPr>
      <w:r>
        <w:rPr>
          <w:b/>
          <w:color w:val="0B3D91"/>
          <w:sz w:val="16"/>
        </w:rPr>
        <w:t>Q4. Où « Titre « Contact et visite de l’école » » apparaît-il dans le parcours de la page Contact ?</w:t>
      </w:r>
    </w:p>
    <w:p>
      <w:pPr>
        <w:pStyle w:val="Normal"/>
        <w:spacing w:before="0" w:after="30"/>
        <w:ind w:start="227"/>
        <w:rPr/>
      </w:pPr>
      <w:r>
        <w:rPr>
          <w:b/>
          <w:color w:val="D4A017"/>
          <w:sz w:val="16"/>
        </w:rPr>
        <w:t xml:space="preserve">Réponse : </w:t>
      </w:r>
      <w:r>
        <w:rPr>
          <w:color w:val="1F2937"/>
          <w:sz w:val="16"/>
        </w:rPr>
        <w:t>En haut de la page, immédiatement après le fil d’Ariane.</w:t>
      </w:r>
    </w:p>
    <w:p>
      <w:pPr>
        <w:pStyle w:val="Normal"/>
        <w:keepNext w:val="true"/>
        <w:keepLines/>
        <w:spacing w:before="30" w:after="0"/>
        <w:ind w:start="28"/>
        <w:rPr/>
      </w:pPr>
      <w:r>
        <w:rPr>
          <w:b/>
          <w:color w:val="0B3D91"/>
          <w:sz w:val="16"/>
        </w:rPr>
        <w:t>Q5. À quel public « Titre « Contact et visite de l’école » » s’adresse-t-il ?</w:t>
      </w:r>
    </w:p>
    <w:p>
      <w:pPr>
        <w:pStyle w:val="Normal"/>
        <w:spacing w:before="0" w:after="30"/>
        <w:ind w:start="227"/>
        <w:rPr/>
      </w:pPr>
      <w:r>
        <w:rPr>
          <w:b/>
          <w:color w:val="D4A017"/>
          <w:sz w:val="16"/>
        </w:rPr>
        <w:t xml:space="preserve">Réponse : </w:t>
      </w:r>
      <w:r>
        <w:rPr>
          <w:color w:val="1F2937"/>
          <w:sz w:val="16"/>
        </w:rPr>
        <w:t>Familles intéressées, visiteurs, partenaires et personnes demandant des renseignements.</w:t>
      </w:r>
    </w:p>
    <w:p>
      <w:pPr>
        <w:pStyle w:val="Normal"/>
        <w:keepNext w:val="true"/>
        <w:keepLines/>
        <w:spacing w:before="30" w:after="0"/>
        <w:ind w:start="28"/>
        <w:rPr/>
      </w:pPr>
      <w:r>
        <w:rPr>
          <w:b/>
          <w:color w:val="0B3D91"/>
          <w:sz w:val="16"/>
        </w:rPr>
        <w:t>Q6. Quelle action le visiteur peut-il accomplir à partir de « Titre « Contact et visite de l’école » » ?</w:t>
      </w:r>
    </w:p>
    <w:p>
      <w:pPr>
        <w:pStyle w:val="Normal"/>
        <w:spacing w:before="0" w:after="30"/>
        <w:ind w:start="227"/>
        <w:rPr/>
      </w:pPr>
      <w:r>
        <w:rPr>
          <w:b/>
          <w:color w:val="D4A017"/>
          <w:sz w:val="16"/>
        </w:rPr>
        <w:t xml:space="preserve">Réponse : </w:t>
      </w:r>
      <w:r>
        <w:rPr>
          <w:color w:val="1F2937"/>
          <w:sz w:val="16"/>
        </w:rPr>
        <w:t>Consulter les coordonnées, demander une information ou planifier une visite.</w:t>
      </w:r>
    </w:p>
    <w:p>
      <w:pPr>
        <w:pStyle w:val="Normal"/>
        <w:keepNext w:val="true"/>
        <w:keepLines/>
        <w:spacing w:before="30" w:after="0"/>
        <w:ind w:start="28"/>
        <w:rPr/>
      </w:pPr>
      <w:r>
        <w:rPr>
          <w:b/>
          <w:color w:val="0B3D91"/>
          <w:sz w:val="16"/>
        </w:rPr>
        <w:t>Q7. Quel canal ou moyen de contact est lié à « Titre « Contact et visite de l’école » » ?</w:t>
      </w:r>
    </w:p>
    <w:p>
      <w:pPr>
        <w:pStyle w:val="Normal"/>
        <w:spacing w:before="0" w:after="30"/>
        <w:ind w:start="227"/>
        <w:rPr/>
      </w:pPr>
      <w:r>
        <w:rPr>
          <w:b/>
          <w:color w:val="D4A017"/>
          <w:sz w:val="16"/>
        </w:rPr>
        <w:t xml:space="preserve">Réponse : </w:t>
      </w:r>
      <w:r>
        <w:rPr>
          <w:color w:val="1F2937"/>
          <w:sz w:val="16"/>
        </w:rPr>
        <w:t>Page web, formulaire, téléphone, e-mail, WhatsApp et accueil physique.</w:t>
      </w:r>
    </w:p>
    <w:p>
      <w:pPr>
        <w:pStyle w:val="Normal"/>
        <w:keepNext w:val="true"/>
        <w:keepLines/>
        <w:spacing w:before="30" w:after="0"/>
        <w:ind w:start="28"/>
        <w:rPr/>
      </w:pPr>
      <w:r>
        <w:rPr>
          <w:b/>
          <w:color w:val="0B3D91"/>
          <w:sz w:val="16"/>
        </w:rPr>
        <w:t>Q8. Quel est le statut éditorial ou fonctionnel de « Titre « Contact et visite de l’école » » sur le site inspecté ?</w:t>
      </w:r>
    </w:p>
    <w:p>
      <w:pPr>
        <w:pStyle w:val="Normal"/>
        <w:spacing w:before="0" w:after="30"/>
        <w:ind w:start="227"/>
        <w:rPr/>
      </w:pPr>
      <w:r>
        <w:rPr>
          <w:b/>
          <w:color w:val="D4A017"/>
          <w:sz w:val="16"/>
        </w:rPr>
        <w:t xml:space="preserve">Réponse : </w:t>
      </w:r>
      <w:r>
        <w:rPr>
          <w:color w:val="1F2937"/>
          <w:sz w:val="16"/>
        </w:rPr>
        <w:t>Titre actif et cohérent avec l’objet annoncé.</w:t>
      </w:r>
    </w:p>
    <w:p>
      <w:pPr>
        <w:pStyle w:val="Normal"/>
        <w:keepNext w:val="true"/>
        <w:keepLines/>
        <w:spacing w:before="30" w:after="0"/>
        <w:ind w:start="28"/>
        <w:rPr/>
      </w:pPr>
      <w:r>
        <w:rPr>
          <w:b/>
          <w:color w:val="0B3D91"/>
          <w:sz w:val="16"/>
        </w:rPr>
        <w:t>Q9. Quelle limite ou précaution faut-il conserver à propos de « Titre « Contact et visite de l’école » » ?</w:t>
      </w:r>
    </w:p>
    <w:p>
      <w:pPr>
        <w:pStyle w:val="Normal"/>
        <w:spacing w:before="0" w:after="30"/>
        <w:ind w:start="227"/>
        <w:rPr/>
      </w:pPr>
      <w:r>
        <w:rPr>
          <w:b/>
          <w:color w:val="D4A017"/>
          <w:sz w:val="16"/>
        </w:rPr>
        <w:t xml:space="preserve">Réponse : </w:t>
      </w:r>
      <w:r>
        <w:rPr>
          <w:color w:val="1F2937"/>
          <w:sz w:val="16"/>
        </w:rPr>
        <w:t>La visite n’est pas encore développée par un formulaire distinct sur la page inspectée.</w:t>
      </w:r>
    </w:p>
    <w:p>
      <w:pPr>
        <w:pStyle w:val="Normal"/>
        <w:keepNext w:val="true"/>
        <w:keepLines/>
        <w:spacing w:before="30" w:after="0"/>
        <w:ind w:start="28"/>
        <w:rPr/>
      </w:pPr>
      <w:r>
        <w:rPr>
          <w:b/>
          <w:color w:val="0B3D91"/>
          <w:sz w:val="16"/>
        </w:rPr>
        <w:t>Q10. Quelle réponse essentielle faut-il retenir au sujet de « Titre « Contact et visite de l’école » » ?</w:t>
      </w:r>
    </w:p>
    <w:p>
      <w:pPr>
        <w:pStyle w:val="Normal"/>
        <w:spacing w:before="0" w:after="30"/>
        <w:ind w:start="227"/>
        <w:rPr/>
      </w:pPr>
      <w:r>
        <w:rPr>
          <w:b/>
          <w:color w:val="D4A017"/>
          <w:sz w:val="16"/>
        </w:rPr>
        <w:t xml:space="preserve">Réponse : </w:t>
      </w:r>
      <w:r>
        <w:rPr>
          <w:color w:val="1F2937"/>
          <w:sz w:val="16"/>
        </w:rPr>
        <w:t>La page doit permettre de contacter l’école et de préparer une visite.</w:t>
      </w:r>
    </w:p>
    <w:p>
      <w:pPr>
        <w:pStyle w:val="Normal"/>
        <w:rPr/>
      </w:pPr>
      <w:r>
        <w:rPr/>
      </w:r>
      <w:r>
        <w:br w:type="page"/>
      </w:r>
    </w:p>
    <w:p>
      <w:pPr>
        <w:pStyle w:val="Heading1"/>
        <w:spacing w:before="0" w:after="100"/>
        <w:rPr/>
      </w:pPr>
      <w:r>
        <w:rPr/>
        <w:t>Fiche 06 — Texte introductif de la page Contact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texte introductif annonce : « Coordonnées, localisation, demande d’information et planification d’une visite du campus.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Texte publié en français.</w:t>
            </w:r>
          </w:p>
        </w:tc>
      </w:tr>
    </w:tbl>
    <w:p>
      <w:pPr>
        <w:pStyle w:val="Normal"/>
        <w:spacing w:before="20" w:after="80"/>
        <w:rPr/>
      </w:pPr>
      <w:r>
        <w:rPr>
          <w:b/>
          <w:color w:val="0B3D91"/>
          <w:sz w:val="15"/>
        </w:rPr>
        <w:t xml:space="preserve">Source contrôlée : </w:t>
      </w:r>
      <w:r>
        <w:rPr>
          <w:color w:val="555555"/>
          <w:sz w:val="15"/>
        </w:rPr>
        <w:t>Introduction sous le titre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Coordonnées</w:t>
      </w:r>
    </w:p>
    <w:p>
      <w:pPr>
        <w:pStyle w:val="ListBullet"/>
        <w:numPr>
          <w:ilvl w:val="0"/>
          <w:numId w:val="1"/>
        </w:numPr>
        <w:spacing w:before="0" w:after="20"/>
        <w:ind w:hanging="360" w:start="255"/>
        <w:contextualSpacing/>
        <w:rPr/>
      </w:pPr>
      <w:r>
        <w:rPr>
          <w:sz w:val="17"/>
        </w:rPr>
        <w:t>Localisation</w:t>
      </w:r>
    </w:p>
    <w:p>
      <w:pPr>
        <w:pStyle w:val="ListBullet"/>
        <w:numPr>
          <w:ilvl w:val="0"/>
          <w:numId w:val="1"/>
        </w:numPr>
        <w:spacing w:before="0" w:after="20"/>
        <w:ind w:hanging="360" w:start="255"/>
        <w:contextualSpacing/>
        <w:rPr/>
      </w:pPr>
      <w:r>
        <w:rPr>
          <w:sz w:val="17"/>
        </w:rPr>
        <w:t>Demande d’information</w:t>
      </w:r>
    </w:p>
    <w:p>
      <w:pPr>
        <w:pStyle w:val="ListBullet"/>
        <w:numPr>
          <w:ilvl w:val="0"/>
          <w:numId w:val="1"/>
        </w:numPr>
        <w:spacing w:before="0" w:after="20"/>
        <w:ind w:hanging="360" w:start="255"/>
        <w:contextualSpacing/>
        <w:rPr/>
      </w:pPr>
      <w:r>
        <w:rPr>
          <w:sz w:val="17"/>
        </w:rPr>
        <w:t>Planification d’une visite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 résumé donne au visiteur une orientation immédiate.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structure la page autour des besoins réels des familles et partenaires.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Adresse, Téléphone, E-mail, Formulaire et Planifier une visite.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Texte introductif de la page Contact » ?</w:t>
      </w:r>
    </w:p>
    <w:p>
      <w:pPr>
        <w:pStyle w:val="Normal"/>
        <w:spacing w:before="0" w:after="30"/>
        <w:ind w:start="227"/>
        <w:rPr/>
      </w:pPr>
      <w:r>
        <w:rPr>
          <w:b/>
          <w:color w:val="D4A017"/>
          <w:sz w:val="16"/>
        </w:rPr>
        <w:t xml:space="preserve">Réponse : </w:t>
      </w:r>
      <w:r>
        <w:rPr>
          <w:color w:val="1F2937"/>
          <w:sz w:val="16"/>
        </w:rPr>
        <w:t>Le texte introductif annonce : « Coordonnées, localisation, demande d’information et planification d’une visite du campus. »</w:t>
      </w:r>
    </w:p>
    <w:p>
      <w:pPr>
        <w:pStyle w:val="Normal"/>
        <w:keepNext w:val="true"/>
        <w:keepLines/>
        <w:spacing w:before="30" w:after="0"/>
        <w:ind w:start="28"/>
        <w:rPr/>
      </w:pPr>
      <w:r>
        <w:rPr>
          <w:b/>
          <w:color w:val="0B3D91"/>
          <w:sz w:val="16"/>
        </w:rPr>
        <w:t>Q2. Quelle est l’idée centrale développée sous « Texte introductif de la page Contact » ?</w:t>
      </w:r>
    </w:p>
    <w:p>
      <w:pPr>
        <w:pStyle w:val="Normal"/>
        <w:spacing w:before="0" w:after="30"/>
        <w:ind w:start="227"/>
        <w:rPr/>
      </w:pPr>
      <w:r>
        <w:rPr>
          <w:b/>
          <w:color w:val="D4A017"/>
          <w:sz w:val="16"/>
        </w:rPr>
        <w:t xml:space="preserve">Réponse : </w:t>
      </w:r>
      <w:r>
        <w:rPr>
          <w:color w:val="1F2937"/>
          <w:sz w:val="16"/>
        </w:rPr>
        <w:t>Il résume les quatre fonctions attendues de la page Contact.</w:t>
      </w:r>
    </w:p>
    <w:p>
      <w:pPr>
        <w:pStyle w:val="Normal"/>
        <w:keepNext w:val="true"/>
        <w:keepLines/>
        <w:spacing w:before="30" w:after="0"/>
        <w:ind w:start="28"/>
        <w:rPr/>
      </w:pPr>
      <w:r>
        <w:rPr>
          <w:b/>
          <w:color w:val="0B3D91"/>
          <w:sz w:val="16"/>
        </w:rPr>
        <w:t>Q3. Quels éléments précis sont associés à « Texte introductif de la page Contact » ?</w:t>
      </w:r>
    </w:p>
    <w:p>
      <w:pPr>
        <w:pStyle w:val="Normal"/>
        <w:spacing w:before="0" w:after="30"/>
        <w:ind w:start="227"/>
        <w:rPr/>
      </w:pPr>
      <w:r>
        <w:rPr>
          <w:b/>
          <w:color w:val="D4A017"/>
          <w:sz w:val="16"/>
        </w:rPr>
        <w:t xml:space="preserve">Réponse : </w:t>
      </w:r>
      <w:r>
        <w:rPr>
          <w:color w:val="1F2937"/>
          <w:sz w:val="16"/>
        </w:rPr>
        <w:t>Coordonnées, localisation, demande d’information et planification d’une visite.</w:t>
      </w:r>
    </w:p>
    <w:p>
      <w:pPr>
        <w:pStyle w:val="Normal"/>
        <w:keepNext w:val="true"/>
        <w:keepLines/>
        <w:spacing w:before="30" w:after="0"/>
        <w:ind w:start="28"/>
        <w:rPr/>
      </w:pPr>
      <w:r>
        <w:rPr>
          <w:b/>
          <w:color w:val="0B3D91"/>
          <w:sz w:val="16"/>
        </w:rPr>
        <w:t>Q4. Où « Texte introductif de la page Contact » apparaît-il dans le parcours de la page Contact ?</w:t>
      </w:r>
    </w:p>
    <w:p>
      <w:pPr>
        <w:pStyle w:val="Normal"/>
        <w:spacing w:before="0" w:after="30"/>
        <w:ind w:start="227"/>
        <w:rPr/>
      </w:pPr>
      <w:r>
        <w:rPr>
          <w:b/>
          <w:color w:val="D4A017"/>
          <w:sz w:val="16"/>
        </w:rPr>
        <w:t xml:space="preserve">Réponse : </w:t>
      </w:r>
      <w:r>
        <w:rPr>
          <w:color w:val="1F2937"/>
          <w:sz w:val="16"/>
        </w:rPr>
        <w:t>Immédiatement sous le titre « Contact et visite de l’école ».</w:t>
      </w:r>
    </w:p>
    <w:p>
      <w:pPr>
        <w:pStyle w:val="Normal"/>
        <w:keepNext w:val="true"/>
        <w:keepLines/>
        <w:spacing w:before="30" w:after="0"/>
        <w:ind w:start="28"/>
        <w:rPr/>
      </w:pPr>
      <w:r>
        <w:rPr>
          <w:b/>
          <w:color w:val="0B3D91"/>
          <w:sz w:val="16"/>
        </w:rPr>
        <w:t>Q5. À quel public « Texte introductif de la page Contact » s’adresse-t-il ?</w:t>
      </w:r>
    </w:p>
    <w:p>
      <w:pPr>
        <w:pStyle w:val="Normal"/>
        <w:spacing w:before="0" w:after="30"/>
        <w:ind w:start="227"/>
        <w:rPr/>
      </w:pPr>
      <w:r>
        <w:rPr>
          <w:b/>
          <w:color w:val="D4A017"/>
          <w:sz w:val="16"/>
        </w:rPr>
        <w:t xml:space="preserve">Réponse : </w:t>
      </w:r>
      <w:r>
        <w:rPr>
          <w:color w:val="1F2937"/>
          <w:sz w:val="16"/>
        </w:rPr>
        <w:t>Toute personne souhaitant savoir ce qu’elle peut faire sur cette page.</w:t>
      </w:r>
    </w:p>
    <w:p>
      <w:pPr>
        <w:pStyle w:val="Normal"/>
        <w:keepNext w:val="true"/>
        <w:keepLines/>
        <w:spacing w:before="30" w:after="0"/>
        <w:ind w:start="28"/>
        <w:rPr/>
      </w:pPr>
      <w:r>
        <w:rPr>
          <w:b/>
          <w:color w:val="0B3D91"/>
          <w:sz w:val="16"/>
        </w:rPr>
        <w:t>Q6. Quelle action le visiteur peut-il accomplir à partir de « Texte introductif de la page Contact » ?</w:t>
      </w:r>
    </w:p>
    <w:p>
      <w:pPr>
        <w:pStyle w:val="Normal"/>
        <w:spacing w:before="0" w:after="30"/>
        <w:ind w:start="227"/>
        <w:rPr/>
      </w:pPr>
      <w:r>
        <w:rPr>
          <w:b/>
          <w:color w:val="D4A017"/>
          <w:sz w:val="16"/>
        </w:rPr>
        <w:t xml:space="preserve">Réponse : </w:t>
      </w:r>
      <w:r>
        <w:rPr>
          <w:color w:val="1F2937"/>
          <w:sz w:val="16"/>
        </w:rPr>
        <w:t>Identifier le moyen de contact ou l’action recherchée.</w:t>
      </w:r>
    </w:p>
    <w:p>
      <w:pPr>
        <w:pStyle w:val="Normal"/>
        <w:keepNext w:val="true"/>
        <w:keepLines/>
        <w:spacing w:before="30" w:after="0"/>
        <w:ind w:start="28"/>
        <w:rPr/>
      </w:pPr>
      <w:r>
        <w:rPr>
          <w:b/>
          <w:color w:val="0B3D91"/>
          <w:sz w:val="16"/>
        </w:rPr>
        <w:t>Q7. Quel canal ou moyen de contact est lié à « Texte introductif de la page Contact » ?</w:t>
      </w:r>
    </w:p>
    <w:p>
      <w:pPr>
        <w:pStyle w:val="Normal"/>
        <w:spacing w:before="0" w:after="30"/>
        <w:ind w:start="227"/>
        <w:rPr/>
      </w:pPr>
      <w:r>
        <w:rPr>
          <w:b/>
          <w:color w:val="D4A017"/>
          <w:sz w:val="16"/>
        </w:rPr>
        <w:t xml:space="preserve">Réponse : </w:t>
      </w:r>
      <w:r>
        <w:rPr>
          <w:color w:val="1F2937"/>
          <w:sz w:val="16"/>
        </w:rPr>
        <w:t>Information de page conduisant aux coordonnées, au formulaire ou à la visite.</w:t>
      </w:r>
    </w:p>
    <w:p>
      <w:pPr>
        <w:pStyle w:val="Normal"/>
        <w:keepNext w:val="true"/>
        <w:keepLines/>
        <w:spacing w:before="30" w:after="0"/>
        <w:ind w:start="28"/>
        <w:rPr/>
      </w:pPr>
      <w:r>
        <w:rPr>
          <w:b/>
          <w:color w:val="0B3D91"/>
          <w:sz w:val="16"/>
        </w:rPr>
        <w:t>Q8. Quel est le statut éditorial ou fonctionnel de « Texte introductif de la page Contact » sur le site inspecté ?</w:t>
      </w:r>
    </w:p>
    <w:p>
      <w:pPr>
        <w:pStyle w:val="Normal"/>
        <w:spacing w:before="0" w:after="30"/>
        <w:ind w:start="227"/>
        <w:rPr/>
      </w:pPr>
      <w:r>
        <w:rPr>
          <w:b/>
          <w:color w:val="D4A017"/>
          <w:sz w:val="16"/>
        </w:rPr>
        <w:t xml:space="preserve">Réponse : </w:t>
      </w:r>
      <w:r>
        <w:rPr>
          <w:color w:val="1F2937"/>
          <w:sz w:val="16"/>
        </w:rPr>
        <w:t>Texte publié en français.</w:t>
      </w:r>
    </w:p>
    <w:p>
      <w:pPr>
        <w:pStyle w:val="Normal"/>
        <w:keepNext w:val="true"/>
        <w:keepLines/>
        <w:spacing w:before="30" w:after="0"/>
        <w:ind w:start="28"/>
        <w:rPr/>
      </w:pPr>
      <w:r>
        <w:rPr>
          <w:b/>
          <w:color w:val="0B3D91"/>
          <w:sz w:val="16"/>
        </w:rPr>
        <w:t>Q9. Quelle limite ou précaution faut-il conserver à propos de « Texte introductif de la page Contact » ?</w:t>
      </w:r>
    </w:p>
    <w:p>
      <w:pPr>
        <w:pStyle w:val="Normal"/>
        <w:spacing w:before="0" w:after="30"/>
        <w:ind w:start="227"/>
        <w:rPr/>
      </w:pPr>
      <w:r>
        <w:rPr>
          <w:b/>
          <w:color w:val="D4A017"/>
          <w:sz w:val="16"/>
        </w:rPr>
        <w:t xml:space="preserve">Réponse : </w:t>
      </w:r>
      <w:r>
        <w:rPr>
          <w:color w:val="1F2937"/>
          <w:sz w:val="16"/>
        </w:rPr>
        <w:t>Le corps principal qui suit n’est pas encore entièrement harmonisé avec cette promesse.</w:t>
      </w:r>
    </w:p>
    <w:p>
      <w:pPr>
        <w:pStyle w:val="Normal"/>
        <w:keepNext w:val="true"/>
        <w:keepLines/>
        <w:spacing w:before="30" w:after="0"/>
        <w:ind w:start="28"/>
        <w:rPr/>
      </w:pPr>
      <w:r>
        <w:rPr>
          <w:b/>
          <w:color w:val="0B3D91"/>
          <w:sz w:val="16"/>
        </w:rPr>
        <w:t>Q10. Quelle réponse essentielle faut-il retenir au sujet de « Texte introductif de la page Contact » ?</w:t>
      </w:r>
    </w:p>
    <w:p>
      <w:pPr>
        <w:pStyle w:val="Normal"/>
        <w:spacing w:before="0" w:after="30"/>
        <w:ind w:start="227"/>
        <w:rPr/>
      </w:pPr>
      <w:r>
        <w:rPr>
          <w:b/>
          <w:color w:val="D4A017"/>
          <w:sz w:val="16"/>
        </w:rPr>
        <w:t xml:space="preserve">Réponse : </w:t>
      </w:r>
      <w:r>
        <w:rPr>
          <w:color w:val="1F2937"/>
          <w:sz w:val="16"/>
        </w:rPr>
        <w:t>La page est censée centraliser les coordonnées, la localisation, les demandes et la visite.</w:t>
      </w:r>
    </w:p>
    <w:p>
      <w:pPr>
        <w:pStyle w:val="Normal"/>
        <w:rPr/>
      </w:pPr>
      <w:r>
        <w:rPr/>
      </w:r>
      <w:r>
        <w:br w:type="page"/>
      </w:r>
    </w:p>
    <w:p>
      <w:pPr>
        <w:pStyle w:val="Heading1"/>
        <w:spacing w:before="0" w:after="100"/>
        <w:rPr/>
      </w:pPr>
      <w:r>
        <w:rPr/>
        <w:t>Fiche 07 — Mention « Illustration institutionnelle adaptée à cette rubrique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page signale une illustration institutionnelle adaptée à la rubrique Contact.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Illustration publiée avec texte alternatif.</w:t>
            </w:r>
          </w:p>
        </w:tc>
      </w:tr>
    </w:tbl>
    <w:p>
      <w:pPr>
        <w:pStyle w:val="Normal"/>
        <w:spacing w:before="20" w:after="80"/>
        <w:rPr/>
      </w:pPr>
      <w:r>
        <w:rPr>
          <w:b/>
          <w:color w:val="0B3D91"/>
          <w:sz w:val="15"/>
        </w:rPr>
        <w:t xml:space="preserve">Source contrôlée : </w:t>
      </w:r>
      <w:r>
        <w:rPr>
          <w:color w:val="555555"/>
          <w:sz w:val="15"/>
        </w:rPr>
        <w:t>Zone visuelle d’introduction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Illustration institutionnelle</w:t>
      </w:r>
    </w:p>
    <w:p>
      <w:pPr>
        <w:pStyle w:val="ListBullet"/>
        <w:numPr>
          <w:ilvl w:val="0"/>
          <w:numId w:val="1"/>
        </w:numPr>
        <w:spacing w:before="0" w:after="20"/>
        <w:ind w:hanging="360" w:start="255"/>
        <w:contextualSpacing/>
        <w:rPr/>
      </w:pPr>
      <w:r>
        <w:rPr>
          <w:sz w:val="17"/>
        </w:rPr>
        <w:t>Adaptée au Contact</w:t>
      </w:r>
    </w:p>
    <w:p>
      <w:pPr>
        <w:pStyle w:val="ListBullet"/>
        <w:numPr>
          <w:ilvl w:val="0"/>
          <w:numId w:val="1"/>
        </w:numPr>
        <w:spacing w:before="0" w:after="20"/>
        <w:ind w:hanging="360" w:start="255"/>
        <w:contextualSpacing/>
        <w:rPr/>
      </w:pPr>
      <w:r>
        <w:rPr>
          <w:sz w:val="17"/>
        </w:rPr>
        <w:t>Texte alternatif</w:t>
      </w:r>
    </w:p>
    <w:p>
      <w:pPr>
        <w:pStyle w:val="ListBullet"/>
        <w:numPr>
          <w:ilvl w:val="0"/>
          <w:numId w:val="1"/>
        </w:numPr>
        <w:spacing w:before="0" w:after="20"/>
        <w:ind w:hanging="360" w:start="255"/>
        <w:contextualSpacing/>
        <w:rPr/>
      </w:pPr>
      <w:r>
        <w:rPr>
          <w:sz w:val="17"/>
        </w:rPr>
        <w:t>Soutien visuel</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mention explique la fonction de l’image dans la page.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contribue à l’identité visuelle, à l’accessibilité et à la cohérence de marque.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 Un accueil disponible et professionnel » et la présentation institutionnelle.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La page signale une illustration institutionnelle adaptée à la rubrique Contact.</w:t>
      </w:r>
    </w:p>
    <w:p>
      <w:pPr>
        <w:pStyle w:val="Normal"/>
        <w:keepNext w:val="true"/>
        <w:keepLines/>
        <w:spacing w:before="30" w:after="0"/>
        <w:ind w:start="28"/>
        <w:rPr/>
      </w:pPr>
      <w:r>
        <w:rPr>
          <w:b/>
          <w:color w:val="0B3D91"/>
          <w:sz w:val="16"/>
        </w:rPr>
        <w:t>Q2. Quelle est l’idée centrale développée sous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L’illustration doit soutenir visuellement le message d’accueil et de disponibilité.</w:t>
      </w:r>
    </w:p>
    <w:p>
      <w:pPr>
        <w:pStyle w:val="Normal"/>
        <w:keepNext w:val="true"/>
        <w:keepLines/>
        <w:spacing w:before="30" w:after="0"/>
        <w:ind w:start="28"/>
        <w:rPr/>
      </w:pPr>
      <w:r>
        <w:rPr>
          <w:b/>
          <w:color w:val="0B3D91"/>
          <w:sz w:val="16"/>
        </w:rPr>
        <w:t>Q3. Quels éléments précis sont associés à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Une image d’accueil associée au titre et à la présentation du service.</w:t>
      </w:r>
    </w:p>
    <w:p>
      <w:pPr>
        <w:pStyle w:val="Normal"/>
        <w:keepNext w:val="true"/>
        <w:keepLines/>
        <w:spacing w:before="30" w:after="0"/>
        <w:ind w:start="28"/>
        <w:rPr/>
      </w:pPr>
      <w:r>
        <w:rPr>
          <w:b/>
          <w:color w:val="0B3D91"/>
          <w:sz w:val="16"/>
        </w:rPr>
        <w:t>Q4. Où « Mention « Illustration institutionnelle adaptée à cette rubrique » » apparaît-il dans le parcours de la page Contact ?</w:t>
      </w:r>
    </w:p>
    <w:p>
      <w:pPr>
        <w:pStyle w:val="Normal"/>
        <w:spacing w:before="0" w:after="30"/>
        <w:ind w:start="227"/>
        <w:rPr/>
      </w:pPr>
      <w:r>
        <w:rPr>
          <w:b/>
          <w:color w:val="D4A017"/>
          <w:sz w:val="16"/>
        </w:rPr>
        <w:t xml:space="preserve">Réponse : </w:t>
      </w:r>
      <w:r>
        <w:rPr>
          <w:color w:val="1F2937"/>
          <w:sz w:val="16"/>
        </w:rPr>
        <w:t>Entre l’introduction de la page et le bloc « Contact Us ».</w:t>
      </w:r>
    </w:p>
    <w:p>
      <w:pPr>
        <w:pStyle w:val="Normal"/>
        <w:keepNext w:val="true"/>
        <w:keepLines/>
        <w:spacing w:before="30" w:after="0"/>
        <w:ind w:start="28"/>
        <w:rPr/>
      </w:pPr>
      <w:r>
        <w:rPr>
          <w:b/>
          <w:color w:val="0B3D91"/>
          <w:sz w:val="16"/>
        </w:rPr>
        <w:t>Q5. À quel public « Mention « Illustration institutionnelle adaptée à cette rubrique » » s’adresse-t-il ?</w:t>
      </w:r>
    </w:p>
    <w:p>
      <w:pPr>
        <w:pStyle w:val="Normal"/>
        <w:spacing w:before="0" w:after="30"/>
        <w:ind w:start="227"/>
        <w:rPr/>
      </w:pPr>
      <w:r>
        <w:rPr>
          <w:b/>
          <w:color w:val="D4A017"/>
          <w:sz w:val="16"/>
        </w:rPr>
        <w:t xml:space="preserve">Réponse : </w:t>
      </w:r>
      <w:r>
        <w:rPr>
          <w:color w:val="1F2937"/>
          <w:sz w:val="16"/>
        </w:rPr>
        <w:t>Visiteurs de la page Contact.</w:t>
      </w:r>
    </w:p>
    <w:p>
      <w:pPr>
        <w:pStyle w:val="Normal"/>
        <w:keepNext w:val="true"/>
        <w:keepLines/>
        <w:spacing w:before="30" w:after="0"/>
        <w:ind w:start="28"/>
        <w:rPr/>
      </w:pPr>
      <w:r>
        <w:rPr>
          <w:b/>
          <w:color w:val="0B3D91"/>
          <w:sz w:val="16"/>
        </w:rPr>
        <w:t>Q6. Quelle action le visiteur peut-il accomplir à partir de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Comprendre visuellement que l’école accueille et oriente les familles.</w:t>
      </w:r>
    </w:p>
    <w:p>
      <w:pPr>
        <w:pStyle w:val="Normal"/>
        <w:keepNext w:val="true"/>
        <w:keepLines/>
        <w:spacing w:before="30" w:after="0"/>
        <w:ind w:start="28"/>
        <w:rPr/>
      </w:pPr>
      <w:r>
        <w:rPr>
          <w:b/>
          <w:color w:val="0B3D91"/>
          <w:sz w:val="16"/>
        </w:rPr>
        <w:t>Q7. Quel canal ou moyen de contact est lié à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Support visuel institutionnel.</w:t>
      </w:r>
    </w:p>
    <w:p>
      <w:pPr>
        <w:pStyle w:val="Normal"/>
        <w:keepNext w:val="true"/>
        <w:keepLines/>
        <w:spacing w:before="30" w:after="0"/>
        <w:ind w:start="28"/>
        <w:rPr/>
      </w:pPr>
      <w:r>
        <w:rPr>
          <w:b/>
          <w:color w:val="0B3D91"/>
          <w:sz w:val="16"/>
        </w:rPr>
        <w:t>Q8. Quel est le statut éditorial ou fonctionnel de « Mention « Illustration institutionnelle adaptée à cette rubrique » » sur le site inspecté ?</w:t>
      </w:r>
    </w:p>
    <w:p>
      <w:pPr>
        <w:pStyle w:val="Normal"/>
        <w:spacing w:before="0" w:after="30"/>
        <w:ind w:start="227"/>
        <w:rPr/>
      </w:pPr>
      <w:r>
        <w:rPr>
          <w:b/>
          <w:color w:val="D4A017"/>
          <w:sz w:val="16"/>
        </w:rPr>
        <w:t xml:space="preserve">Réponse : </w:t>
      </w:r>
      <w:r>
        <w:rPr>
          <w:color w:val="1F2937"/>
          <w:sz w:val="16"/>
        </w:rPr>
        <w:t>Illustration publiée avec texte alternatif.</w:t>
      </w:r>
    </w:p>
    <w:p>
      <w:pPr>
        <w:pStyle w:val="Normal"/>
        <w:keepNext w:val="true"/>
        <w:keepLines/>
        <w:spacing w:before="30" w:after="0"/>
        <w:ind w:start="28"/>
        <w:rPr/>
      </w:pPr>
      <w:r>
        <w:rPr>
          <w:b/>
          <w:color w:val="0B3D91"/>
          <w:sz w:val="16"/>
        </w:rPr>
        <w:t>Q9. Quelle limite ou précaution faut-il conserver à propos de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L’image doit rester accompagnée de texte HTML accessible et ne pas remplacer les informations pratiques.</w:t>
      </w:r>
    </w:p>
    <w:p>
      <w:pPr>
        <w:pStyle w:val="Normal"/>
        <w:keepNext w:val="true"/>
        <w:keepLines/>
        <w:spacing w:before="30" w:after="0"/>
        <w:ind w:start="28"/>
        <w:rPr/>
      </w:pPr>
      <w:r>
        <w:rPr>
          <w:b/>
          <w:color w:val="0B3D91"/>
          <w:sz w:val="16"/>
        </w:rPr>
        <w:t>Q10. Quelle réponse essentielle faut-il retenir au sujet de « Mention « Illustration institutionnelle adaptée à cette rubrique » » ?</w:t>
      </w:r>
    </w:p>
    <w:p>
      <w:pPr>
        <w:pStyle w:val="Normal"/>
        <w:spacing w:before="0" w:after="30"/>
        <w:ind w:start="227"/>
        <w:rPr/>
      </w:pPr>
      <w:r>
        <w:rPr>
          <w:b/>
          <w:color w:val="D4A017"/>
          <w:sz w:val="16"/>
        </w:rPr>
        <w:t xml:space="preserve">Réponse : </w:t>
      </w:r>
      <w:r>
        <w:rPr>
          <w:color w:val="1F2937"/>
          <w:sz w:val="16"/>
        </w:rPr>
        <w:t>L’illustration renforce l’idée d’un accueil disponible et professionnel.</w:t>
      </w:r>
    </w:p>
    <w:p>
      <w:pPr>
        <w:pStyle w:val="Normal"/>
        <w:rPr/>
      </w:pPr>
      <w:r>
        <w:rPr/>
      </w:r>
      <w:r>
        <w:br w:type="page"/>
      </w:r>
    </w:p>
    <w:p>
      <w:pPr>
        <w:pStyle w:val="Heading1"/>
        <w:spacing w:before="0" w:after="100"/>
        <w:rPr/>
      </w:pPr>
      <w:r>
        <w:rPr/>
        <w:t>Fiche 08 — Titre visuel « Un accueil disponible et professionnel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carte visuelle porte le titre « Un accueil disponible et professionnel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Message institutionnel publié.</w:t>
            </w:r>
          </w:p>
        </w:tc>
      </w:tr>
    </w:tbl>
    <w:p>
      <w:pPr>
        <w:pStyle w:val="Normal"/>
        <w:spacing w:before="20" w:after="80"/>
        <w:rPr/>
      </w:pPr>
      <w:r>
        <w:rPr>
          <w:b/>
          <w:color w:val="0B3D91"/>
          <w:sz w:val="15"/>
        </w:rPr>
        <w:t xml:space="preserve">Source contrôlée : </w:t>
      </w:r>
      <w:r>
        <w:rPr>
          <w:color w:val="555555"/>
          <w:sz w:val="15"/>
        </w:rPr>
        <w:t>Carte visuelle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Accueil</w:t>
      </w:r>
    </w:p>
    <w:p>
      <w:pPr>
        <w:pStyle w:val="ListBullet"/>
        <w:numPr>
          <w:ilvl w:val="0"/>
          <w:numId w:val="1"/>
        </w:numPr>
        <w:spacing w:before="0" w:after="20"/>
        <w:ind w:hanging="360" w:start="255"/>
        <w:contextualSpacing/>
        <w:rPr/>
      </w:pPr>
      <w:r>
        <w:rPr>
          <w:sz w:val="17"/>
        </w:rPr>
        <w:t>Disponibilité</w:t>
      </w:r>
    </w:p>
    <w:p>
      <w:pPr>
        <w:pStyle w:val="ListBullet"/>
        <w:numPr>
          <w:ilvl w:val="0"/>
          <w:numId w:val="1"/>
        </w:numPr>
        <w:spacing w:before="0" w:after="20"/>
        <w:ind w:hanging="360" w:start="255"/>
        <w:contextualSpacing/>
        <w:rPr/>
      </w:pPr>
      <w:r>
        <w:rPr>
          <w:sz w:val="17"/>
        </w:rPr>
        <w:t>Professionnalisme</w:t>
      </w:r>
    </w:p>
    <w:p>
      <w:pPr>
        <w:pStyle w:val="ListBullet"/>
        <w:numPr>
          <w:ilvl w:val="0"/>
          <w:numId w:val="1"/>
        </w:numPr>
        <w:spacing w:before="0" w:after="20"/>
        <w:ind w:hanging="360" w:start="255"/>
        <w:contextualSpacing/>
        <w:rPr/>
      </w:pPr>
      <w:r>
        <w:rPr>
          <w:sz w:val="17"/>
        </w:rPr>
        <w:t>Orientation du visiteur</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exprime la qualité relationnelle attendue du service Contact.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la confiance et l’image institutionnelle de l’établissement.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Direction, services administratifs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Titre visuel « Un accueil disponible et professionnel » » ?</w:t>
      </w:r>
    </w:p>
    <w:p>
      <w:pPr>
        <w:pStyle w:val="Normal"/>
        <w:spacing w:before="0" w:after="30"/>
        <w:ind w:start="227"/>
        <w:rPr/>
      </w:pPr>
      <w:r>
        <w:rPr>
          <w:b/>
          <w:color w:val="D4A017"/>
          <w:sz w:val="16"/>
        </w:rPr>
        <w:t xml:space="preserve">Réponse : </w:t>
      </w:r>
      <w:r>
        <w:rPr>
          <w:color w:val="1F2937"/>
          <w:sz w:val="16"/>
        </w:rPr>
        <w:t>La carte visuelle porte le titre « Un accueil disponible et professionnel ».</w:t>
      </w:r>
    </w:p>
    <w:p>
      <w:pPr>
        <w:pStyle w:val="Normal"/>
        <w:keepNext w:val="true"/>
        <w:keepLines/>
        <w:spacing w:before="30" w:after="0"/>
        <w:ind w:start="28"/>
        <w:rPr/>
      </w:pPr>
      <w:r>
        <w:rPr>
          <w:b/>
          <w:color w:val="0B3D91"/>
          <w:sz w:val="16"/>
        </w:rPr>
        <w:t>Q2. Quelle est l’idée centrale développée sous « Titre visuel « Un accueil disponible et professionnel » » ?</w:t>
      </w:r>
    </w:p>
    <w:p>
      <w:pPr>
        <w:pStyle w:val="Normal"/>
        <w:spacing w:before="0" w:after="30"/>
        <w:ind w:start="227"/>
        <w:rPr/>
      </w:pPr>
      <w:r>
        <w:rPr>
          <w:b/>
          <w:color w:val="D4A017"/>
          <w:sz w:val="16"/>
        </w:rPr>
        <w:t xml:space="preserve">Réponse : </w:t>
      </w:r>
      <w:r>
        <w:rPr>
          <w:color w:val="1F2937"/>
          <w:sz w:val="16"/>
        </w:rPr>
        <w:t>Elle présente l’école comme accessible, organisée et capable de répondre correctement aux visiteurs.</w:t>
      </w:r>
    </w:p>
    <w:p>
      <w:pPr>
        <w:pStyle w:val="Normal"/>
        <w:keepNext w:val="true"/>
        <w:keepLines/>
        <w:spacing w:before="30" w:after="0"/>
        <w:ind w:start="28"/>
        <w:rPr/>
      </w:pPr>
      <w:r>
        <w:rPr>
          <w:b/>
          <w:color w:val="0B3D91"/>
          <w:sz w:val="16"/>
        </w:rPr>
        <w:t>Q3. Quels éléments précis sont associés à « Titre visuel « Un accueil disponible et professionnel » » ?</w:t>
      </w:r>
    </w:p>
    <w:p>
      <w:pPr>
        <w:pStyle w:val="Normal"/>
        <w:spacing w:before="0" w:after="30"/>
        <w:ind w:start="227"/>
        <w:rPr/>
      </w:pPr>
      <w:r>
        <w:rPr>
          <w:b/>
          <w:color w:val="D4A017"/>
          <w:sz w:val="16"/>
        </w:rPr>
        <w:t xml:space="preserve">Réponse : </w:t>
      </w:r>
      <w:r>
        <w:rPr>
          <w:color w:val="1F2937"/>
          <w:sz w:val="16"/>
        </w:rPr>
        <w:t>Disponibilité, professionnalisme et accueil.</w:t>
      </w:r>
    </w:p>
    <w:p>
      <w:pPr>
        <w:pStyle w:val="Normal"/>
        <w:keepNext w:val="true"/>
        <w:keepLines/>
        <w:spacing w:before="30" w:after="0"/>
        <w:ind w:start="28"/>
        <w:rPr/>
      </w:pPr>
      <w:r>
        <w:rPr>
          <w:b/>
          <w:color w:val="0B3D91"/>
          <w:sz w:val="16"/>
        </w:rPr>
        <w:t>Q4. Où « Titre visuel « Un accueil disponible et professionnel » » apparaît-il dans le parcours de la page Contact ?</w:t>
      </w:r>
    </w:p>
    <w:p>
      <w:pPr>
        <w:pStyle w:val="Normal"/>
        <w:spacing w:before="0" w:after="30"/>
        <w:ind w:start="227"/>
        <w:rPr/>
      </w:pPr>
      <w:r>
        <w:rPr>
          <w:b/>
          <w:color w:val="D4A017"/>
          <w:sz w:val="16"/>
        </w:rPr>
        <w:t xml:space="preserve">Réponse : </w:t>
      </w:r>
      <w:r>
        <w:rPr>
          <w:color w:val="1F2937"/>
          <w:sz w:val="16"/>
        </w:rPr>
        <w:t>Dans la carte illustrée placée avant le formulaire de contact.</w:t>
      </w:r>
    </w:p>
    <w:p>
      <w:pPr>
        <w:pStyle w:val="Normal"/>
        <w:keepNext w:val="true"/>
        <w:keepLines/>
        <w:spacing w:before="30" w:after="0"/>
        <w:ind w:start="28"/>
        <w:rPr/>
      </w:pPr>
      <w:r>
        <w:rPr>
          <w:b/>
          <w:color w:val="0B3D91"/>
          <w:sz w:val="16"/>
        </w:rPr>
        <w:t>Q5. À quel public « Titre visuel « Un accueil disponible et professionnel » » s’adresse-t-il ?</w:t>
      </w:r>
    </w:p>
    <w:p>
      <w:pPr>
        <w:pStyle w:val="Normal"/>
        <w:spacing w:before="0" w:after="30"/>
        <w:ind w:start="227"/>
        <w:rPr/>
      </w:pPr>
      <w:r>
        <w:rPr>
          <w:b/>
          <w:color w:val="D4A017"/>
          <w:sz w:val="16"/>
        </w:rPr>
        <w:t xml:space="preserve">Réponse : </w:t>
      </w:r>
      <w:r>
        <w:rPr>
          <w:color w:val="1F2937"/>
          <w:sz w:val="16"/>
        </w:rPr>
        <w:t>Familles, visiteurs, partenaires et toute personne sollicitant un service.</w:t>
      </w:r>
    </w:p>
    <w:p>
      <w:pPr>
        <w:pStyle w:val="Normal"/>
        <w:keepNext w:val="true"/>
        <w:keepLines/>
        <w:spacing w:before="30" w:after="0"/>
        <w:ind w:start="28"/>
        <w:rPr/>
      </w:pPr>
      <w:r>
        <w:rPr>
          <w:b/>
          <w:color w:val="0B3D91"/>
          <w:sz w:val="16"/>
        </w:rPr>
        <w:t>Q6. Quelle action le visiteur peut-il accomplir à partir de « Titre visuel « Un accueil disponible et professionnel » » ?</w:t>
      </w:r>
    </w:p>
    <w:p>
      <w:pPr>
        <w:pStyle w:val="Normal"/>
        <w:spacing w:before="0" w:after="30"/>
        <w:ind w:start="227"/>
        <w:rPr/>
      </w:pPr>
      <w:r>
        <w:rPr>
          <w:b/>
          <w:color w:val="D4A017"/>
          <w:sz w:val="16"/>
        </w:rPr>
        <w:t xml:space="preserve">Réponse : </w:t>
      </w:r>
      <w:r>
        <w:rPr>
          <w:color w:val="1F2937"/>
          <w:sz w:val="16"/>
        </w:rPr>
        <w:t>S’adresser à l’équipe pour être informé et orienté.</w:t>
      </w:r>
    </w:p>
    <w:p>
      <w:pPr>
        <w:pStyle w:val="Normal"/>
        <w:keepNext w:val="true"/>
        <w:keepLines/>
        <w:spacing w:before="30" w:after="0"/>
        <w:ind w:start="28"/>
        <w:rPr/>
      </w:pPr>
      <w:r>
        <w:rPr>
          <w:b/>
          <w:color w:val="0B3D91"/>
          <w:sz w:val="16"/>
        </w:rPr>
        <w:t>Q7. Quel canal ou moyen de contact est lié à « Titre visuel « Un accueil disponible et professionnel » » ?</w:t>
      </w:r>
    </w:p>
    <w:p>
      <w:pPr>
        <w:pStyle w:val="Normal"/>
        <w:spacing w:before="0" w:after="30"/>
        <w:ind w:start="227"/>
        <w:rPr/>
      </w:pPr>
      <w:r>
        <w:rPr>
          <w:b/>
          <w:color w:val="D4A017"/>
          <w:sz w:val="16"/>
        </w:rPr>
        <w:t xml:space="preserve">Réponse : </w:t>
      </w:r>
      <w:r>
        <w:rPr>
          <w:color w:val="1F2937"/>
          <w:sz w:val="16"/>
        </w:rPr>
        <w:t>Accueil humain, téléphone, e-mail, formulaire et visite.</w:t>
      </w:r>
    </w:p>
    <w:p>
      <w:pPr>
        <w:pStyle w:val="Normal"/>
        <w:keepNext w:val="true"/>
        <w:keepLines/>
        <w:spacing w:before="30" w:after="0"/>
        <w:ind w:start="28"/>
        <w:rPr/>
      </w:pPr>
      <w:r>
        <w:rPr>
          <w:b/>
          <w:color w:val="0B3D91"/>
          <w:sz w:val="16"/>
        </w:rPr>
        <w:t>Q8. Quel est le statut éditorial ou fonctionnel de « Titre visuel « Un accueil disponible et professionnel » » sur le site inspecté ?</w:t>
      </w:r>
    </w:p>
    <w:p>
      <w:pPr>
        <w:pStyle w:val="Normal"/>
        <w:spacing w:before="0" w:after="30"/>
        <w:ind w:start="227"/>
        <w:rPr/>
      </w:pPr>
      <w:r>
        <w:rPr>
          <w:b/>
          <w:color w:val="D4A017"/>
          <w:sz w:val="16"/>
        </w:rPr>
        <w:t xml:space="preserve">Réponse : </w:t>
      </w:r>
      <w:r>
        <w:rPr>
          <w:color w:val="1F2937"/>
          <w:sz w:val="16"/>
        </w:rPr>
        <w:t>Message institutionnel publié.</w:t>
      </w:r>
    </w:p>
    <w:p>
      <w:pPr>
        <w:pStyle w:val="Normal"/>
        <w:keepNext w:val="true"/>
        <w:keepLines/>
        <w:spacing w:before="30" w:after="0"/>
        <w:ind w:start="28"/>
        <w:rPr/>
      </w:pPr>
      <w:r>
        <w:rPr>
          <w:b/>
          <w:color w:val="0B3D91"/>
          <w:sz w:val="16"/>
        </w:rPr>
        <w:t>Q9. Quelle limite ou précaution faut-il conserver à propos de « Titre visuel « Un accueil disponible et professionnel » » ?</w:t>
      </w:r>
    </w:p>
    <w:p>
      <w:pPr>
        <w:pStyle w:val="Normal"/>
        <w:spacing w:before="0" w:after="30"/>
        <w:ind w:start="227"/>
        <w:rPr/>
      </w:pPr>
      <w:r>
        <w:rPr>
          <w:b/>
          <w:color w:val="D4A017"/>
          <w:sz w:val="16"/>
        </w:rPr>
        <w:t xml:space="preserve">Réponse : </w:t>
      </w:r>
      <w:r>
        <w:rPr>
          <w:color w:val="1F2937"/>
          <w:sz w:val="16"/>
        </w:rPr>
        <w:t>Le professionnalisme annoncé doit être confirmé par des coordonnées exactes et un formulaire fonctionnel.</w:t>
      </w:r>
    </w:p>
    <w:p>
      <w:pPr>
        <w:pStyle w:val="Normal"/>
        <w:keepNext w:val="true"/>
        <w:keepLines/>
        <w:spacing w:before="30" w:after="0"/>
        <w:ind w:start="28"/>
        <w:rPr/>
      </w:pPr>
      <w:r>
        <w:rPr>
          <w:b/>
          <w:color w:val="0B3D91"/>
          <w:sz w:val="16"/>
        </w:rPr>
        <w:t>Q10. Quelle réponse essentielle faut-il retenir au sujet de « Titre visuel « Un accueil disponible et professionnel » » ?</w:t>
      </w:r>
    </w:p>
    <w:p>
      <w:pPr>
        <w:pStyle w:val="Normal"/>
        <w:spacing w:before="0" w:after="30"/>
        <w:ind w:start="227"/>
        <w:rPr/>
      </w:pPr>
      <w:r>
        <w:rPr>
          <w:b/>
          <w:color w:val="D4A017"/>
          <w:sz w:val="16"/>
        </w:rPr>
        <w:t xml:space="preserve">Réponse : </w:t>
      </w:r>
      <w:r>
        <w:rPr>
          <w:color w:val="1F2937"/>
          <w:sz w:val="16"/>
        </w:rPr>
        <w:t>L’école affirme vouloir offrir un accueil disponible et professionnel.</w:t>
      </w:r>
    </w:p>
    <w:p>
      <w:pPr>
        <w:pStyle w:val="Normal"/>
        <w:rPr/>
      </w:pPr>
      <w:r>
        <w:rPr/>
      </w:r>
      <w:r>
        <w:br w:type="page"/>
      </w:r>
    </w:p>
    <w:p>
      <w:pPr>
        <w:pStyle w:val="Heading1"/>
        <w:spacing w:before="0" w:after="100"/>
        <w:rPr/>
      </w:pPr>
      <w:r>
        <w:rPr/>
        <w:t>Fiche 09 — Texte « Notre équipe vous reçoit, vous informe et vous oriente vers le service compétent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texte affirme que l’équipe reçoit le visiteur, l’informe et l’oriente vers le service compétent.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Promesse de service publiée.</w:t>
            </w:r>
          </w:p>
        </w:tc>
      </w:tr>
    </w:tbl>
    <w:p>
      <w:pPr>
        <w:pStyle w:val="Normal"/>
        <w:spacing w:before="20" w:after="80"/>
        <w:rPr/>
      </w:pPr>
      <w:r>
        <w:rPr>
          <w:b/>
          <w:color w:val="0B3D91"/>
          <w:sz w:val="15"/>
        </w:rPr>
        <w:t xml:space="preserve">Source contrôlée : </w:t>
      </w:r>
      <w:r>
        <w:rPr>
          <w:color w:val="555555"/>
          <w:sz w:val="15"/>
        </w:rPr>
        <w:t>Texte de la carte visuelle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Recevoir</w:t>
      </w:r>
    </w:p>
    <w:p>
      <w:pPr>
        <w:pStyle w:val="ListBullet"/>
        <w:numPr>
          <w:ilvl w:val="0"/>
          <w:numId w:val="1"/>
        </w:numPr>
        <w:spacing w:before="0" w:after="20"/>
        <w:ind w:hanging="360" w:start="255"/>
        <w:contextualSpacing/>
        <w:rPr/>
      </w:pPr>
      <w:r>
        <w:rPr>
          <w:sz w:val="17"/>
        </w:rPr>
        <w:t>Informer</w:t>
      </w:r>
    </w:p>
    <w:p>
      <w:pPr>
        <w:pStyle w:val="ListBullet"/>
        <w:numPr>
          <w:ilvl w:val="0"/>
          <w:numId w:val="1"/>
        </w:numPr>
        <w:spacing w:before="0" w:after="20"/>
        <w:ind w:hanging="360" w:start="255"/>
        <w:contextualSpacing/>
        <w:rPr/>
      </w:pPr>
      <w:r>
        <w:rPr>
          <w:sz w:val="17"/>
        </w:rPr>
        <w:t>Orienter</w:t>
      </w:r>
    </w:p>
    <w:p>
      <w:pPr>
        <w:pStyle w:val="ListBullet"/>
        <w:numPr>
          <w:ilvl w:val="0"/>
          <w:numId w:val="1"/>
        </w:numPr>
        <w:spacing w:before="0" w:after="20"/>
        <w:ind w:hanging="360" w:start="255"/>
        <w:contextualSpacing/>
        <w:rPr/>
      </w:pPr>
      <w:r>
        <w:rPr>
          <w:sz w:val="17"/>
        </w:rPr>
        <w:t>Service compétent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phrase précise concrètement ce que signifie un accueil professionnel.</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évite que les familles cherchent seules le bon département.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Direction, Finances, Santé, Ressources humaines, ÉMINA et Espace Parents.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Le texte affirme que l’équipe reçoit le visiteur, l’informe et l’oriente vers le service compétent.</w:t>
      </w:r>
    </w:p>
    <w:p>
      <w:pPr>
        <w:pStyle w:val="Normal"/>
        <w:keepNext w:val="true"/>
        <w:keepLines/>
        <w:spacing w:before="30" w:after="0"/>
        <w:ind w:start="28"/>
        <w:rPr/>
      </w:pPr>
      <w:r>
        <w:rPr>
          <w:b/>
          <w:color w:val="0B3D91"/>
          <w:sz w:val="16"/>
        </w:rPr>
        <w:t>Q2. Quelle est l’idée centrale développée sous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Le rôle de l’accueil est de comprendre la demande puis de la transmettre au bon service.</w:t>
      </w:r>
    </w:p>
    <w:p>
      <w:pPr>
        <w:pStyle w:val="Normal"/>
        <w:keepNext w:val="true"/>
        <w:keepLines/>
        <w:spacing w:before="30" w:after="0"/>
        <w:ind w:start="28"/>
        <w:rPr/>
      </w:pPr>
      <w:r>
        <w:rPr>
          <w:b/>
          <w:color w:val="0B3D91"/>
          <w:sz w:val="16"/>
        </w:rPr>
        <w:t>Q3. Quels éléments précis sont associés à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Réception, information, orientation et service compétent.</w:t>
      </w:r>
    </w:p>
    <w:p>
      <w:pPr>
        <w:pStyle w:val="Normal"/>
        <w:keepNext w:val="true"/>
        <w:keepLines/>
        <w:spacing w:before="30" w:after="0"/>
        <w:ind w:start="28"/>
        <w:rPr/>
      </w:pPr>
      <w:r>
        <w:rPr>
          <w:b/>
          <w:color w:val="0B3D91"/>
          <w:sz w:val="16"/>
        </w:rPr>
        <w:t>Q4. Où « Texte « Notre équipe vous reçoit, vous informe et vous oriente vers le service compétent » » apparaît-il dans le parcours de la page Contact ?</w:t>
      </w:r>
    </w:p>
    <w:p>
      <w:pPr>
        <w:pStyle w:val="Normal"/>
        <w:spacing w:before="0" w:after="30"/>
        <w:ind w:start="227"/>
        <w:rPr/>
      </w:pPr>
      <w:r>
        <w:rPr>
          <w:b/>
          <w:color w:val="D4A017"/>
          <w:sz w:val="16"/>
        </w:rPr>
        <w:t xml:space="preserve">Réponse : </w:t>
      </w:r>
      <w:r>
        <w:rPr>
          <w:color w:val="1F2937"/>
          <w:sz w:val="16"/>
        </w:rPr>
        <w:t>Sous le titre « Un accueil disponible et professionnel ».</w:t>
      </w:r>
    </w:p>
    <w:p>
      <w:pPr>
        <w:pStyle w:val="Normal"/>
        <w:keepNext w:val="true"/>
        <w:keepLines/>
        <w:spacing w:before="30" w:after="0"/>
        <w:ind w:start="28"/>
        <w:rPr/>
      </w:pPr>
      <w:r>
        <w:rPr>
          <w:b/>
          <w:color w:val="0B3D91"/>
          <w:sz w:val="16"/>
        </w:rPr>
        <w:t>Q5. À quel public « Texte « Notre équipe vous reçoit, vous informe et vous oriente vers le service compétent » » s’adresse-t-il ?</w:t>
      </w:r>
    </w:p>
    <w:p>
      <w:pPr>
        <w:pStyle w:val="Normal"/>
        <w:spacing w:before="0" w:after="30"/>
        <w:ind w:start="227"/>
        <w:rPr/>
      </w:pPr>
      <w:r>
        <w:rPr>
          <w:b/>
          <w:color w:val="D4A017"/>
          <w:sz w:val="16"/>
        </w:rPr>
        <w:t xml:space="preserve">Réponse : </w:t>
      </w:r>
      <w:r>
        <w:rPr>
          <w:color w:val="1F2937"/>
          <w:sz w:val="16"/>
        </w:rPr>
        <w:t>Personnes ayant une question administrative, pédagogique, financière, technique ou institutionnelle.</w:t>
      </w:r>
    </w:p>
    <w:p>
      <w:pPr>
        <w:pStyle w:val="Normal"/>
        <w:keepNext w:val="true"/>
        <w:keepLines/>
        <w:spacing w:before="30" w:after="0"/>
        <w:ind w:start="28"/>
        <w:rPr/>
      </w:pPr>
      <w:r>
        <w:rPr>
          <w:b/>
          <w:color w:val="0B3D91"/>
          <w:sz w:val="16"/>
        </w:rPr>
        <w:t>Q6. Quelle action le visiteur peut-il accomplir à partir de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Présenter sa demande afin d’être dirigé vers le bon interlocuteur.</w:t>
      </w:r>
    </w:p>
    <w:p>
      <w:pPr>
        <w:pStyle w:val="Normal"/>
        <w:keepNext w:val="true"/>
        <w:keepLines/>
        <w:spacing w:before="30" w:after="0"/>
        <w:ind w:start="28"/>
        <w:rPr/>
      </w:pPr>
      <w:r>
        <w:rPr>
          <w:b/>
          <w:color w:val="0B3D91"/>
          <w:sz w:val="16"/>
        </w:rPr>
        <w:t>Q7. Quel canal ou moyen de contact est lié à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Accueil physique ou canaux institutionnels à distance.</w:t>
      </w:r>
    </w:p>
    <w:p>
      <w:pPr>
        <w:pStyle w:val="Normal"/>
        <w:keepNext w:val="true"/>
        <w:keepLines/>
        <w:spacing w:before="30" w:after="0"/>
        <w:ind w:start="28"/>
        <w:rPr/>
      </w:pPr>
      <w:r>
        <w:rPr>
          <w:b/>
          <w:color w:val="0B3D91"/>
          <w:sz w:val="16"/>
        </w:rPr>
        <w:t>Q8. Quel est le statut éditorial ou fonctionnel de « Texte « Notre équipe vous reçoit, vous informe et vous oriente vers le service compétent » » sur le site inspecté ?</w:t>
      </w:r>
    </w:p>
    <w:p>
      <w:pPr>
        <w:pStyle w:val="Normal"/>
        <w:spacing w:before="0" w:after="30"/>
        <w:ind w:start="227"/>
        <w:rPr/>
      </w:pPr>
      <w:r>
        <w:rPr>
          <w:b/>
          <w:color w:val="D4A017"/>
          <w:sz w:val="16"/>
        </w:rPr>
        <w:t xml:space="preserve">Réponse : </w:t>
      </w:r>
      <w:r>
        <w:rPr>
          <w:color w:val="1F2937"/>
          <w:sz w:val="16"/>
        </w:rPr>
        <w:t>Promesse de service publiée.</w:t>
      </w:r>
    </w:p>
    <w:p>
      <w:pPr>
        <w:pStyle w:val="Normal"/>
        <w:keepNext w:val="true"/>
        <w:keepLines/>
        <w:spacing w:before="30" w:after="0"/>
        <w:ind w:start="28"/>
        <w:rPr/>
      </w:pPr>
      <w:r>
        <w:rPr>
          <w:b/>
          <w:color w:val="0B3D91"/>
          <w:sz w:val="16"/>
        </w:rPr>
        <w:t>Q9. Quelle limite ou précaution faut-il conserver à propos de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Le texte ne nomme pas tous les services ni leurs horaires ; l’orientation reste générale.</w:t>
      </w:r>
    </w:p>
    <w:p>
      <w:pPr>
        <w:pStyle w:val="Normal"/>
        <w:keepNext w:val="true"/>
        <w:keepLines/>
        <w:spacing w:before="30" w:after="0"/>
        <w:ind w:start="28"/>
        <w:rPr/>
      </w:pPr>
      <w:r>
        <w:rPr>
          <w:b/>
          <w:color w:val="0B3D91"/>
          <w:sz w:val="16"/>
        </w:rPr>
        <w:t>Q10. Quelle réponse essentielle faut-il retenir au sujet de « Texte « Notre équipe vous reçoit, vous informe et vous oriente vers le service compétent » » ?</w:t>
      </w:r>
    </w:p>
    <w:p>
      <w:pPr>
        <w:pStyle w:val="Normal"/>
        <w:spacing w:before="0" w:after="30"/>
        <w:ind w:start="227"/>
        <w:rPr/>
      </w:pPr>
      <w:r>
        <w:rPr>
          <w:b/>
          <w:color w:val="D4A017"/>
          <w:sz w:val="16"/>
        </w:rPr>
        <w:t xml:space="preserve">Réponse : </w:t>
      </w:r>
      <w:r>
        <w:rPr>
          <w:color w:val="1F2937"/>
          <w:sz w:val="16"/>
        </w:rPr>
        <w:t>L’équipe d’accueil sert de point d’entrée et oriente chaque demande.</w:t>
      </w:r>
    </w:p>
    <w:p>
      <w:pPr>
        <w:pStyle w:val="Normal"/>
        <w:rPr/>
      </w:pPr>
      <w:r>
        <w:rPr/>
      </w:r>
      <w:r>
        <w:br w:type="page"/>
      </w:r>
    </w:p>
    <w:p>
      <w:pPr>
        <w:pStyle w:val="Normal"/>
        <w:spacing w:before="0" w:after="40"/>
        <w:jc w:val="center"/>
        <w:rPr/>
      </w:pPr>
      <w:r>
        <w:rPr>
          <w:b/>
          <w:color w:val="0B3D91"/>
          <w:sz w:val="34"/>
        </w:rPr>
        <w:t>PARTIE II — BLOC DE CONTACT ET FORMULAIRE ACTUELLEMENT PUBLIÉS</w:t>
      </w:r>
    </w:p>
    <w:p>
      <w:pPr>
        <w:pStyle w:val="Normal"/>
        <w:jc w:val="center"/>
        <w:rPr/>
      </w:pPr>
      <w:r>
        <w:rPr>
          <w:i/>
          <w:color w:val="D4A017"/>
          <w:sz w:val="20"/>
        </w:rPr>
        <w:t>Fiches thématiques et questions-réponses de référence</w:t>
      </w:r>
    </w:p>
    <w:p>
      <w:pPr>
        <w:pStyle w:val="Normal"/>
        <w:rPr/>
      </w:pPr>
      <w:r>
        <w:rPr/>
      </w:r>
      <w:r>
        <w:br w:type="page"/>
      </w:r>
    </w:p>
    <w:p>
      <w:pPr>
        <w:pStyle w:val="Heading1"/>
        <w:spacing w:before="0" w:after="100"/>
        <w:rPr/>
      </w:pPr>
      <w:r>
        <w:rPr/>
        <w:t>Fiche 10 — Titre anglais « Contact Us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principal du formulaire affiche le titre anglais « Contact Us ».</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7"/>
              </w:rPr>
              <w:t xml:space="preserve">Statut : </w:t>
            </w:r>
            <w:r>
              <w:rPr>
                <w:color w:val="1F2937"/>
                <w:sz w:val="17"/>
              </w:rPr>
              <w:t>Bloc actif mais non harmonisé : langue anglaise et données de démonstration.</w:t>
            </w:r>
          </w:p>
        </w:tc>
      </w:tr>
    </w:tbl>
    <w:p>
      <w:pPr>
        <w:pStyle w:val="Normal"/>
        <w:spacing w:before="20" w:after="80"/>
        <w:rPr/>
      </w:pPr>
      <w:r>
        <w:rPr>
          <w:b/>
          <w:color w:val="0B3D91"/>
          <w:sz w:val="15"/>
        </w:rPr>
        <w:t xml:space="preserve">Source contrôlée : </w:t>
      </w:r>
      <w:r>
        <w:rPr>
          <w:color w:val="555555"/>
          <w:sz w:val="15"/>
        </w:rPr>
        <w:t>Bloc principal du formulaire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Titre en anglais</w:t>
      </w:r>
    </w:p>
    <w:p>
      <w:pPr>
        <w:pStyle w:val="ListBullet"/>
        <w:numPr>
          <w:ilvl w:val="0"/>
          <w:numId w:val="1"/>
        </w:numPr>
        <w:spacing w:before="0" w:after="20"/>
        <w:ind w:hanging="360" w:start="255"/>
        <w:contextualSpacing/>
        <w:rPr/>
      </w:pPr>
      <w:r>
        <w:rPr>
          <w:sz w:val="17"/>
        </w:rPr>
        <w:t>Bloc de contact</w:t>
      </w:r>
    </w:p>
    <w:p>
      <w:pPr>
        <w:pStyle w:val="ListBullet"/>
        <w:numPr>
          <w:ilvl w:val="0"/>
          <w:numId w:val="1"/>
        </w:numPr>
        <w:spacing w:before="0" w:after="20"/>
        <w:ind w:hanging="360" w:start="255"/>
        <w:contextualSpacing/>
        <w:rPr/>
      </w:pPr>
      <w:r>
        <w:rPr>
          <w:sz w:val="17"/>
        </w:rPr>
        <w:t>Coordonnées</w:t>
      </w:r>
    </w:p>
    <w:p>
      <w:pPr>
        <w:pStyle w:val="ListBullet"/>
        <w:numPr>
          <w:ilvl w:val="0"/>
          <w:numId w:val="1"/>
        </w:numPr>
        <w:spacing w:before="0" w:after="20"/>
        <w:ind w:hanging="360" w:start="255"/>
        <w:contextualSpacing/>
        <w:rPr/>
      </w:pPr>
      <w:r>
        <w:rPr>
          <w:sz w:val="17"/>
        </w:rPr>
        <w:t>Formulaire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immédiatement la fonction du formulaire.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Cette section est centrale pour transformer une visite du site en échange réel.</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Adresse, Téléphone, E-mail, Send Us a Message et Planifier une visite.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Titre anglais « Contact Us » » ?</w:t>
      </w:r>
    </w:p>
    <w:p>
      <w:pPr>
        <w:pStyle w:val="Normal"/>
        <w:spacing w:before="0" w:after="30"/>
        <w:ind w:start="227"/>
        <w:rPr/>
      </w:pPr>
      <w:r>
        <w:rPr>
          <w:b/>
          <w:color w:val="D4A017"/>
          <w:sz w:val="16"/>
        </w:rPr>
        <w:t xml:space="preserve">Réponse : </w:t>
      </w:r>
      <w:r>
        <w:rPr>
          <w:color w:val="1F2937"/>
          <w:sz w:val="16"/>
        </w:rPr>
        <w:t>Le bloc principal du formulaire affiche le titre anglais « Contact Us ».</w:t>
      </w:r>
    </w:p>
    <w:p>
      <w:pPr>
        <w:pStyle w:val="Normal"/>
        <w:keepNext w:val="true"/>
        <w:keepLines/>
        <w:spacing w:before="30" w:after="0"/>
        <w:ind w:start="28"/>
        <w:rPr/>
      </w:pPr>
      <w:r>
        <w:rPr>
          <w:b/>
          <w:color w:val="0B3D91"/>
          <w:sz w:val="16"/>
        </w:rPr>
        <w:t>Q2. Quelle est l’idée centrale développée sous « Titre anglais « Contact Us » » ?</w:t>
      </w:r>
    </w:p>
    <w:p>
      <w:pPr>
        <w:pStyle w:val="Normal"/>
        <w:spacing w:before="0" w:after="30"/>
        <w:ind w:start="227"/>
        <w:rPr/>
      </w:pPr>
      <w:r>
        <w:rPr>
          <w:b/>
          <w:color w:val="D4A017"/>
          <w:sz w:val="16"/>
        </w:rPr>
        <w:t xml:space="preserve">Réponse : </w:t>
      </w:r>
      <w:r>
        <w:rPr>
          <w:color w:val="1F2937"/>
          <w:sz w:val="16"/>
        </w:rPr>
        <w:t>Il introduit une zone destinée aux demandes de renseignements.</w:t>
      </w:r>
    </w:p>
    <w:p>
      <w:pPr>
        <w:pStyle w:val="Normal"/>
        <w:keepNext w:val="true"/>
        <w:keepLines/>
        <w:spacing w:before="30" w:after="0"/>
        <w:ind w:start="28"/>
        <w:rPr/>
      </w:pPr>
      <w:r>
        <w:rPr>
          <w:b/>
          <w:color w:val="0B3D91"/>
          <w:sz w:val="16"/>
        </w:rPr>
        <w:t>Q3. Quels éléments précis sont associés à « Titre anglais « Contact Us » » ?</w:t>
      </w:r>
    </w:p>
    <w:p>
      <w:pPr>
        <w:pStyle w:val="Normal"/>
        <w:spacing w:before="0" w:after="30"/>
        <w:ind w:start="227"/>
        <w:rPr/>
      </w:pPr>
      <w:r>
        <w:rPr>
          <w:b/>
          <w:color w:val="D4A017"/>
          <w:sz w:val="16"/>
        </w:rPr>
        <w:t xml:space="preserve">Réponse : </w:t>
      </w:r>
      <w:r>
        <w:rPr>
          <w:color w:val="1F2937"/>
          <w:sz w:val="16"/>
        </w:rPr>
        <w:t>Titre de contact en anglais suivi d’un texte d’invitation et de coordonnées génériques.</w:t>
      </w:r>
    </w:p>
    <w:p>
      <w:pPr>
        <w:pStyle w:val="Normal"/>
        <w:keepNext w:val="true"/>
        <w:keepLines/>
        <w:spacing w:before="30" w:after="0"/>
        <w:ind w:start="28"/>
        <w:rPr/>
      </w:pPr>
      <w:r>
        <w:rPr>
          <w:b/>
          <w:color w:val="0B3D91"/>
          <w:sz w:val="16"/>
        </w:rPr>
        <w:t>Q4. Où « Titre anglais « Contact Us » » apparaît-il dans le parcours de la page Contact ?</w:t>
      </w:r>
    </w:p>
    <w:p>
      <w:pPr>
        <w:pStyle w:val="Normal"/>
        <w:spacing w:before="0" w:after="30"/>
        <w:ind w:start="227"/>
        <w:rPr/>
      </w:pPr>
      <w:r>
        <w:rPr>
          <w:b/>
          <w:color w:val="D4A017"/>
          <w:sz w:val="16"/>
        </w:rPr>
        <w:t xml:space="preserve">Réponse : </w:t>
      </w:r>
      <w:r>
        <w:rPr>
          <w:color w:val="1F2937"/>
          <w:sz w:val="16"/>
        </w:rPr>
        <w:t>Dans le corps principal de la page, après la carte d’accueil.</w:t>
      </w:r>
    </w:p>
    <w:p>
      <w:pPr>
        <w:pStyle w:val="Normal"/>
        <w:keepNext w:val="true"/>
        <w:keepLines/>
        <w:spacing w:before="30" w:after="0"/>
        <w:ind w:start="28"/>
        <w:rPr/>
      </w:pPr>
      <w:r>
        <w:rPr>
          <w:b/>
          <w:color w:val="0B3D91"/>
          <w:sz w:val="16"/>
        </w:rPr>
        <w:t>Q5. À quel public « Titre anglais « Contact Us » » s’adresse-t-il ?</w:t>
      </w:r>
    </w:p>
    <w:p>
      <w:pPr>
        <w:pStyle w:val="Normal"/>
        <w:spacing w:before="0" w:after="30"/>
        <w:ind w:start="227"/>
        <w:rPr/>
      </w:pPr>
      <w:r>
        <w:rPr>
          <w:b/>
          <w:color w:val="D4A017"/>
          <w:sz w:val="16"/>
        </w:rPr>
        <w:t xml:space="preserve">Réponse : </w:t>
      </w:r>
      <w:r>
        <w:rPr>
          <w:color w:val="1F2937"/>
          <w:sz w:val="16"/>
        </w:rPr>
        <w:t>Visiteurs souhaitant contacter l’école.</w:t>
      </w:r>
    </w:p>
    <w:p>
      <w:pPr>
        <w:pStyle w:val="Normal"/>
        <w:keepNext w:val="true"/>
        <w:keepLines/>
        <w:spacing w:before="30" w:after="0"/>
        <w:ind w:start="28"/>
        <w:rPr/>
      </w:pPr>
      <w:r>
        <w:rPr>
          <w:b/>
          <w:color w:val="0B3D91"/>
          <w:sz w:val="16"/>
        </w:rPr>
        <w:t>Q6. Quelle action le visiteur peut-il accomplir à partir de « Titre anglais « Contact Us » » ?</w:t>
      </w:r>
    </w:p>
    <w:p>
      <w:pPr>
        <w:pStyle w:val="Normal"/>
        <w:spacing w:before="0" w:after="30"/>
        <w:ind w:start="227"/>
        <w:rPr/>
      </w:pPr>
      <w:r>
        <w:rPr>
          <w:b/>
          <w:color w:val="D4A017"/>
          <w:sz w:val="16"/>
        </w:rPr>
        <w:t xml:space="preserve">Réponse : </w:t>
      </w:r>
      <w:r>
        <w:rPr>
          <w:color w:val="1F2937"/>
          <w:sz w:val="16"/>
        </w:rPr>
        <w:t>Lire les moyens de contact ou utiliser le formulaire.</w:t>
      </w:r>
    </w:p>
    <w:p>
      <w:pPr>
        <w:pStyle w:val="Normal"/>
        <w:keepNext w:val="true"/>
        <w:keepLines/>
        <w:spacing w:before="30" w:after="0"/>
        <w:ind w:start="28"/>
        <w:rPr/>
      </w:pPr>
      <w:r>
        <w:rPr>
          <w:b/>
          <w:color w:val="0B3D91"/>
          <w:sz w:val="16"/>
        </w:rPr>
        <w:t>Q7. Quel canal ou moyen de contact est lié à « Titre anglais « Contact Us » » ?</w:t>
      </w:r>
    </w:p>
    <w:p>
      <w:pPr>
        <w:pStyle w:val="Normal"/>
        <w:spacing w:before="0" w:after="30"/>
        <w:ind w:start="227"/>
        <w:rPr/>
      </w:pPr>
      <w:r>
        <w:rPr>
          <w:b/>
          <w:color w:val="D4A017"/>
          <w:sz w:val="16"/>
        </w:rPr>
        <w:t xml:space="preserve">Réponse : </w:t>
      </w:r>
      <w:r>
        <w:rPr>
          <w:color w:val="1F2937"/>
          <w:sz w:val="16"/>
        </w:rPr>
        <w:t>Accueil physique, appel téléphonique et formulaire web.</w:t>
      </w:r>
    </w:p>
    <w:p>
      <w:pPr>
        <w:pStyle w:val="Normal"/>
        <w:keepNext w:val="true"/>
        <w:keepLines/>
        <w:spacing w:before="30" w:after="0"/>
        <w:ind w:start="28"/>
        <w:rPr/>
      </w:pPr>
      <w:r>
        <w:rPr>
          <w:b/>
          <w:color w:val="0B3D91"/>
          <w:sz w:val="16"/>
        </w:rPr>
        <w:t>Q8. Quel est le statut éditorial ou fonctionnel de « Titre anglais « Contact Us » » sur le site inspecté ?</w:t>
      </w:r>
    </w:p>
    <w:p>
      <w:pPr>
        <w:pStyle w:val="Normal"/>
        <w:spacing w:before="0" w:after="30"/>
        <w:ind w:start="227"/>
        <w:rPr/>
      </w:pPr>
      <w:r>
        <w:rPr>
          <w:b/>
          <w:color w:val="D4A017"/>
          <w:sz w:val="16"/>
        </w:rPr>
        <w:t xml:space="preserve">Réponse : </w:t>
      </w:r>
      <w:r>
        <w:rPr>
          <w:color w:val="1F2937"/>
          <w:sz w:val="16"/>
        </w:rPr>
        <w:t>Bloc actif mais non harmonisé : langue anglaise et données de démonstration.</w:t>
      </w:r>
    </w:p>
    <w:p>
      <w:pPr>
        <w:pStyle w:val="Normal"/>
        <w:keepNext w:val="true"/>
        <w:keepLines/>
        <w:spacing w:before="30" w:after="0"/>
        <w:ind w:start="28"/>
        <w:rPr/>
      </w:pPr>
      <w:r>
        <w:rPr>
          <w:b/>
          <w:color w:val="0B3D91"/>
          <w:sz w:val="16"/>
        </w:rPr>
        <w:t>Q9. Quelle limite ou précaution faut-il conserver à propos de « Titre anglais « Contact Us » » ?</w:t>
      </w:r>
    </w:p>
    <w:p>
      <w:pPr>
        <w:pStyle w:val="Normal"/>
        <w:spacing w:before="0" w:after="30"/>
        <w:ind w:start="227"/>
        <w:rPr/>
      </w:pPr>
      <w:r>
        <w:rPr>
          <w:b/>
          <w:color w:val="D4A017"/>
          <w:sz w:val="16"/>
        </w:rPr>
        <w:t xml:space="preserve">Réponse : </w:t>
      </w:r>
      <w:r>
        <w:rPr>
          <w:color w:val="1F2937"/>
          <w:sz w:val="16"/>
        </w:rPr>
        <w:t>Le titre devrait être traduit et le bloc remplacé par les coordonnées officielles du GSE.</w:t>
      </w:r>
    </w:p>
    <w:p>
      <w:pPr>
        <w:pStyle w:val="Normal"/>
        <w:keepNext w:val="true"/>
        <w:keepLines/>
        <w:spacing w:before="30" w:after="0"/>
        <w:ind w:start="28"/>
        <w:rPr/>
      </w:pPr>
      <w:r>
        <w:rPr>
          <w:b/>
          <w:color w:val="0B3D91"/>
          <w:sz w:val="16"/>
        </w:rPr>
        <w:t>Q10. Quelle réponse essentielle faut-il retenir au sujet de « Titre anglais « Contact Us » » ?</w:t>
      </w:r>
    </w:p>
    <w:p>
      <w:pPr>
        <w:pStyle w:val="Normal"/>
        <w:spacing w:before="0" w:after="30"/>
        <w:ind w:start="227"/>
        <w:rPr/>
      </w:pPr>
      <w:r>
        <w:rPr>
          <w:b/>
          <w:color w:val="D4A017"/>
          <w:sz w:val="16"/>
        </w:rPr>
        <w:t xml:space="preserve">Réponse : </w:t>
      </w:r>
      <w:r>
        <w:rPr>
          <w:color w:val="1F2937"/>
          <w:sz w:val="16"/>
        </w:rPr>
        <w:t>Le bloc vise à permettre au visiteur de joindre l’établissement.</w:t>
      </w:r>
    </w:p>
    <w:p>
      <w:pPr>
        <w:pStyle w:val="Normal"/>
        <w:rPr/>
      </w:pPr>
      <w:r>
        <w:rPr/>
      </w:r>
      <w:r>
        <w:br w:type="page"/>
      </w:r>
    </w:p>
    <w:p>
      <w:pPr>
        <w:pStyle w:val="Heading1"/>
        <w:spacing w:before="0" w:after="100"/>
        <w:rPr/>
      </w:pPr>
      <w:r>
        <w:rPr/>
        <w:t>Fiche 11 — Texte d’invitation sous « Contact Us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texte publié demande si le visiteur souhaite se renseigner sur les admissions, le programme scolaire ou tout autre sujet, puis propose de venir pendant les heures de bureau, d’appeler ou de soumettre le formulaire.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Texte de modèle en anglais.</w:t>
            </w:r>
          </w:p>
        </w:tc>
      </w:tr>
    </w:tbl>
    <w:p>
      <w:pPr>
        <w:pStyle w:val="Normal"/>
        <w:spacing w:before="20" w:after="80"/>
        <w:rPr/>
      </w:pPr>
      <w:r>
        <w:rPr>
          <w:b/>
          <w:color w:val="0B3D91"/>
          <w:sz w:val="15"/>
        </w:rPr>
        <w:t xml:space="preserve">Source contrôlée : </w:t>
      </w:r>
      <w:r>
        <w:rPr>
          <w:color w:val="555555"/>
          <w:sz w:val="15"/>
        </w:rPr>
        <w:t>Introduction du bloc Contact Us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Admissions</w:t>
      </w:r>
    </w:p>
    <w:p>
      <w:pPr>
        <w:pStyle w:val="ListBullet"/>
        <w:numPr>
          <w:ilvl w:val="0"/>
          <w:numId w:val="1"/>
        </w:numPr>
        <w:spacing w:before="0" w:after="20"/>
        <w:ind w:hanging="360" w:start="255"/>
        <w:contextualSpacing/>
        <w:rPr/>
      </w:pPr>
      <w:r>
        <w:rPr>
          <w:sz w:val="17"/>
        </w:rPr>
        <w:t>Syllabus</w:t>
      </w:r>
    </w:p>
    <w:p>
      <w:pPr>
        <w:pStyle w:val="ListBullet"/>
        <w:numPr>
          <w:ilvl w:val="0"/>
          <w:numId w:val="1"/>
        </w:numPr>
        <w:spacing w:before="0" w:after="20"/>
        <w:ind w:hanging="360" w:start="255"/>
        <w:contextualSpacing/>
        <w:rPr/>
      </w:pPr>
      <w:r>
        <w:rPr>
          <w:sz w:val="17"/>
        </w:rPr>
        <w:t>Heures de bureau</w:t>
      </w:r>
    </w:p>
    <w:p>
      <w:pPr>
        <w:pStyle w:val="ListBullet"/>
        <w:numPr>
          <w:ilvl w:val="0"/>
          <w:numId w:val="1"/>
        </w:numPr>
        <w:spacing w:before="0" w:after="20"/>
        <w:ind w:hanging="360" w:start="255"/>
        <w:contextualSpacing/>
        <w:rPr/>
      </w:pPr>
      <w:r>
        <w:rPr>
          <w:sz w:val="17"/>
        </w:rPr>
        <w:t>Appel</w:t>
      </w:r>
    </w:p>
    <w:p>
      <w:pPr>
        <w:pStyle w:val="ListBullet"/>
        <w:numPr>
          <w:ilvl w:val="0"/>
          <w:numId w:val="1"/>
        </w:numPr>
        <w:spacing w:before="0" w:after="20"/>
        <w:ind w:hanging="360" w:start="255"/>
        <w:contextualSpacing/>
        <w:rPr/>
      </w:pPr>
      <w:r>
        <w:rPr>
          <w:sz w:val="17"/>
        </w:rPr>
        <w:t>Soumission du formulaire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L’introduction explique les usages possibles de la page.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élargit le contact au-delà des admissions et encourage une interaction simple.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Programmes, Visite, Téléphone et Formulaire.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Texte d’invitation sous « Contact Us » » ?</w:t>
      </w:r>
    </w:p>
    <w:p>
      <w:pPr>
        <w:pStyle w:val="Normal"/>
        <w:spacing w:before="0" w:after="30"/>
        <w:ind w:start="227"/>
        <w:rPr/>
      </w:pPr>
      <w:r>
        <w:rPr>
          <w:b/>
          <w:color w:val="D4A017"/>
          <w:sz w:val="16"/>
        </w:rPr>
        <w:t xml:space="preserve">Réponse : </w:t>
      </w:r>
      <w:r>
        <w:rPr>
          <w:color w:val="1F2937"/>
          <w:sz w:val="16"/>
        </w:rPr>
        <w:t>Le texte publié demande si le visiteur souhaite se renseigner sur les admissions, le programme scolaire ou tout autre sujet, puis propose de venir pendant les heures de bureau, d’appeler ou de soumettre le formulaire.</w:t>
      </w:r>
    </w:p>
    <w:p>
      <w:pPr>
        <w:pStyle w:val="Normal"/>
        <w:keepNext w:val="true"/>
        <w:keepLines/>
        <w:spacing w:before="30" w:after="0"/>
        <w:ind w:start="28"/>
        <w:rPr/>
      </w:pPr>
      <w:r>
        <w:rPr>
          <w:b/>
          <w:color w:val="0B3D91"/>
          <w:sz w:val="16"/>
        </w:rPr>
        <w:t>Q2. Quelle est l’idée centrale développée sous « Texte d’invitation sous « Contact Us » » ?</w:t>
      </w:r>
    </w:p>
    <w:p>
      <w:pPr>
        <w:pStyle w:val="Normal"/>
        <w:spacing w:before="0" w:after="30"/>
        <w:ind w:start="227"/>
        <w:rPr/>
      </w:pPr>
      <w:r>
        <w:rPr>
          <w:b/>
          <w:color w:val="D4A017"/>
          <w:sz w:val="16"/>
        </w:rPr>
        <w:t xml:space="preserve">Réponse : </w:t>
      </w:r>
      <w:r>
        <w:rPr>
          <w:color w:val="1F2937"/>
          <w:sz w:val="16"/>
        </w:rPr>
        <w:t>Le bloc ouvre plusieurs voies de contact selon la préférence du visiteur.</w:t>
      </w:r>
    </w:p>
    <w:p>
      <w:pPr>
        <w:pStyle w:val="Normal"/>
        <w:keepNext w:val="true"/>
        <w:keepLines/>
        <w:spacing w:before="30" w:after="0"/>
        <w:ind w:start="28"/>
        <w:rPr/>
      </w:pPr>
      <w:r>
        <w:rPr>
          <w:b/>
          <w:color w:val="0B3D91"/>
          <w:sz w:val="16"/>
        </w:rPr>
        <w:t>Q3. Quels éléments précis sont associés à « Texte d’invitation sous « Contact Us » » ?</w:t>
      </w:r>
    </w:p>
    <w:p>
      <w:pPr>
        <w:pStyle w:val="Normal"/>
        <w:spacing w:before="0" w:after="30"/>
        <w:ind w:start="227"/>
        <w:rPr/>
      </w:pPr>
      <w:r>
        <w:rPr>
          <w:b/>
          <w:color w:val="D4A017"/>
          <w:sz w:val="16"/>
        </w:rPr>
        <w:t xml:space="preserve">Réponse : </w:t>
      </w:r>
      <w:r>
        <w:rPr>
          <w:color w:val="1F2937"/>
          <w:sz w:val="16"/>
        </w:rPr>
        <w:t>Admissions, syllabus, toute autre question, visite pendant les heures de bureau, appel et formulaire.</w:t>
      </w:r>
    </w:p>
    <w:p>
      <w:pPr>
        <w:pStyle w:val="Normal"/>
        <w:keepNext w:val="true"/>
        <w:keepLines/>
        <w:spacing w:before="30" w:after="0"/>
        <w:ind w:start="28"/>
        <w:rPr/>
      </w:pPr>
      <w:r>
        <w:rPr>
          <w:b/>
          <w:color w:val="0B3D91"/>
          <w:sz w:val="16"/>
        </w:rPr>
        <w:t>Q4. Où « Texte d’invitation sous « Contact Us » » apparaît-il dans le parcours de la page Contact ?</w:t>
      </w:r>
    </w:p>
    <w:p>
      <w:pPr>
        <w:pStyle w:val="Normal"/>
        <w:spacing w:before="0" w:after="30"/>
        <w:ind w:start="227"/>
        <w:rPr/>
      </w:pPr>
      <w:r>
        <w:rPr>
          <w:b/>
          <w:color w:val="D4A017"/>
          <w:sz w:val="16"/>
        </w:rPr>
        <w:t xml:space="preserve">Réponse : </w:t>
      </w:r>
      <w:r>
        <w:rPr>
          <w:color w:val="1F2937"/>
          <w:sz w:val="16"/>
        </w:rPr>
        <w:t>Directement sous le titre « Contact Us ».</w:t>
      </w:r>
    </w:p>
    <w:p>
      <w:pPr>
        <w:pStyle w:val="Normal"/>
        <w:keepNext w:val="true"/>
        <w:keepLines/>
        <w:spacing w:before="30" w:after="0"/>
        <w:ind w:start="28"/>
        <w:rPr/>
      </w:pPr>
      <w:r>
        <w:rPr>
          <w:b/>
          <w:color w:val="0B3D91"/>
          <w:sz w:val="16"/>
        </w:rPr>
        <w:t>Q5. À quel public « Texte d’invitation sous « Contact Us » » s’adresse-t-il ?</w:t>
      </w:r>
    </w:p>
    <w:p>
      <w:pPr>
        <w:pStyle w:val="Normal"/>
        <w:spacing w:before="0" w:after="30"/>
        <w:ind w:start="227"/>
        <w:rPr/>
      </w:pPr>
      <w:r>
        <w:rPr>
          <w:b/>
          <w:color w:val="D4A017"/>
          <w:sz w:val="16"/>
        </w:rPr>
        <w:t xml:space="preserve">Réponse : </w:t>
      </w:r>
      <w:r>
        <w:rPr>
          <w:color w:val="1F2937"/>
          <w:sz w:val="16"/>
        </w:rPr>
        <w:t>Parents, candidats, visiteurs et toute personne ayant une question.</w:t>
      </w:r>
    </w:p>
    <w:p>
      <w:pPr>
        <w:pStyle w:val="Normal"/>
        <w:keepNext w:val="true"/>
        <w:keepLines/>
        <w:spacing w:before="30" w:after="0"/>
        <w:ind w:start="28"/>
        <w:rPr/>
      </w:pPr>
      <w:r>
        <w:rPr>
          <w:b/>
          <w:color w:val="0B3D91"/>
          <w:sz w:val="16"/>
        </w:rPr>
        <w:t>Q6. Quelle action le visiteur peut-il accomplir à partir de « Texte d’invitation sous « Contact Us » » ?</w:t>
      </w:r>
    </w:p>
    <w:p>
      <w:pPr>
        <w:pStyle w:val="Normal"/>
        <w:spacing w:before="0" w:after="30"/>
        <w:ind w:start="227"/>
        <w:rPr/>
      </w:pPr>
      <w:r>
        <w:rPr>
          <w:b/>
          <w:color w:val="D4A017"/>
          <w:sz w:val="16"/>
        </w:rPr>
        <w:t xml:space="preserve">Réponse : </w:t>
      </w:r>
      <w:r>
        <w:rPr>
          <w:color w:val="1F2937"/>
          <w:sz w:val="16"/>
        </w:rPr>
        <w:t>Choisir entre la visite, l’appel et l’envoi du formulaire.</w:t>
      </w:r>
    </w:p>
    <w:p>
      <w:pPr>
        <w:pStyle w:val="Normal"/>
        <w:keepNext w:val="true"/>
        <w:keepLines/>
        <w:spacing w:before="30" w:after="0"/>
        <w:ind w:start="28"/>
        <w:rPr/>
      </w:pPr>
      <w:r>
        <w:rPr>
          <w:b/>
          <w:color w:val="0B3D91"/>
          <w:sz w:val="16"/>
        </w:rPr>
        <w:t>Q7. Quel canal ou moyen de contact est lié à « Texte d’invitation sous « Contact Us » » ?</w:t>
      </w:r>
    </w:p>
    <w:p>
      <w:pPr>
        <w:pStyle w:val="Normal"/>
        <w:spacing w:before="0" w:after="30"/>
        <w:ind w:start="227"/>
        <w:rPr/>
      </w:pPr>
      <w:r>
        <w:rPr>
          <w:b/>
          <w:color w:val="D4A017"/>
          <w:sz w:val="16"/>
        </w:rPr>
        <w:t xml:space="preserve">Réponse : </w:t>
      </w:r>
      <w:r>
        <w:rPr>
          <w:color w:val="1F2937"/>
          <w:sz w:val="16"/>
        </w:rPr>
        <w:t>Accueil physique, téléphone et formulaire web.</w:t>
      </w:r>
    </w:p>
    <w:p>
      <w:pPr>
        <w:pStyle w:val="Normal"/>
        <w:keepNext w:val="true"/>
        <w:keepLines/>
        <w:spacing w:before="30" w:after="0"/>
        <w:ind w:start="28"/>
        <w:rPr/>
      </w:pPr>
      <w:r>
        <w:rPr>
          <w:b/>
          <w:color w:val="0B3D91"/>
          <w:sz w:val="16"/>
        </w:rPr>
        <w:t>Q8. Quel est le statut éditorial ou fonctionnel de « Texte d’invitation sous « Contact Us » » sur le site inspecté ?</w:t>
      </w:r>
    </w:p>
    <w:p>
      <w:pPr>
        <w:pStyle w:val="Normal"/>
        <w:spacing w:before="0" w:after="30"/>
        <w:ind w:start="227"/>
        <w:rPr/>
      </w:pPr>
      <w:r>
        <w:rPr>
          <w:b/>
          <w:color w:val="D4A017"/>
          <w:sz w:val="16"/>
        </w:rPr>
        <w:t xml:space="preserve">Réponse : </w:t>
      </w:r>
      <w:r>
        <w:rPr>
          <w:color w:val="1F2937"/>
          <w:sz w:val="16"/>
        </w:rPr>
        <w:t>Texte de modèle en anglais.</w:t>
      </w:r>
    </w:p>
    <w:p>
      <w:pPr>
        <w:pStyle w:val="Normal"/>
        <w:keepNext w:val="true"/>
        <w:keepLines/>
        <w:spacing w:before="30" w:after="0"/>
        <w:ind w:start="28"/>
        <w:rPr/>
      </w:pPr>
      <w:r>
        <w:rPr>
          <w:b/>
          <w:color w:val="0B3D91"/>
          <w:sz w:val="16"/>
        </w:rPr>
        <w:t>Q9. Quelle limite ou précaution faut-il conserver à propos de « Texte d’invitation sous « Contact Us » » ?</w:t>
      </w:r>
    </w:p>
    <w:p>
      <w:pPr>
        <w:pStyle w:val="Normal"/>
        <w:spacing w:before="0" w:after="30"/>
        <w:ind w:start="227"/>
        <w:rPr/>
      </w:pPr>
      <w:r>
        <w:rPr>
          <w:b/>
          <w:color w:val="D4A017"/>
          <w:sz w:val="16"/>
        </w:rPr>
        <w:t xml:space="preserve">Réponse : </w:t>
      </w:r>
      <w:r>
        <w:rPr>
          <w:color w:val="1F2937"/>
          <w:sz w:val="16"/>
        </w:rPr>
        <w:t>Les heures de bureau ne sont pas précisées et le mot « syllabus » n’est pas adapté au vocabulaire principal du site français.</w:t>
      </w:r>
    </w:p>
    <w:p>
      <w:pPr>
        <w:pStyle w:val="Normal"/>
        <w:keepNext w:val="true"/>
        <w:keepLines/>
        <w:spacing w:before="30" w:after="0"/>
        <w:ind w:start="28"/>
        <w:rPr/>
      </w:pPr>
      <w:r>
        <w:rPr>
          <w:b/>
          <w:color w:val="0B3D91"/>
          <w:sz w:val="16"/>
        </w:rPr>
        <w:t>Q10. Quelle réponse essentielle faut-il retenir au sujet de « Texte d’invitation sous « Contact Us » » ?</w:t>
      </w:r>
    </w:p>
    <w:p>
      <w:pPr>
        <w:pStyle w:val="Normal"/>
        <w:spacing w:before="0" w:after="30"/>
        <w:ind w:start="227"/>
        <w:rPr/>
      </w:pPr>
      <w:r>
        <w:rPr>
          <w:b/>
          <w:color w:val="D4A017"/>
          <w:sz w:val="16"/>
        </w:rPr>
        <w:t xml:space="preserve">Réponse : </w:t>
      </w:r>
      <w:r>
        <w:rPr>
          <w:color w:val="1F2937"/>
          <w:sz w:val="16"/>
        </w:rPr>
        <w:t>Le visiteur peut poser une question sur les admissions, les programmes ou un autre sujet par plusieurs canaux.</w:t>
      </w:r>
    </w:p>
    <w:p>
      <w:pPr>
        <w:pStyle w:val="Normal"/>
        <w:rPr/>
      </w:pPr>
      <w:r>
        <w:rPr/>
      </w:r>
      <w:r>
        <w:br w:type="page"/>
      </w:r>
    </w:p>
    <w:p>
      <w:pPr>
        <w:pStyle w:val="Heading1"/>
        <w:spacing w:before="0" w:after="100"/>
        <w:rPr/>
      </w:pPr>
      <w:r>
        <w:rPr/>
        <w:t>Fiche 12 — Rubrique « Address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rubrique anglaise « Address » introduit l’adresse affichée dans le bloc principal.</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Rubrique visible mais non finalisée.</w:t>
            </w:r>
          </w:p>
        </w:tc>
      </w:tr>
    </w:tbl>
    <w:p>
      <w:pPr>
        <w:pStyle w:val="Normal"/>
        <w:spacing w:before="20" w:after="80"/>
        <w:rPr/>
      </w:pPr>
      <w:r>
        <w:rPr>
          <w:b/>
          <w:color w:val="0B3D91"/>
          <w:sz w:val="15"/>
        </w:rPr>
        <w:t xml:space="preserve">Source contrôlée : </w:t>
      </w:r>
      <w:r>
        <w:rPr>
          <w:color w:val="555555"/>
          <w:sz w:val="15"/>
        </w:rPr>
        <w:t>Carte de coordonnées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Titre anglais</w:t>
      </w:r>
    </w:p>
    <w:p>
      <w:pPr>
        <w:pStyle w:val="ListBullet"/>
        <w:numPr>
          <w:ilvl w:val="0"/>
          <w:numId w:val="1"/>
        </w:numPr>
        <w:spacing w:before="0" w:after="20"/>
        <w:ind w:hanging="360" w:start="255"/>
        <w:contextualSpacing/>
        <w:rPr/>
      </w:pPr>
      <w:r>
        <w:rPr>
          <w:sz w:val="17"/>
        </w:rPr>
        <w:t>Localisation physique</w:t>
      </w:r>
    </w:p>
    <w:p>
      <w:pPr>
        <w:pStyle w:val="ListBullet"/>
        <w:numPr>
          <w:ilvl w:val="0"/>
          <w:numId w:val="1"/>
        </w:numPr>
        <w:spacing w:before="0" w:after="20"/>
        <w:ind w:hanging="360" w:start="255"/>
        <w:contextualSpacing/>
        <w:rPr/>
      </w:pPr>
      <w:r>
        <w:rPr>
          <w:sz w:val="17"/>
        </w:rPr>
        <w:t>Carte de coordonnées</w:t>
      </w:r>
    </w:p>
    <w:p>
      <w:pPr>
        <w:pStyle w:val="ListBullet"/>
        <w:numPr>
          <w:ilvl w:val="0"/>
          <w:numId w:val="1"/>
        </w:numPr>
        <w:spacing w:before="0" w:after="20"/>
        <w:ind w:hanging="360" w:start="255"/>
        <w:contextualSpacing/>
        <w:rPr/>
      </w:pPr>
      <w:r>
        <w:rPr>
          <w:sz w:val="17"/>
        </w:rPr>
        <w:t>Contenu à corriger</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clairement la localisation physique.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Une adresse exacte est indispensable à la visite, à la confiance et à la visibilité locale.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Localisation, Planifier une visite, Google Maps et Nous contacter.</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Rubrique « Address » » ?</w:t>
      </w:r>
    </w:p>
    <w:p>
      <w:pPr>
        <w:pStyle w:val="Normal"/>
        <w:spacing w:before="0" w:after="30"/>
        <w:ind w:start="227"/>
        <w:rPr/>
      </w:pPr>
      <w:r>
        <w:rPr>
          <w:b/>
          <w:color w:val="D4A017"/>
          <w:sz w:val="16"/>
        </w:rPr>
        <w:t xml:space="preserve">Réponse : </w:t>
      </w:r>
      <w:r>
        <w:rPr>
          <w:color w:val="1F2937"/>
          <w:sz w:val="16"/>
        </w:rPr>
        <w:t>La rubrique anglaise « Address » introduit l’adresse affichée dans le bloc principal.</w:t>
      </w:r>
    </w:p>
    <w:p>
      <w:pPr>
        <w:pStyle w:val="Normal"/>
        <w:keepNext w:val="true"/>
        <w:keepLines/>
        <w:spacing w:before="30" w:after="0"/>
        <w:ind w:start="28"/>
        <w:rPr/>
      </w:pPr>
      <w:r>
        <w:rPr>
          <w:b/>
          <w:color w:val="0B3D91"/>
          <w:sz w:val="16"/>
        </w:rPr>
        <w:t>Q2. Quelle est l’idée centrale développée sous « Rubrique « Address » » ?</w:t>
      </w:r>
    </w:p>
    <w:p>
      <w:pPr>
        <w:pStyle w:val="Normal"/>
        <w:spacing w:before="0" w:after="30"/>
        <w:ind w:start="227"/>
        <w:rPr/>
      </w:pPr>
      <w:r>
        <w:rPr>
          <w:b/>
          <w:color w:val="D4A017"/>
          <w:sz w:val="16"/>
        </w:rPr>
        <w:t xml:space="preserve">Réponse : </w:t>
      </w:r>
      <w:r>
        <w:rPr>
          <w:color w:val="1F2937"/>
          <w:sz w:val="16"/>
        </w:rPr>
        <w:t>Elle est destinée à indiquer le lieu physique où l’école peut être visitée.</w:t>
      </w:r>
    </w:p>
    <w:p>
      <w:pPr>
        <w:pStyle w:val="Normal"/>
        <w:keepNext w:val="true"/>
        <w:keepLines/>
        <w:spacing w:before="30" w:after="0"/>
        <w:ind w:start="28"/>
        <w:rPr/>
      </w:pPr>
      <w:r>
        <w:rPr>
          <w:b/>
          <w:color w:val="0B3D91"/>
          <w:sz w:val="16"/>
        </w:rPr>
        <w:t>Q3. Quels éléments précis sont associés à « Rubrique « Address » » ?</w:t>
      </w:r>
    </w:p>
    <w:p>
      <w:pPr>
        <w:pStyle w:val="Normal"/>
        <w:spacing w:before="0" w:after="30"/>
        <w:ind w:start="227"/>
        <w:rPr/>
      </w:pPr>
      <w:r>
        <w:rPr>
          <w:b/>
          <w:color w:val="D4A017"/>
          <w:sz w:val="16"/>
        </w:rPr>
        <w:t xml:space="preserve">Réponse : </w:t>
      </w:r>
      <w:r>
        <w:rPr>
          <w:color w:val="1F2937"/>
          <w:sz w:val="16"/>
        </w:rPr>
        <w:t>Un intitulé anglais et une adresse de démonstration.</w:t>
      </w:r>
    </w:p>
    <w:p>
      <w:pPr>
        <w:pStyle w:val="Normal"/>
        <w:keepNext w:val="true"/>
        <w:keepLines/>
        <w:spacing w:before="30" w:after="0"/>
        <w:ind w:start="28"/>
        <w:rPr/>
      </w:pPr>
      <w:r>
        <w:rPr>
          <w:b/>
          <w:color w:val="0B3D91"/>
          <w:sz w:val="16"/>
        </w:rPr>
        <w:t>Q4. Où « Rubrique « Address » » apparaît-il dans le parcours de la page Contact ?</w:t>
      </w:r>
    </w:p>
    <w:p>
      <w:pPr>
        <w:pStyle w:val="Normal"/>
        <w:spacing w:before="0" w:after="30"/>
        <w:ind w:start="227"/>
        <w:rPr/>
      </w:pPr>
      <w:r>
        <w:rPr>
          <w:b/>
          <w:color w:val="D4A017"/>
          <w:sz w:val="16"/>
        </w:rPr>
        <w:t xml:space="preserve">Réponse : </w:t>
      </w:r>
      <w:r>
        <w:rPr>
          <w:color w:val="1F2937"/>
          <w:sz w:val="16"/>
        </w:rPr>
        <w:t>Dans la première carte de coordonnées du bloc « Contact Us ».</w:t>
      </w:r>
    </w:p>
    <w:p>
      <w:pPr>
        <w:pStyle w:val="Normal"/>
        <w:keepNext w:val="true"/>
        <w:keepLines/>
        <w:spacing w:before="30" w:after="0"/>
        <w:ind w:start="28"/>
        <w:rPr/>
      </w:pPr>
      <w:r>
        <w:rPr>
          <w:b/>
          <w:color w:val="0B3D91"/>
          <w:sz w:val="16"/>
        </w:rPr>
        <w:t>Q5. À quel public « Rubrique « Address » » s’adresse-t-il ?</w:t>
      </w:r>
    </w:p>
    <w:p>
      <w:pPr>
        <w:pStyle w:val="Normal"/>
        <w:spacing w:before="0" w:after="30"/>
        <w:ind w:start="227"/>
        <w:rPr/>
      </w:pPr>
      <w:r>
        <w:rPr>
          <w:b/>
          <w:color w:val="D4A017"/>
          <w:sz w:val="16"/>
        </w:rPr>
        <w:t xml:space="preserve">Réponse : </w:t>
      </w:r>
      <w:r>
        <w:rPr>
          <w:color w:val="1F2937"/>
          <w:sz w:val="16"/>
        </w:rPr>
        <w:t>Visiteurs souhaitant localiser l’établissement ou se rendre sur place.</w:t>
      </w:r>
    </w:p>
    <w:p>
      <w:pPr>
        <w:pStyle w:val="Normal"/>
        <w:keepNext w:val="true"/>
        <w:keepLines/>
        <w:spacing w:before="30" w:after="0"/>
        <w:ind w:start="28"/>
        <w:rPr/>
      </w:pPr>
      <w:r>
        <w:rPr>
          <w:b/>
          <w:color w:val="0B3D91"/>
          <w:sz w:val="16"/>
        </w:rPr>
        <w:t>Q6. Quelle action le visiteur peut-il accomplir à partir de « Rubrique « Address » » ?</w:t>
      </w:r>
    </w:p>
    <w:p>
      <w:pPr>
        <w:pStyle w:val="Normal"/>
        <w:spacing w:before="0" w:after="30"/>
        <w:ind w:start="227"/>
        <w:rPr/>
      </w:pPr>
      <w:r>
        <w:rPr>
          <w:b/>
          <w:color w:val="D4A017"/>
          <w:sz w:val="16"/>
        </w:rPr>
        <w:t xml:space="preserve">Réponse : </w:t>
      </w:r>
      <w:r>
        <w:rPr>
          <w:color w:val="1F2937"/>
          <w:sz w:val="16"/>
        </w:rPr>
        <w:t>Lire l’adresse puis préparer un déplacement.</w:t>
      </w:r>
    </w:p>
    <w:p>
      <w:pPr>
        <w:pStyle w:val="Normal"/>
        <w:keepNext w:val="true"/>
        <w:keepLines/>
        <w:spacing w:before="30" w:after="0"/>
        <w:ind w:start="28"/>
        <w:rPr/>
      </w:pPr>
      <w:r>
        <w:rPr>
          <w:b/>
          <w:color w:val="0B3D91"/>
          <w:sz w:val="16"/>
        </w:rPr>
        <w:t>Q7. Quel canal ou moyen de contact est lié à « Rubrique « Address » » ?</w:t>
      </w:r>
    </w:p>
    <w:p>
      <w:pPr>
        <w:pStyle w:val="Normal"/>
        <w:spacing w:before="0" w:after="30"/>
        <w:ind w:start="227"/>
        <w:rPr/>
      </w:pPr>
      <w:r>
        <w:rPr>
          <w:b/>
          <w:color w:val="D4A017"/>
          <w:sz w:val="16"/>
        </w:rPr>
        <w:t xml:space="preserve">Réponse : </w:t>
      </w:r>
      <w:r>
        <w:rPr>
          <w:color w:val="1F2937"/>
          <w:sz w:val="16"/>
        </w:rPr>
        <w:t>Adresse physique.</w:t>
      </w:r>
    </w:p>
    <w:p>
      <w:pPr>
        <w:pStyle w:val="Normal"/>
        <w:keepNext w:val="true"/>
        <w:keepLines/>
        <w:spacing w:before="30" w:after="0"/>
        <w:ind w:start="28"/>
        <w:rPr/>
      </w:pPr>
      <w:r>
        <w:rPr>
          <w:b/>
          <w:color w:val="0B3D91"/>
          <w:sz w:val="16"/>
        </w:rPr>
        <w:t>Q8. Quel est le statut éditorial ou fonctionnel de « Rubrique « Address » » sur le site inspecté ?</w:t>
      </w:r>
    </w:p>
    <w:p>
      <w:pPr>
        <w:pStyle w:val="Normal"/>
        <w:spacing w:before="0" w:after="30"/>
        <w:ind w:start="227"/>
        <w:rPr/>
      </w:pPr>
      <w:r>
        <w:rPr>
          <w:b/>
          <w:color w:val="D4A017"/>
          <w:sz w:val="16"/>
        </w:rPr>
        <w:t xml:space="preserve">Réponse : </w:t>
      </w:r>
      <w:r>
        <w:rPr>
          <w:color w:val="1F2937"/>
          <w:sz w:val="16"/>
        </w:rPr>
        <w:t>Rubrique visible mais non finalisée.</w:t>
      </w:r>
    </w:p>
    <w:p>
      <w:pPr>
        <w:pStyle w:val="Normal"/>
        <w:keepNext w:val="true"/>
        <w:keepLines/>
        <w:spacing w:before="30" w:after="0"/>
        <w:ind w:start="28"/>
        <w:rPr/>
      </w:pPr>
      <w:r>
        <w:rPr>
          <w:b/>
          <w:color w:val="0B3D91"/>
          <w:sz w:val="16"/>
        </w:rPr>
        <w:t>Q9. Quelle limite ou précaution faut-il conserver à propos de « Rubrique « Address » » ?</w:t>
      </w:r>
    </w:p>
    <w:p>
      <w:pPr>
        <w:pStyle w:val="Normal"/>
        <w:spacing w:before="0" w:after="30"/>
        <w:ind w:start="227"/>
        <w:rPr/>
      </w:pPr>
      <w:r>
        <w:rPr>
          <w:b/>
          <w:color w:val="D4A017"/>
          <w:sz w:val="16"/>
        </w:rPr>
        <w:t xml:space="preserve">Réponse : </w:t>
      </w:r>
      <w:r>
        <w:rPr>
          <w:color w:val="1F2937"/>
          <w:sz w:val="16"/>
        </w:rPr>
        <w:t>L’adresse qui suit est une donnée de démonstration située aux États-Unis et ne doit pas être utilisée.</w:t>
      </w:r>
    </w:p>
    <w:p>
      <w:pPr>
        <w:pStyle w:val="Normal"/>
        <w:keepNext w:val="true"/>
        <w:keepLines/>
        <w:spacing w:before="30" w:after="0"/>
        <w:ind w:start="28"/>
        <w:rPr/>
      </w:pPr>
      <w:r>
        <w:rPr>
          <w:b/>
          <w:color w:val="0B3D91"/>
          <w:sz w:val="16"/>
        </w:rPr>
        <w:t>Q10. Quelle réponse essentielle faut-il retenir au sujet de « Rubrique « Address » » ?</w:t>
      </w:r>
    </w:p>
    <w:p>
      <w:pPr>
        <w:pStyle w:val="Normal"/>
        <w:spacing w:before="0" w:after="30"/>
        <w:ind w:start="227"/>
        <w:rPr/>
      </w:pPr>
      <w:r>
        <w:rPr>
          <w:b/>
          <w:color w:val="D4A017"/>
          <w:sz w:val="16"/>
        </w:rPr>
        <w:t xml:space="preserve">Réponse : </w:t>
      </w:r>
      <w:r>
        <w:rPr>
          <w:color w:val="1F2937"/>
          <w:sz w:val="16"/>
        </w:rPr>
        <w:t>La fonction de la rubrique est correcte, mais son contenu doit être remplacé par l’adresse officielle du GSE.</w:t>
      </w:r>
    </w:p>
    <w:p>
      <w:pPr>
        <w:pStyle w:val="Normal"/>
        <w:rPr/>
      </w:pPr>
      <w:r>
        <w:rPr/>
      </w:r>
      <w:r>
        <w:br w:type="page"/>
      </w:r>
    </w:p>
    <w:p>
      <w:pPr>
        <w:pStyle w:val="Heading1"/>
        <w:spacing w:before="0" w:after="100"/>
        <w:rPr/>
      </w:pPr>
      <w:r>
        <w:rPr/>
        <w:t>Fiche 13 — Adresse de démonstration « 1234 Demo Ave, Austin, TX 56789, United States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principal affiche « 1234 Demo Ave, Austin, TX 56789, United States ».</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7"/>
              </w:rPr>
              <w:t xml:space="preserve">Statut : </w:t>
            </w:r>
            <w:r>
              <w:rPr>
                <w:color w:val="1F2937"/>
                <w:sz w:val="17"/>
              </w:rPr>
              <w:t>Donnée erronée et prioritairement à remplacer.</w:t>
            </w:r>
          </w:p>
        </w:tc>
      </w:tr>
    </w:tbl>
    <w:p>
      <w:pPr>
        <w:pStyle w:val="Normal"/>
        <w:spacing w:before="20" w:after="80"/>
        <w:rPr/>
      </w:pPr>
      <w:r>
        <w:rPr>
          <w:b/>
          <w:color w:val="0B3D91"/>
          <w:sz w:val="15"/>
        </w:rPr>
        <w:t xml:space="preserve">Source contrôlée : </w:t>
      </w:r>
      <w:r>
        <w:rPr>
          <w:color w:val="555555"/>
          <w:sz w:val="15"/>
        </w:rPr>
        <w:t>Contenu de la carte Address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Adresse fictive</w:t>
      </w:r>
    </w:p>
    <w:p>
      <w:pPr>
        <w:pStyle w:val="ListBullet"/>
        <w:numPr>
          <w:ilvl w:val="0"/>
          <w:numId w:val="1"/>
        </w:numPr>
        <w:spacing w:before="0" w:after="20"/>
        <w:ind w:hanging="360" w:start="255"/>
        <w:contextualSpacing/>
        <w:rPr/>
      </w:pPr>
      <w:r>
        <w:rPr>
          <w:sz w:val="17"/>
        </w:rPr>
        <w:t>Austin, Texas</w:t>
      </w:r>
    </w:p>
    <w:p>
      <w:pPr>
        <w:pStyle w:val="ListBullet"/>
        <w:numPr>
          <w:ilvl w:val="0"/>
          <w:numId w:val="1"/>
        </w:numPr>
        <w:spacing w:before="0" w:after="20"/>
        <w:ind w:hanging="360" w:start="255"/>
        <w:contextualSpacing/>
        <w:rPr/>
      </w:pPr>
      <w:r>
        <w:rPr>
          <w:sz w:val="17"/>
        </w:rPr>
        <w:t>États-Unis</w:t>
      </w:r>
    </w:p>
    <w:p>
      <w:pPr>
        <w:pStyle w:val="ListBullet"/>
        <w:numPr>
          <w:ilvl w:val="0"/>
          <w:numId w:val="1"/>
        </w:numPr>
        <w:spacing w:before="0" w:after="20"/>
        <w:ind w:hanging="360" w:start="255"/>
        <w:contextualSpacing/>
        <w:rPr/>
      </w:pPr>
      <w:r>
        <w:rPr>
          <w:sz w:val="17"/>
        </w:rPr>
        <w:t>Contradiction avec Bukavu</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ligne provient d’un gabarit et doit être clairement identifiée pour éviter toute confusion.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correction est essentielle pour la sécurité des visiteurs et la crédibilité du site.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l’adresse officielle du pied de page, la visite et la localisation.</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Le bloc principal affiche « 1234 Demo Ave, Austin, TX 56789, United States ».</w:t>
      </w:r>
    </w:p>
    <w:p>
      <w:pPr>
        <w:pStyle w:val="Normal"/>
        <w:keepNext w:val="true"/>
        <w:keepLines/>
        <w:spacing w:before="30" w:after="0"/>
        <w:ind w:start="28"/>
        <w:rPr/>
      </w:pPr>
      <w:r>
        <w:rPr>
          <w:b/>
          <w:color w:val="0B3D91"/>
          <w:sz w:val="16"/>
        </w:rPr>
        <w:t>Q2. Quelle est l’idée centrale développée sous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Il s’agit manifestement d’une adresse générique de modèle et non de l’adresse de l’école à Bukavu.</w:t>
      </w:r>
    </w:p>
    <w:p>
      <w:pPr>
        <w:pStyle w:val="Normal"/>
        <w:keepNext w:val="true"/>
        <w:keepLines/>
        <w:spacing w:before="30" w:after="0"/>
        <w:ind w:start="28"/>
        <w:rPr/>
      </w:pPr>
      <w:r>
        <w:rPr>
          <w:b/>
          <w:color w:val="0B3D91"/>
          <w:sz w:val="16"/>
        </w:rPr>
        <w:t>Q3. Quels éléments précis sont associés à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Numéro 1234, Demo Ave, Austin, Texas, code 56789 et États-Unis.</w:t>
      </w:r>
    </w:p>
    <w:p>
      <w:pPr>
        <w:pStyle w:val="Normal"/>
        <w:keepNext w:val="true"/>
        <w:keepLines/>
        <w:spacing w:before="30" w:after="0"/>
        <w:ind w:start="28"/>
        <w:rPr/>
      </w:pPr>
      <w:r>
        <w:rPr>
          <w:b/>
          <w:color w:val="0B3D91"/>
          <w:sz w:val="16"/>
        </w:rPr>
        <w:t>Q4. Où « Adresse de démonstration « 1234 Demo Ave, Austin, TX 56789, United States » » apparaît-il dans le parcours de la page Contact ?</w:t>
      </w:r>
    </w:p>
    <w:p>
      <w:pPr>
        <w:pStyle w:val="Normal"/>
        <w:spacing w:before="0" w:after="30"/>
        <w:ind w:start="227"/>
        <w:rPr/>
      </w:pPr>
      <w:r>
        <w:rPr>
          <w:b/>
          <w:color w:val="D4A017"/>
          <w:sz w:val="16"/>
        </w:rPr>
        <w:t xml:space="preserve">Réponse : </w:t>
      </w:r>
      <w:r>
        <w:rPr>
          <w:color w:val="1F2937"/>
          <w:sz w:val="16"/>
        </w:rPr>
        <w:t>Sous l’intitulé « Address » du bloc Contact Us.</w:t>
      </w:r>
    </w:p>
    <w:p>
      <w:pPr>
        <w:pStyle w:val="Normal"/>
        <w:keepNext w:val="true"/>
        <w:keepLines/>
        <w:spacing w:before="30" w:after="0"/>
        <w:ind w:start="28"/>
        <w:rPr/>
      </w:pPr>
      <w:r>
        <w:rPr>
          <w:b/>
          <w:color w:val="0B3D91"/>
          <w:sz w:val="16"/>
        </w:rPr>
        <w:t>Q5. À quel public « Adresse de démonstration « 1234 Demo Ave, Austin, TX 56789, United States » » s’adresse-t-il ?</w:t>
      </w:r>
    </w:p>
    <w:p>
      <w:pPr>
        <w:pStyle w:val="Normal"/>
        <w:spacing w:before="0" w:after="30"/>
        <w:ind w:start="227"/>
        <w:rPr/>
      </w:pPr>
      <w:r>
        <w:rPr>
          <w:b/>
          <w:color w:val="D4A017"/>
          <w:sz w:val="16"/>
        </w:rPr>
        <w:t xml:space="preserve">Réponse : </w:t>
      </w:r>
      <w:r>
        <w:rPr>
          <w:color w:val="1F2937"/>
          <w:sz w:val="16"/>
        </w:rPr>
        <w:t>Tout visiteur consultant la page ; toutefois cette donnée ne doit pas servir à se déplacer.</w:t>
      </w:r>
    </w:p>
    <w:p>
      <w:pPr>
        <w:pStyle w:val="Normal"/>
        <w:keepNext w:val="true"/>
        <w:keepLines/>
        <w:spacing w:before="30" w:after="0"/>
        <w:ind w:start="28"/>
        <w:rPr/>
      </w:pPr>
      <w:r>
        <w:rPr>
          <w:b/>
          <w:color w:val="0B3D91"/>
          <w:sz w:val="16"/>
        </w:rPr>
        <w:t>Q6. Quelle action le visiteur peut-il accomplir à partir de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Ne pas utiliser cette adresse et se référer au bloc officiel « Nous contacter ».</w:t>
      </w:r>
    </w:p>
    <w:p>
      <w:pPr>
        <w:pStyle w:val="Normal"/>
        <w:keepNext w:val="true"/>
        <w:keepLines/>
        <w:spacing w:before="30" w:after="0"/>
        <w:ind w:start="28"/>
        <w:rPr/>
      </w:pPr>
      <w:r>
        <w:rPr>
          <w:b/>
          <w:color w:val="0B3D91"/>
          <w:sz w:val="16"/>
        </w:rPr>
        <w:t>Q7. Quel canal ou moyen de contact est lié à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Adresse physique de démonstration.</w:t>
      </w:r>
    </w:p>
    <w:p>
      <w:pPr>
        <w:pStyle w:val="Normal"/>
        <w:keepNext w:val="true"/>
        <w:keepLines/>
        <w:spacing w:before="30" w:after="0"/>
        <w:ind w:start="28"/>
        <w:rPr/>
      </w:pPr>
      <w:r>
        <w:rPr>
          <w:b/>
          <w:color w:val="0B3D91"/>
          <w:sz w:val="16"/>
        </w:rPr>
        <w:t>Q8. Quel est le statut éditorial ou fonctionnel de « Adresse de démonstration « 1234 Demo Ave, Austin, TX 56789, United States » » sur le site inspecté ?</w:t>
      </w:r>
    </w:p>
    <w:p>
      <w:pPr>
        <w:pStyle w:val="Normal"/>
        <w:spacing w:before="0" w:after="30"/>
        <w:ind w:start="227"/>
        <w:rPr/>
      </w:pPr>
      <w:r>
        <w:rPr>
          <w:b/>
          <w:color w:val="D4A017"/>
          <w:sz w:val="16"/>
        </w:rPr>
        <w:t xml:space="preserve">Réponse : </w:t>
      </w:r>
      <w:r>
        <w:rPr>
          <w:color w:val="1F2937"/>
          <w:sz w:val="16"/>
        </w:rPr>
        <w:t>Donnée erronée et prioritairement à remplacer.</w:t>
      </w:r>
    </w:p>
    <w:p>
      <w:pPr>
        <w:pStyle w:val="Normal"/>
        <w:keepNext w:val="true"/>
        <w:keepLines/>
        <w:spacing w:before="30" w:after="0"/>
        <w:ind w:start="28"/>
        <w:rPr/>
      </w:pPr>
      <w:r>
        <w:rPr>
          <w:b/>
          <w:color w:val="0B3D91"/>
          <w:sz w:val="16"/>
        </w:rPr>
        <w:t>Q9. Quelle limite ou précaution faut-il conserver à propos de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Elle contredit l’adresse officielle située à Labotte, Commune d’Ibanda, Bukavu.</w:t>
      </w:r>
    </w:p>
    <w:p>
      <w:pPr>
        <w:pStyle w:val="Normal"/>
        <w:keepNext w:val="true"/>
        <w:keepLines/>
        <w:spacing w:before="30" w:after="0"/>
        <w:ind w:start="28"/>
        <w:rPr/>
      </w:pPr>
      <w:r>
        <w:rPr>
          <w:b/>
          <w:color w:val="0B3D91"/>
          <w:sz w:val="16"/>
        </w:rPr>
        <w:t>Q10. Quelle réponse essentielle faut-il retenir au sujet de « Adresse de démonstration « 1234 Demo Ave, Austin, TX 56789, United States » » ?</w:t>
      </w:r>
    </w:p>
    <w:p>
      <w:pPr>
        <w:pStyle w:val="Normal"/>
        <w:spacing w:before="0" w:after="30"/>
        <w:ind w:start="227"/>
        <w:rPr/>
      </w:pPr>
      <w:r>
        <w:rPr>
          <w:b/>
          <w:color w:val="D4A017"/>
          <w:sz w:val="16"/>
        </w:rPr>
        <w:t xml:space="preserve">Réponse : </w:t>
      </w:r>
      <w:r>
        <w:rPr>
          <w:color w:val="1F2937"/>
          <w:sz w:val="16"/>
        </w:rPr>
        <w:t>L’adresse publiée dans ce bloc n’est pas celle du GROUPE SCOLAIRE LES ÉMINENTS.</w:t>
      </w:r>
    </w:p>
    <w:p>
      <w:pPr>
        <w:pStyle w:val="Normal"/>
        <w:rPr/>
      </w:pPr>
      <w:r>
        <w:rPr/>
      </w:r>
      <w:r>
        <w:br w:type="page"/>
      </w:r>
    </w:p>
    <w:p>
      <w:pPr>
        <w:pStyle w:val="Heading1"/>
        <w:spacing w:before="0" w:after="100"/>
        <w:rPr/>
      </w:pPr>
      <w:r>
        <w:rPr/>
        <w:t>Fiche 14 — Rubrique « Phone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rubrique anglaise « Phone » introduit un numéro de téléphone dans le bloc principal.</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Rubrique visible mais son numéro est un exemple non institutionnel.</w:t>
            </w:r>
          </w:p>
        </w:tc>
      </w:tr>
    </w:tbl>
    <w:p>
      <w:pPr>
        <w:pStyle w:val="Normal"/>
        <w:spacing w:before="20" w:after="80"/>
        <w:rPr/>
      </w:pPr>
      <w:r>
        <w:rPr>
          <w:b/>
          <w:color w:val="0B3D91"/>
          <w:sz w:val="15"/>
        </w:rPr>
        <w:t xml:space="preserve">Source contrôlée : </w:t>
      </w:r>
      <w:r>
        <w:rPr>
          <w:color w:val="555555"/>
          <w:sz w:val="15"/>
        </w:rPr>
        <w:t>Carte de coordonnées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Titre anglais</w:t>
      </w:r>
    </w:p>
    <w:p>
      <w:pPr>
        <w:pStyle w:val="ListBullet"/>
        <w:numPr>
          <w:ilvl w:val="0"/>
          <w:numId w:val="1"/>
        </w:numPr>
        <w:spacing w:before="0" w:after="20"/>
        <w:ind w:hanging="360" w:start="255"/>
        <w:contextualSpacing/>
        <w:rPr/>
      </w:pPr>
      <w:r>
        <w:rPr>
          <w:sz w:val="17"/>
        </w:rPr>
        <w:t>Contact vocal</w:t>
      </w:r>
    </w:p>
    <w:p>
      <w:pPr>
        <w:pStyle w:val="ListBullet"/>
        <w:numPr>
          <w:ilvl w:val="0"/>
          <w:numId w:val="1"/>
        </w:numPr>
        <w:spacing w:before="0" w:after="20"/>
        <w:ind w:hanging="360" w:start="255"/>
        <w:contextualSpacing/>
        <w:rPr/>
      </w:pPr>
      <w:r>
        <w:rPr>
          <w:sz w:val="17"/>
        </w:rPr>
        <w:t>Numéro générique</w:t>
      </w:r>
    </w:p>
    <w:p>
      <w:pPr>
        <w:pStyle w:val="ListBullet"/>
        <w:numPr>
          <w:ilvl w:val="0"/>
          <w:numId w:val="1"/>
        </w:numPr>
        <w:spacing w:before="0" w:after="20"/>
        <w:ind w:hanging="360" w:start="255"/>
        <w:contextualSpacing/>
        <w:rPr/>
      </w:pPr>
      <w:r>
        <w:rPr>
          <w:sz w:val="17"/>
        </w:rPr>
        <w:t>Remplacement nécessaire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le canal téléphonique.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Le téléphone est un moyen prioritaire de réponse rapide pour les familles.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les numéros officiels, WhatsApp, Admissions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Rubrique « Phone » » ?</w:t>
      </w:r>
    </w:p>
    <w:p>
      <w:pPr>
        <w:pStyle w:val="Normal"/>
        <w:spacing w:before="0" w:after="30"/>
        <w:ind w:start="227"/>
        <w:rPr/>
      </w:pPr>
      <w:r>
        <w:rPr>
          <w:b/>
          <w:color w:val="D4A017"/>
          <w:sz w:val="16"/>
        </w:rPr>
        <w:t xml:space="preserve">Réponse : </w:t>
      </w:r>
      <w:r>
        <w:rPr>
          <w:color w:val="1F2937"/>
          <w:sz w:val="16"/>
        </w:rPr>
        <w:t>La rubrique anglaise « Phone » introduit un numéro de téléphone dans le bloc principal.</w:t>
      </w:r>
    </w:p>
    <w:p>
      <w:pPr>
        <w:pStyle w:val="Normal"/>
        <w:keepNext w:val="true"/>
        <w:keepLines/>
        <w:spacing w:before="30" w:after="0"/>
        <w:ind w:start="28"/>
        <w:rPr/>
      </w:pPr>
      <w:r>
        <w:rPr>
          <w:b/>
          <w:color w:val="0B3D91"/>
          <w:sz w:val="16"/>
        </w:rPr>
        <w:t>Q2. Quelle est l’idée centrale développée sous « Rubrique « Phone » » ?</w:t>
      </w:r>
    </w:p>
    <w:p>
      <w:pPr>
        <w:pStyle w:val="Normal"/>
        <w:spacing w:before="0" w:after="30"/>
        <w:ind w:start="227"/>
        <w:rPr/>
      </w:pPr>
      <w:r>
        <w:rPr>
          <w:b/>
          <w:color w:val="D4A017"/>
          <w:sz w:val="16"/>
        </w:rPr>
        <w:t xml:space="preserve">Réponse : </w:t>
      </w:r>
      <w:r>
        <w:rPr>
          <w:color w:val="1F2937"/>
          <w:sz w:val="16"/>
        </w:rPr>
        <w:t>Elle est destinée à permettre un contact vocal direct avec l’établissement.</w:t>
      </w:r>
    </w:p>
    <w:p>
      <w:pPr>
        <w:pStyle w:val="Normal"/>
        <w:keepNext w:val="true"/>
        <w:keepLines/>
        <w:spacing w:before="30" w:after="0"/>
        <w:ind w:start="28"/>
        <w:rPr/>
      </w:pPr>
      <w:r>
        <w:rPr>
          <w:b/>
          <w:color w:val="0B3D91"/>
          <w:sz w:val="16"/>
        </w:rPr>
        <w:t>Q3. Quels éléments précis sont associés à « Rubrique « Phone » » ?</w:t>
      </w:r>
    </w:p>
    <w:p>
      <w:pPr>
        <w:pStyle w:val="Normal"/>
        <w:spacing w:before="0" w:after="30"/>
        <w:ind w:start="227"/>
        <w:rPr/>
      </w:pPr>
      <w:r>
        <w:rPr>
          <w:b/>
          <w:color w:val="D4A017"/>
          <w:sz w:val="16"/>
        </w:rPr>
        <w:t xml:space="preserve">Réponse : </w:t>
      </w:r>
      <w:r>
        <w:rPr>
          <w:color w:val="1F2937"/>
          <w:sz w:val="16"/>
        </w:rPr>
        <w:t>Un intitulé anglais et un numéro générique commençant par +01.</w:t>
      </w:r>
    </w:p>
    <w:p>
      <w:pPr>
        <w:pStyle w:val="Normal"/>
        <w:keepNext w:val="true"/>
        <w:keepLines/>
        <w:spacing w:before="30" w:after="0"/>
        <w:ind w:start="28"/>
        <w:rPr/>
      </w:pPr>
      <w:r>
        <w:rPr>
          <w:b/>
          <w:color w:val="0B3D91"/>
          <w:sz w:val="16"/>
        </w:rPr>
        <w:t>Q4. Où « Rubrique « Phone » » apparaît-il dans le parcours de la page Contact ?</w:t>
      </w:r>
    </w:p>
    <w:p>
      <w:pPr>
        <w:pStyle w:val="Normal"/>
        <w:spacing w:before="0" w:after="30"/>
        <w:ind w:start="227"/>
        <w:rPr/>
      </w:pPr>
      <w:r>
        <w:rPr>
          <w:b/>
          <w:color w:val="D4A017"/>
          <w:sz w:val="16"/>
        </w:rPr>
        <w:t xml:space="preserve">Réponse : </w:t>
      </w:r>
      <w:r>
        <w:rPr>
          <w:color w:val="1F2937"/>
          <w:sz w:val="16"/>
        </w:rPr>
        <w:t>Dans la deuxième carte de coordonnées du bloc Contact Us.</w:t>
      </w:r>
    </w:p>
    <w:p>
      <w:pPr>
        <w:pStyle w:val="Normal"/>
        <w:keepNext w:val="true"/>
        <w:keepLines/>
        <w:spacing w:before="30" w:after="0"/>
        <w:ind w:start="28"/>
        <w:rPr/>
      </w:pPr>
      <w:r>
        <w:rPr>
          <w:b/>
          <w:color w:val="0B3D91"/>
          <w:sz w:val="16"/>
        </w:rPr>
        <w:t>Q5. À quel public « Rubrique « Phone » » s’adresse-t-il ?</w:t>
      </w:r>
    </w:p>
    <w:p>
      <w:pPr>
        <w:pStyle w:val="Normal"/>
        <w:spacing w:before="0" w:after="30"/>
        <w:ind w:start="227"/>
        <w:rPr/>
      </w:pPr>
      <w:r>
        <w:rPr>
          <w:b/>
          <w:color w:val="D4A017"/>
          <w:sz w:val="16"/>
        </w:rPr>
        <w:t xml:space="preserve">Réponse : </w:t>
      </w:r>
      <w:r>
        <w:rPr>
          <w:color w:val="1F2937"/>
          <w:sz w:val="16"/>
        </w:rPr>
        <w:t>Visiteurs souhaitant appeler l’école.</w:t>
      </w:r>
    </w:p>
    <w:p>
      <w:pPr>
        <w:pStyle w:val="Normal"/>
        <w:keepNext w:val="true"/>
        <w:keepLines/>
        <w:spacing w:before="30" w:after="0"/>
        <w:ind w:start="28"/>
        <w:rPr/>
      </w:pPr>
      <w:r>
        <w:rPr>
          <w:b/>
          <w:color w:val="0B3D91"/>
          <w:sz w:val="16"/>
        </w:rPr>
        <w:t>Q6. Quelle action le visiteur peut-il accomplir à partir de « Rubrique « Phone » » ?</w:t>
      </w:r>
    </w:p>
    <w:p>
      <w:pPr>
        <w:pStyle w:val="Normal"/>
        <w:spacing w:before="0" w:after="30"/>
        <w:ind w:start="227"/>
        <w:rPr/>
      </w:pPr>
      <w:r>
        <w:rPr>
          <w:b/>
          <w:color w:val="D4A017"/>
          <w:sz w:val="16"/>
        </w:rPr>
        <w:t xml:space="preserve">Réponse : </w:t>
      </w:r>
      <w:r>
        <w:rPr>
          <w:color w:val="1F2937"/>
          <w:sz w:val="16"/>
        </w:rPr>
        <w:t>Composer un numéro officiel après vérification.</w:t>
      </w:r>
    </w:p>
    <w:p>
      <w:pPr>
        <w:pStyle w:val="Normal"/>
        <w:keepNext w:val="true"/>
        <w:keepLines/>
        <w:spacing w:before="30" w:after="0"/>
        <w:ind w:start="28"/>
        <w:rPr/>
      </w:pPr>
      <w:r>
        <w:rPr>
          <w:b/>
          <w:color w:val="0B3D91"/>
          <w:sz w:val="16"/>
        </w:rPr>
        <w:t>Q7. Quel canal ou moyen de contact est lié à « Rubrique « Phone » » ?</w:t>
      </w:r>
    </w:p>
    <w:p>
      <w:pPr>
        <w:pStyle w:val="Normal"/>
        <w:spacing w:before="0" w:after="30"/>
        <w:ind w:start="227"/>
        <w:rPr/>
      </w:pPr>
      <w:r>
        <w:rPr>
          <w:b/>
          <w:color w:val="D4A017"/>
          <w:sz w:val="16"/>
        </w:rPr>
        <w:t xml:space="preserve">Réponse : </w:t>
      </w:r>
      <w:r>
        <w:rPr>
          <w:color w:val="1F2937"/>
          <w:sz w:val="16"/>
        </w:rPr>
        <w:t>Téléphone.</w:t>
      </w:r>
    </w:p>
    <w:p>
      <w:pPr>
        <w:pStyle w:val="Normal"/>
        <w:keepNext w:val="true"/>
        <w:keepLines/>
        <w:spacing w:before="30" w:after="0"/>
        <w:ind w:start="28"/>
        <w:rPr/>
      </w:pPr>
      <w:r>
        <w:rPr>
          <w:b/>
          <w:color w:val="0B3D91"/>
          <w:sz w:val="16"/>
        </w:rPr>
        <w:t>Q8. Quel est le statut éditorial ou fonctionnel de « Rubrique « Phone » » sur le site inspecté ?</w:t>
      </w:r>
    </w:p>
    <w:p>
      <w:pPr>
        <w:pStyle w:val="Normal"/>
        <w:spacing w:before="0" w:after="30"/>
        <w:ind w:start="227"/>
        <w:rPr/>
      </w:pPr>
      <w:r>
        <w:rPr>
          <w:b/>
          <w:color w:val="D4A017"/>
          <w:sz w:val="16"/>
        </w:rPr>
        <w:t xml:space="preserve">Réponse : </w:t>
      </w:r>
      <w:r>
        <w:rPr>
          <w:color w:val="1F2937"/>
          <w:sz w:val="16"/>
        </w:rPr>
        <w:t>Rubrique visible mais son numéro est un exemple non institutionnel.</w:t>
      </w:r>
    </w:p>
    <w:p>
      <w:pPr>
        <w:pStyle w:val="Normal"/>
        <w:keepNext w:val="true"/>
        <w:keepLines/>
        <w:spacing w:before="30" w:after="0"/>
        <w:ind w:start="28"/>
        <w:rPr/>
      </w:pPr>
      <w:r>
        <w:rPr>
          <w:b/>
          <w:color w:val="0B3D91"/>
          <w:sz w:val="16"/>
        </w:rPr>
        <w:t>Q9. Quelle limite ou précaution faut-il conserver à propos de « Rubrique « Phone » » ?</w:t>
      </w:r>
    </w:p>
    <w:p>
      <w:pPr>
        <w:pStyle w:val="Normal"/>
        <w:spacing w:before="0" w:after="30"/>
        <w:ind w:start="227"/>
        <w:rPr/>
      </w:pPr>
      <w:r>
        <w:rPr>
          <w:b/>
          <w:color w:val="D4A017"/>
          <w:sz w:val="16"/>
        </w:rPr>
        <w:t xml:space="preserve">Réponse : </w:t>
      </w:r>
      <w:r>
        <w:rPr>
          <w:color w:val="1F2937"/>
          <w:sz w:val="16"/>
        </w:rPr>
        <w:t>Le numéro qui suit ne doit pas être utilisé pour joindre le GSE.</w:t>
      </w:r>
    </w:p>
    <w:p>
      <w:pPr>
        <w:pStyle w:val="Normal"/>
        <w:keepNext w:val="true"/>
        <w:keepLines/>
        <w:spacing w:before="30" w:after="0"/>
        <w:ind w:start="28"/>
        <w:rPr/>
      </w:pPr>
      <w:r>
        <w:rPr>
          <w:b/>
          <w:color w:val="0B3D91"/>
          <w:sz w:val="16"/>
        </w:rPr>
        <w:t>Q10. Quelle réponse essentielle faut-il retenir au sujet de « Rubrique « Phone » » ?</w:t>
      </w:r>
    </w:p>
    <w:p>
      <w:pPr>
        <w:pStyle w:val="Normal"/>
        <w:spacing w:before="0" w:after="30"/>
        <w:ind w:start="227"/>
        <w:rPr/>
      </w:pPr>
      <w:r>
        <w:rPr>
          <w:b/>
          <w:color w:val="D4A017"/>
          <w:sz w:val="16"/>
        </w:rPr>
        <w:t xml:space="preserve">Réponse : </w:t>
      </w:r>
      <w:r>
        <w:rPr>
          <w:color w:val="1F2937"/>
          <w:sz w:val="16"/>
        </w:rPr>
        <w:t>La fonction « Téléphone » est utile, mais le contenu actuel du bloc doit être remplacé.</w:t>
      </w:r>
    </w:p>
    <w:p>
      <w:pPr>
        <w:pStyle w:val="Normal"/>
        <w:rPr/>
      </w:pPr>
      <w:r>
        <w:rPr/>
      </w:r>
      <w:r>
        <w:br w:type="page"/>
      </w:r>
    </w:p>
    <w:p>
      <w:pPr>
        <w:pStyle w:val="Heading1"/>
        <w:spacing w:before="0" w:after="100"/>
        <w:rPr/>
      </w:pPr>
      <w:r>
        <w:rPr/>
        <w:t>Fiche 15 — Numéro de démonstration « +01 - 123 456 7890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principal affiche le numéro « +01 - 123 456 7890 ».</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7"/>
              </w:rPr>
              <w:t xml:space="preserve">Statut : </w:t>
            </w:r>
            <w:r>
              <w:rPr>
                <w:color w:val="1F2937"/>
                <w:sz w:val="17"/>
              </w:rPr>
              <w:t>Donnée erronée à supprimer.</w:t>
            </w:r>
          </w:p>
        </w:tc>
      </w:tr>
    </w:tbl>
    <w:p>
      <w:pPr>
        <w:pStyle w:val="Normal"/>
        <w:spacing w:before="20" w:after="80"/>
        <w:rPr/>
      </w:pPr>
      <w:r>
        <w:rPr>
          <w:b/>
          <w:color w:val="0B3D91"/>
          <w:sz w:val="15"/>
        </w:rPr>
        <w:t xml:space="preserve">Source contrôlée : </w:t>
      </w:r>
      <w:r>
        <w:rPr>
          <w:color w:val="555555"/>
          <w:sz w:val="15"/>
        </w:rPr>
        <w:t>Contenu de la carte Phone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Indicatif +01</w:t>
      </w:r>
    </w:p>
    <w:p>
      <w:pPr>
        <w:pStyle w:val="ListBullet"/>
        <w:numPr>
          <w:ilvl w:val="0"/>
          <w:numId w:val="1"/>
        </w:numPr>
        <w:spacing w:before="0" w:after="20"/>
        <w:ind w:hanging="360" w:start="255"/>
        <w:contextualSpacing/>
        <w:rPr/>
      </w:pPr>
      <w:r>
        <w:rPr>
          <w:sz w:val="17"/>
        </w:rPr>
        <w:t>Numéro fictif</w:t>
      </w:r>
    </w:p>
    <w:p>
      <w:pPr>
        <w:pStyle w:val="ListBullet"/>
        <w:numPr>
          <w:ilvl w:val="0"/>
          <w:numId w:val="1"/>
        </w:numPr>
        <w:spacing w:before="0" w:after="20"/>
        <w:ind w:hanging="360" w:start="255"/>
        <w:contextualSpacing/>
        <w:rPr/>
      </w:pPr>
      <w:r>
        <w:rPr>
          <w:sz w:val="17"/>
        </w:rPr>
        <w:t>Non officiel</w:t>
      </w:r>
    </w:p>
    <w:p>
      <w:pPr>
        <w:pStyle w:val="ListBullet"/>
        <w:numPr>
          <w:ilvl w:val="0"/>
          <w:numId w:val="1"/>
        </w:numPr>
        <w:spacing w:before="0" w:after="20"/>
        <w:ind w:hanging="360" w:start="255"/>
        <w:contextualSpacing/>
        <w:rPr/>
      </w:pPr>
      <w:r>
        <w:rPr>
          <w:sz w:val="17"/>
        </w:rPr>
        <w:t>À remplacer par +243</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relevé distingue le texte publié de la référence institutionnelle correcte.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correction évite les appels perdus et protège l’image professionnelle de l’école.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+243 992 818 280, +243 997 712 645, +243 817 792 448 et WhatsApp.</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Numéro de démonstration « +01 - 123 456 7890 » » ?</w:t>
      </w:r>
    </w:p>
    <w:p>
      <w:pPr>
        <w:pStyle w:val="Normal"/>
        <w:spacing w:before="0" w:after="30"/>
        <w:ind w:start="227"/>
        <w:rPr/>
      </w:pPr>
      <w:r>
        <w:rPr>
          <w:b/>
          <w:color w:val="D4A017"/>
          <w:sz w:val="16"/>
        </w:rPr>
        <w:t xml:space="preserve">Réponse : </w:t>
      </w:r>
      <w:r>
        <w:rPr>
          <w:color w:val="1F2937"/>
          <w:sz w:val="16"/>
        </w:rPr>
        <w:t>Le bloc principal affiche le numéro « +01 - 123 456 7890 ».</w:t>
      </w:r>
    </w:p>
    <w:p>
      <w:pPr>
        <w:pStyle w:val="Normal"/>
        <w:keepNext w:val="true"/>
        <w:keepLines/>
        <w:spacing w:before="30" w:after="0"/>
        <w:ind w:start="28"/>
        <w:rPr/>
      </w:pPr>
      <w:r>
        <w:rPr>
          <w:b/>
          <w:color w:val="0B3D91"/>
          <w:sz w:val="16"/>
        </w:rPr>
        <w:t>Q2. Quelle est l’idée centrale développée sous « Numéro de démonstration « +01 - 123 456 7890 » » ?</w:t>
      </w:r>
    </w:p>
    <w:p>
      <w:pPr>
        <w:pStyle w:val="Normal"/>
        <w:spacing w:before="0" w:after="30"/>
        <w:ind w:start="227"/>
        <w:rPr/>
      </w:pPr>
      <w:r>
        <w:rPr>
          <w:b/>
          <w:color w:val="D4A017"/>
          <w:sz w:val="16"/>
        </w:rPr>
        <w:t xml:space="preserve">Réponse : </w:t>
      </w:r>
      <w:r>
        <w:rPr>
          <w:color w:val="1F2937"/>
          <w:sz w:val="16"/>
        </w:rPr>
        <w:t>Ce numéro est un exemple de modèle et ne correspond pas aux numéros congolais officiels du GSE.</w:t>
      </w:r>
    </w:p>
    <w:p>
      <w:pPr>
        <w:pStyle w:val="Normal"/>
        <w:keepNext w:val="true"/>
        <w:keepLines/>
        <w:spacing w:before="30" w:after="0"/>
        <w:ind w:start="28"/>
        <w:rPr/>
      </w:pPr>
      <w:r>
        <w:rPr>
          <w:b/>
          <w:color w:val="0B3D91"/>
          <w:sz w:val="16"/>
        </w:rPr>
        <w:t>Q3. Quels éléments précis sont associés à « Numéro de démonstration « +01 - 123 456 7890 » » ?</w:t>
      </w:r>
    </w:p>
    <w:p>
      <w:pPr>
        <w:pStyle w:val="Normal"/>
        <w:spacing w:before="0" w:after="30"/>
        <w:ind w:start="227"/>
        <w:rPr/>
      </w:pPr>
      <w:r>
        <w:rPr>
          <w:b/>
          <w:color w:val="D4A017"/>
          <w:sz w:val="16"/>
        </w:rPr>
        <w:t xml:space="preserve">Réponse : </w:t>
      </w:r>
      <w:r>
        <w:rPr>
          <w:color w:val="1F2937"/>
          <w:sz w:val="16"/>
        </w:rPr>
        <w:t>Indicatif +01 et suite numérique générique.</w:t>
      </w:r>
    </w:p>
    <w:p>
      <w:pPr>
        <w:pStyle w:val="Normal"/>
        <w:keepNext w:val="true"/>
        <w:keepLines/>
        <w:spacing w:before="30" w:after="0"/>
        <w:ind w:start="28"/>
        <w:rPr/>
      </w:pPr>
      <w:r>
        <w:rPr>
          <w:b/>
          <w:color w:val="0B3D91"/>
          <w:sz w:val="16"/>
        </w:rPr>
        <w:t>Q4. Où « Numéro de démonstration « +01 - 123 456 7890 » » apparaît-il dans le parcours de la page Contact ?</w:t>
      </w:r>
    </w:p>
    <w:p>
      <w:pPr>
        <w:pStyle w:val="Normal"/>
        <w:spacing w:before="0" w:after="30"/>
        <w:ind w:start="227"/>
        <w:rPr/>
      </w:pPr>
      <w:r>
        <w:rPr>
          <w:b/>
          <w:color w:val="D4A017"/>
          <w:sz w:val="16"/>
        </w:rPr>
        <w:t xml:space="preserve">Réponse : </w:t>
      </w:r>
      <w:r>
        <w:rPr>
          <w:color w:val="1F2937"/>
          <w:sz w:val="16"/>
        </w:rPr>
        <w:t>Sous l’intitulé « Phone » du bloc Contact Us.</w:t>
      </w:r>
    </w:p>
    <w:p>
      <w:pPr>
        <w:pStyle w:val="Normal"/>
        <w:keepNext w:val="true"/>
        <w:keepLines/>
        <w:spacing w:before="30" w:after="0"/>
        <w:ind w:start="28"/>
        <w:rPr/>
      </w:pPr>
      <w:r>
        <w:rPr>
          <w:b/>
          <w:color w:val="0B3D91"/>
          <w:sz w:val="16"/>
        </w:rPr>
        <w:t>Q5. À quel public « Numéro de démonstration « +01 - 123 456 7890 » » s’adresse-t-il ?</w:t>
      </w:r>
    </w:p>
    <w:p>
      <w:pPr>
        <w:pStyle w:val="Normal"/>
        <w:spacing w:before="0" w:after="30"/>
        <w:ind w:start="227"/>
        <w:rPr/>
      </w:pPr>
      <w:r>
        <w:rPr>
          <w:b/>
          <w:color w:val="D4A017"/>
          <w:sz w:val="16"/>
        </w:rPr>
        <w:t xml:space="preserve">Réponse : </w:t>
      </w:r>
      <w:r>
        <w:rPr>
          <w:color w:val="1F2937"/>
          <w:sz w:val="16"/>
        </w:rPr>
        <w:t>Aucun public ne devrait l’utiliser comme numéro officiel de l’école.</w:t>
      </w:r>
    </w:p>
    <w:p>
      <w:pPr>
        <w:pStyle w:val="Normal"/>
        <w:keepNext w:val="true"/>
        <w:keepLines/>
        <w:spacing w:before="30" w:after="0"/>
        <w:ind w:start="28"/>
        <w:rPr/>
      </w:pPr>
      <w:r>
        <w:rPr>
          <w:b/>
          <w:color w:val="0B3D91"/>
          <w:sz w:val="16"/>
        </w:rPr>
        <w:t>Q6. Quelle action le visiteur peut-il accomplir à partir de « Numéro de démonstration « +01 - 123 456 7890 » » ?</w:t>
      </w:r>
    </w:p>
    <w:p>
      <w:pPr>
        <w:pStyle w:val="Normal"/>
        <w:spacing w:before="0" w:after="30"/>
        <w:ind w:start="227"/>
        <w:rPr/>
      </w:pPr>
      <w:r>
        <w:rPr>
          <w:b/>
          <w:color w:val="D4A017"/>
          <w:sz w:val="16"/>
        </w:rPr>
        <w:t xml:space="preserve">Réponse : </w:t>
      </w:r>
      <w:r>
        <w:rPr>
          <w:color w:val="1F2937"/>
          <w:sz w:val="16"/>
        </w:rPr>
        <w:t>Utiliser plutôt les numéros +243 publiés dans le bloc officiel.</w:t>
      </w:r>
    </w:p>
    <w:p>
      <w:pPr>
        <w:pStyle w:val="Normal"/>
        <w:keepNext w:val="true"/>
        <w:keepLines/>
        <w:spacing w:before="30" w:after="0"/>
        <w:ind w:start="28"/>
        <w:rPr/>
      </w:pPr>
      <w:r>
        <w:rPr>
          <w:b/>
          <w:color w:val="0B3D91"/>
          <w:sz w:val="16"/>
        </w:rPr>
        <w:t>Q7. Quel canal ou moyen de contact est lié à « Numéro de démonstration « +01 - 123 456 7890 » » ?</w:t>
      </w:r>
    </w:p>
    <w:p>
      <w:pPr>
        <w:pStyle w:val="Normal"/>
        <w:spacing w:before="0" w:after="30"/>
        <w:ind w:start="227"/>
        <w:rPr/>
      </w:pPr>
      <w:r>
        <w:rPr>
          <w:b/>
          <w:color w:val="D4A017"/>
          <w:sz w:val="16"/>
        </w:rPr>
        <w:t xml:space="preserve">Réponse : </w:t>
      </w:r>
      <w:r>
        <w:rPr>
          <w:color w:val="1F2937"/>
          <w:sz w:val="16"/>
        </w:rPr>
        <w:t>Téléphone de démonstration.</w:t>
      </w:r>
    </w:p>
    <w:p>
      <w:pPr>
        <w:pStyle w:val="Normal"/>
        <w:keepNext w:val="true"/>
        <w:keepLines/>
        <w:spacing w:before="30" w:after="0"/>
        <w:ind w:start="28"/>
        <w:rPr/>
      </w:pPr>
      <w:r>
        <w:rPr>
          <w:b/>
          <w:color w:val="0B3D91"/>
          <w:sz w:val="16"/>
        </w:rPr>
        <w:t>Q8. Quel est le statut éditorial ou fonctionnel de « Numéro de démonstration « +01 - 123 456 7890 » » sur le site inspecté ?</w:t>
      </w:r>
    </w:p>
    <w:p>
      <w:pPr>
        <w:pStyle w:val="Normal"/>
        <w:spacing w:before="0" w:after="30"/>
        <w:ind w:start="227"/>
        <w:rPr/>
      </w:pPr>
      <w:r>
        <w:rPr>
          <w:b/>
          <w:color w:val="D4A017"/>
          <w:sz w:val="16"/>
        </w:rPr>
        <w:t xml:space="preserve">Réponse : </w:t>
      </w:r>
      <w:r>
        <w:rPr>
          <w:color w:val="1F2937"/>
          <w:sz w:val="16"/>
        </w:rPr>
        <w:t>Donnée erronée à supprimer.</w:t>
      </w:r>
    </w:p>
    <w:p>
      <w:pPr>
        <w:pStyle w:val="Normal"/>
        <w:keepNext w:val="true"/>
        <w:keepLines/>
        <w:spacing w:before="30" w:after="0"/>
        <w:ind w:start="28"/>
        <w:rPr/>
      </w:pPr>
      <w:r>
        <w:rPr>
          <w:b/>
          <w:color w:val="0B3D91"/>
          <w:sz w:val="16"/>
        </w:rPr>
        <w:t>Q9. Quelle limite ou précaution faut-il conserver à propos de « Numéro de démonstration « +01 - 123 456 7890 » » ?</w:t>
      </w:r>
    </w:p>
    <w:p>
      <w:pPr>
        <w:pStyle w:val="Normal"/>
        <w:spacing w:before="0" w:after="30"/>
        <w:ind w:start="227"/>
        <w:rPr/>
      </w:pPr>
      <w:r>
        <w:rPr>
          <w:b/>
          <w:color w:val="D4A017"/>
          <w:sz w:val="16"/>
        </w:rPr>
        <w:t xml:space="preserve">Réponse : </w:t>
      </w:r>
      <w:r>
        <w:rPr>
          <w:color w:val="1F2937"/>
          <w:sz w:val="16"/>
        </w:rPr>
        <w:t>L’indicatif +01 ne correspond pas à la RDC, dont l’indicatif est +243.</w:t>
      </w:r>
    </w:p>
    <w:p>
      <w:pPr>
        <w:pStyle w:val="Normal"/>
        <w:keepNext w:val="true"/>
        <w:keepLines/>
        <w:spacing w:before="30" w:after="0"/>
        <w:ind w:start="28"/>
        <w:rPr/>
      </w:pPr>
      <w:r>
        <w:rPr>
          <w:b/>
          <w:color w:val="0B3D91"/>
          <w:sz w:val="16"/>
        </w:rPr>
        <w:t>Q10. Quelle réponse essentielle faut-il retenir au sujet de « Numéro de démonstration « +01 - 123 456 7890 » » ?</w:t>
      </w:r>
    </w:p>
    <w:p>
      <w:pPr>
        <w:pStyle w:val="Normal"/>
        <w:spacing w:before="0" w:after="30"/>
        <w:ind w:start="227"/>
        <w:rPr/>
      </w:pPr>
      <w:r>
        <w:rPr>
          <w:b/>
          <w:color w:val="D4A017"/>
          <w:sz w:val="16"/>
        </w:rPr>
        <w:t xml:space="preserve">Réponse : </w:t>
      </w:r>
      <w:r>
        <w:rPr>
          <w:color w:val="1F2937"/>
          <w:sz w:val="16"/>
        </w:rPr>
        <w:t>Le numéro affiché dans ce bloc n’est pas un numéro officiel du GSE.</w:t>
      </w:r>
    </w:p>
    <w:p>
      <w:pPr>
        <w:pStyle w:val="Normal"/>
        <w:rPr/>
      </w:pPr>
      <w:r>
        <w:rPr/>
      </w:r>
      <w:r>
        <w:br w:type="page"/>
      </w:r>
    </w:p>
    <w:p>
      <w:pPr>
        <w:pStyle w:val="Heading1"/>
        <w:spacing w:before="0" w:after="100"/>
        <w:rPr/>
      </w:pPr>
      <w:r>
        <w:rPr/>
        <w:t>Fiche 16 — Rubrique « Email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rubrique anglaise « Email » introduit l’adresse électronique du bloc principal.</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7"/>
              </w:rPr>
              <w:t xml:space="preserve">Statut : </w:t>
            </w:r>
            <w:r>
              <w:rPr>
                <w:color w:val="1F2937"/>
                <w:sz w:val="17"/>
              </w:rPr>
              <w:t>Rubrique visible mais contenant une adresse de démonstration.</w:t>
            </w:r>
          </w:p>
        </w:tc>
      </w:tr>
    </w:tbl>
    <w:p>
      <w:pPr>
        <w:pStyle w:val="Normal"/>
        <w:spacing w:before="20" w:after="80"/>
        <w:rPr/>
      </w:pPr>
      <w:r>
        <w:rPr>
          <w:b/>
          <w:color w:val="0B3D91"/>
          <w:sz w:val="15"/>
        </w:rPr>
        <w:t xml:space="preserve">Source contrôlée : </w:t>
      </w:r>
      <w:r>
        <w:rPr>
          <w:color w:val="555555"/>
          <w:sz w:val="15"/>
        </w:rPr>
        <w:t>Carte de coordonnées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Titre anglais</w:t>
      </w:r>
    </w:p>
    <w:p>
      <w:pPr>
        <w:pStyle w:val="ListBullet"/>
        <w:numPr>
          <w:ilvl w:val="0"/>
          <w:numId w:val="1"/>
        </w:numPr>
        <w:spacing w:before="0" w:after="20"/>
        <w:ind w:hanging="360" w:start="255"/>
        <w:contextualSpacing/>
        <w:rPr/>
      </w:pPr>
      <w:r>
        <w:rPr>
          <w:sz w:val="17"/>
        </w:rPr>
        <w:t>Canal écrit</w:t>
      </w:r>
    </w:p>
    <w:p>
      <w:pPr>
        <w:pStyle w:val="ListBullet"/>
        <w:numPr>
          <w:ilvl w:val="0"/>
          <w:numId w:val="1"/>
        </w:numPr>
        <w:spacing w:before="0" w:after="20"/>
        <w:ind w:hanging="360" w:start="255"/>
        <w:contextualSpacing/>
        <w:rPr/>
      </w:pPr>
      <w:r>
        <w:rPr>
          <w:sz w:val="17"/>
        </w:rPr>
        <w:t>Adresse générique</w:t>
      </w:r>
    </w:p>
    <w:p>
      <w:pPr>
        <w:pStyle w:val="ListBullet"/>
        <w:numPr>
          <w:ilvl w:val="0"/>
          <w:numId w:val="1"/>
        </w:numPr>
        <w:spacing w:before="0" w:after="20"/>
        <w:ind w:hanging="360" w:start="255"/>
        <w:contextualSpacing/>
        <w:rPr/>
      </w:pPr>
      <w:r>
        <w:rPr>
          <w:sz w:val="17"/>
        </w:rPr>
        <w:t>Adresse officielle à substituer</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le canal e-mail.</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L’e-mail permet une trace écrite des demandes et des réponses.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 formulaire, la confidentialité, les admissions et l’adresse officielle.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Rubrique « Email » » ?</w:t>
      </w:r>
    </w:p>
    <w:p>
      <w:pPr>
        <w:pStyle w:val="Normal"/>
        <w:spacing w:before="0" w:after="30"/>
        <w:ind w:start="227"/>
        <w:rPr/>
      </w:pPr>
      <w:r>
        <w:rPr>
          <w:b/>
          <w:color w:val="D4A017"/>
          <w:sz w:val="16"/>
        </w:rPr>
        <w:t xml:space="preserve">Réponse : </w:t>
      </w:r>
      <w:r>
        <w:rPr>
          <w:color w:val="1F2937"/>
          <w:sz w:val="16"/>
        </w:rPr>
        <w:t>La rubrique anglaise « Email » introduit l’adresse électronique du bloc principal.</w:t>
      </w:r>
    </w:p>
    <w:p>
      <w:pPr>
        <w:pStyle w:val="Normal"/>
        <w:keepNext w:val="true"/>
        <w:keepLines/>
        <w:spacing w:before="30" w:after="0"/>
        <w:ind w:start="28"/>
        <w:rPr/>
      </w:pPr>
      <w:r>
        <w:rPr>
          <w:b/>
          <w:color w:val="0B3D91"/>
          <w:sz w:val="16"/>
        </w:rPr>
        <w:t>Q2. Quelle est l’idée centrale développée sous « Rubrique « Email » » ?</w:t>
      </w:r>
    </w:p>
    <w:p>
      <w:pPr>
        <w:pStyle w:val="Normal"/>
        <w:spacing w:before="0" w:after="30"/>
        <w:ind w:start="227"/>
        <w:rPr/>
      </w:pPr>
      <w:r>
        <w:rPr>
          <w:b/>
          <w:color w:val="D4A017"/>
          <w:sz w:val="16"/>
        </w:rPr>
        <w:t xml:space="preserve">Réponse : </w:t>
      </w:r>
      <w:r>
        <w:rPr>
          <w:color w:val="1F2937"/>
          <w:sz w:val="16"/>
        </w:rPr>
        <w:t>Elle est destinée à permettre l’envoi d’une demande écrite.</w:t>
      </w:r>
    </w:p>
    <w:p>
      <w:pPr>
        <w:pStyle w:val="Normal"/>
        <w:keepNext w:val="true"/>
        <w:keepLines/>
        <w:spacing w:before="30" w:after="0"/>
        <w:ind w:start="28"/>
        <w:rPr/>
      </w:pPr>
      <w:r>
        <w:rPr>
          <w:b/>
          <w:color w:val="0B3D91"/>
          <w:sz w:val="16"/>
        </w:rPr>
        <w:t>Q3. Quels éléments précis sont associés à « Rubrique « Email » » ?</w:t>
      </w:r>
    </w:p>
    <w:p>
      <w:pPr>
        <w:pStyle w:val="Normal"/>
        <w:spacing w:before="0" w:after="30"/>
        <w:ind w:start="227"/>
        <w:rPr/>
      </w:pPr>
      <w:r>
        <w:rPr>
          <w:b/>
          <w:color w:val="D4A017"/>
          <w:sz w:val="16"/>
        </w:rPr>
        <w:t xml:space="preserve">Réponse : </w:t>
      </w:r>
      <w:r>
        <w:rPr>
          <w:color w:val="1F2937"/>
          <w:sz w:val="16"/>
        </w:rPr>
        <w:t>Un intitulé anglais et une adresse générique mail@example.com.</w:t>
      </w:r>
    </w:p>
    <w:p>
      <w:pPr>
        <w:pStyle w:val="Normal"/>
        <w:keepNext w:val="true"/>
        <w:keepLines/>
        <w:spacing w:before="30" w:after="0"/>
        <w:ind w:start="28"/>
        <w:rPr/>
      </w:pPr>
      <w:r>
        <w:rPr>
          <w:b/>
          <w:color w:val="0B3D91"/>
          <w:sz w:val="16"/>
        </w:rPr>
        <w:t>Q4. Où « Rubrique « Email » » apparaît-il dans le parcours de la page Contact ?</w:t>
      </w:r>
    </w:p>
    <w:p>
      <w:pPr>
        <w:pStyle w:val="Normal"/>
        <w:spacing w:before="0" w:after="30"/>
        <w:ind w:start="227"/>
        <w:rPr/>
      </w:pPr>
      <w:r>
        <w:rPr>
          <w:b/>
          <w:color w:val="D4A017"/>
          <w:sz w:val="16"/>
        </w:rPr>
        <w:t xml:space="preserve">Réponse : </w:t>
      </w:r>
      <w:r>
        <w:rPr>
          <w:color w:val="1F2937"/>
          <w:sz w:val="16"/>
        </w:rPr>
        <w:t>Dans la troisième carte de coordonnées du bloc Contact Us.</w:t>
      </w:r>
    </w:p>
    <w:p>
      <w:pPr>
        <w:pStyle w:val="Normal"/>
        <w:keepNext w:val="true"/>
        <w:keepLines/>
        <w:spacing w:before="30" w:after="0"/>
        <w:ind w:start="28"/>
        <w:rPr/>
      </w:pPr>
      <w:r>
        <w:rPr>
          <w:b/>
          <w:color w:val="0B3D91"/>
          <w:sz w:val="16"/>
        </w:rPr>
        <w:t>Q5. À quel public « Rubrique « Email » » s’adresse-t-il ?</w:t>
      </w:r>
    </w:p>
    <w:p>
      <w:pPr>
        <w:pStyle w:val="Normal"/>
        <w:spacing w:before="0" w:after="30"/>
        <w:ind w:start="227"/>
        <w:rPr/>
      </w:pPr>
      <w:r>
        <w:rPr>
          <w:b/>
          <w:color w:val="D4A017"/>
          <w:sz w:val="16"/>
        </w:rPr>
        <w:t xml:space="preserve">Réponse : </w:t>
      </w:r>
      <w:r>
        <w:rPr>
          <w:color w:val="1F2937"/>
          <w:sz w:val="16"/>
        </w:rPr>
        <w:t>Visiteurs souhaitant écrire à l’école.</w:t>
      </w:r>
    </w:p>
    <w:p>
      <w:pPr>
        <w:pStyle w:val="Normal"/>
        <w:keepNext w:val="true"/>
        <w:keepLines/>
        <w:spacing w:before="30" w:after="0"/>
        <w:ind w:start="28"/>
        <w:rPr/>
      </w:pPr>
      <w:r>
        <w:rPr>
          <w:b/>
          <w:color w:val="0B3D91"/>
          <w:sz w:val="16"/>
        </w:rPr>
        <w:t>Q6. Quelle action le visiteur peut-il accomplir à partir de « Rubrique « Email » » ?</w:t>
      </w:r>
    </w:p>
    <w:p>
      <w:pPr>
        <w:pStyle w:val="Normal"/>
        <w:spacing w:before="0" w:after="30"/>
        <w:ind w:start="227"/>
        <w:rPr/>
      </w:pPr>
      <w:r>
        <w:rPr>
          <w:b/>
          <w:color w:val="D4A017"/>
          <w:sz w:val="16"/>
        </w:rPr>
        <w:t xml:space="preserve">Réponse : </w:t>
      </w:r>
      <w:r>
        <w:rPr>
          <w:color w:val="1F2937"/>
          <w:sz w:val="16"/>
        </w:rPr>
        <w:t>Envoyer un courriel à l’adresse institutionnelle correcte.</w:t>
      </w:r>
    </w:p>
    <w:p>
      <w:pPr>
        <w:pStyle w:val="Normal"/>
        <w:keepNext w:val="true"/>
        <w:keepLines/>
        <w:spacing w:before="30" w:after="0"/>
        <w:ind w:start="28"/>
        <w:rPr/>
      </w:pPr>
      <w:r>
        <w:rPr>
          <w:b/>
          <w:color w:val="0B3D91"/>
          <w:sz w:val="16"/>
        </w:rPr>
        <w:t>Q7. Quel canal ou moyen de contact est lié à « Rubrique « Email » » ?</w:t>
      </w:r>
    </w:p>
    <w:p>
      <w:pPr>
        <w:pStyle w:val="Normal"/>
        <w:spacing w:before="0" w:after="30"/>
        <w:ind w:start="227"/>
        <w:rPr/>
      </w:pPr>
      <w:r>
        <w:rPr>
          <w:b/>
          <w:color w:val="D4A017"/>
          <w:sz w:val="16"/>
        </w:rPr>
        <w:t xml:space="preserve">Réponse : </w:t>
      </w:r>
      <w:r>
        <w:rPr>
          <w:color w:val="1F2937"/>
          <w:sz w:val="16"/>
        </w:rPr>
        <w:t>Courrier électronique.</w:t>
      </w:r>
    </w:p>
    <w:p>
      <w:pPr>
        <w:pStyle w:val="Normal"/>
        <w:keepNext w:val="true"/>
        <w:keepLines/>
        <w:spacing w:before="30" w:after="0"/>
        <w:ind w:start="28"/>
        <w:rPr/>
      </w:pPr>
      <w:r>
        <w:rPr>
          <w:b/>
          <w:color w:val="0B3D91"/>
          <w:sz w:val="16"/>
        </w:rPr>
        <w:t>Q8. Quel est le statut éditorial ou fonctionnel de « Rubrique « Email » » sur le site inspecté ?</w:t>
      </w:r>
    </w:p>
    <w:p>
      <w:pPr>
        <w:pStyle w:val="Normal"/>
        <w:spacing w:before="0" w:after="30"/>
        <w:ind w:start="227"/>
        <w:rPr/>
      </w:pPr>
      <w:r>
        <w:rPr>
          <w:b/>
          <w:color w:val="D4A017"/>
          <w:sz w:val="16"/>
        </w:rPr>
        <w:t xml:space="preserve">Réponse : </w:t>
      </w:r>
      <w:r>
        <w:rPr>
          <w:color w:val="1F2937"/>
          <w:sz w:val="16"/>
        </w:rPr>
        <w:t>Rubrique visible mais contenant une adresse de démonstration.</w:t>
      </w:r>
    </w:p>
    <w:p>
      <w:pPr>
        <w:pStyle w:val="Normal"/>
        <w:keepNext w:val="true"/>
        <w:keepLines/>
        <w:spacing w:before="30" w:after="0"/>
        <w:ind w:start="28"/>
        <w:rPr/>
      </w:pPr>
      <w:r>
        <w:rPr>
          <w:b/>
          <w:color w:val="0B3D91"/>
          <w:sz w:val="16"/>
        </w:rPr>
        <w:t>Q9. Quelle limite ou précaution faut-il conserver à propos de « Rubrique « Email » » ?</w:t>
      </w:r>
    </w:p>
    <w:p>
      <w:pPr>
        <w:pStyle w:val="Normal"/>
        <w:spacing w:before="0" w:after="30"/>
        <w:ind w:start="227"/>
        <w:rPr/>
      </w:pPr>
      <w:r>
        <w:rPr>
          <w:b/>
          <w:color w:val="D4A017"/>
          <w:sz w:val="16"/>
        </w:rPr>
        <w:t xml:space="preserve">Réponse : </w:t>
      </w:r>
      <w:r>
        <w:rPr>
          <w:color w:val="1F2937"/>
          <w:sz w:val="16"/>
        </w:rPr>
        <w:t>L’adresse générique qui suit ne doit pas être utilisée.</w:t>
      </w:r>
    </w:p>
    <w:p>
      <w:pPr>
        <w:pStyle w:val="Normal"/>
        <w:keepNext w:val="true"/>
        <w:keepLines/>
        <w:spacing w:before="30" w:after="0"/>
        <w:ind w:start="28"/>
        <w:rPr/>
      </w:pPr>
      <w:r>
        <w:rPr>
          <w:b/>
          <w:color w:val="0B3D91"/>
          <w:sz w:val="16"/>
        </w:rPr>
        <w:t>Q10. Quelle réponse essentielle faut-il retenir au sujet de « Rubrique « Email » » ?</w:t>
      </w:r>
    </w:p>
    <w:p>
      <w:pPr>
        <w:pStyle w:val="Normal"/>
        <w:spacing w:before="0" w:after="30"/>
        <w:ind w:start="227"/>
        <w:rPr/>
      </w:pPr>
      <w:r>
        <w:rPr>
          <w:b/>
          <w:color w:val="D4A017"/>
          <w:sz w:val="16"/>
        </w:rPr>
        <w:t xml:space="preserve">Réponse : </w:t>
      </w:r>
      <w:r>
        <w:rPr>
          <w:color w:val="1F2937"/>
          <w:sz w:val="16"/>
        </w:rPr>
        <w:t>La rubrique doit afficher promotion@gsleseminents.com.</w:t>
      </w:r>
    </w:p>
    <w:p>
      <w:pPr>
        <w:pStyle w:val="Normal"/>
        <w:rPr/>
      </w:pPr>
      <w:r>
        <w:rPr/>
      </w:r>
      <w:r>
        <w:br w:type="page"/>
      </w:r>
    </w:p>
    <w:p>
      <w:pPr>
        <w:pStyle w:val="Heading1"/>
        <w:spacing w:before="0" w:after="100"/>
        <w:rPr/>
      </w:pPr>
      <w:r>
        <w:rPr/>
        <w:t>Fiche 17 — Adresse de démonstration « mail@example.com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principal affiche « mail@example.com ».</w:t>
            </w:r>
          </w:p>
        </w:tc>
      </w:tr>
      <w:tr>
        <w:trPr/>
        <w:tc>
          <w:tcPr>
            <w:tcW w:w="10483" w:type="dxa"/>
            <w:tcBorders>
              <w:top w:val="single" w:sz="6" w:space="0" w:color="A61B1B"/>
              <w:start w:val="single" w:sz="6" w:space="0" w:color="A61B1B"/>
              <w:bottom w:val="single" w:sz="6" w:space="0" w:color="A61B1B"/>
              <w:end w:val="single" w:sz="6" w:space="0" w:color="A61B1B"/>
            </w:tcBorders>
            <w:shd w:fill="FCECEC"/>
          </w:tcPr>
          <w:p>
            <w:pPr>
              <w:pStyle w:val="Normal"/>
              <w:spacing w:before="0" w:after="0"/>
              <w:rPr/>
            </w:pPr>
            <w:r>
              <w:rPr>
                <w:b/>
                <w:color w:val="A61B1B"/>
                <w:sz w:val="17"/>
              </w:rPr>
              <w:t xml:space="preserve">Statut : </w:t>
            </w:r>
            <w:r>
              <w:rPr>
                <w:color w:val="1F2937"/>
                <w:sz w:val="17"/>
              </w:rPr>
              <w:t>Donnée erronée à remplacer immédiatement.</w:t>
            </w:r>
          </w:p>
        </w:tc>
      </w:tr>
    </w:tbl>
    <w:p>
      <w:pPr>
        <w:pStyle w:val="Normal"/>
        <w:spacing w:before="20" w:after="80"/>
        <w:rPr/>
      </w:pPr>
      <w:r>
        <w:rPr>
          <w:b/>
          <w:color w:val="0B3D91"/>
          <w:sz w:val="15"/>
        </w:rPr>
        <w:t xml:space="preserve">Source contrôlée : </w:t>
      </w:r>
      <w:r>
        <w:rPr>
          <w:color w:val="555555"/>
          <w:sz w:val="15"/>
        </w:rPr>
        <w:t>Contenu de la carte Email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Adresse générique</w:t>
      </w:r>
    </w:p>
    <w:p>
      <w:pPr>
        <w:pStyle w:val="ListBullet"/>
        <w:numPr>
          <w:ilvl w:val="0"/>
          <w:numId w:val="1"/>
        </w:numPr>
        <w:spacing w:before="0" w:after="20"/>
        <w:ind w:hanging="360" w:start="255"/>
        <w:contextualSpacing/>
        <w:rPr/>
      </w:pPr>
      <w:r>
        <w:rPr>
          <w:sz w:val="17"/>
        </w:rPr>
        <w:t>Domaine example.com</w:t>
      </w:r>
    </w:p>
    <w:p>
      <w:pPr>
        <w:pStyle w:val="ListBullet"/>
        <w:numPr>
          <w:ilvl w:val="0"/>
          <w:numId w:val="1"/>
        </w:numPr>
        <w:spacing w:before="0" w:after="20"/>
        <w:ind w:hanging="360" w:start="255"/>
        <w:contextualSpacing/>
        <w:rPr/>
      </w:pPr>
      <w:r>
        <w:rPr>
          <w:sz w:val="17"/>
        </w:rPr>
        <w:t>Non institutionnelle</w:t>
      </w:r>
    </w:p>
    <w:p>
      <w:pPr>
        <w:pStyle w:val="ListBullet"/>
        <w:numPr>
          <w:ilvl w:val="0"/>
          <w:numId w:val="1"/>
        </w:numPr>
        <w:spacing w:before="0" w:after="20"/>
        <w:ind w:hanging="360" w:start="255"/>
        <w:contextualSpacing/>
        <w:rPr/>
      </w:pPr>
      <w:r>
        <w:rPr>
          <w:sz w:val="17"/>
        </w:rPr>
        <w:t>Remplacement nécessaire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Cette section permet d’identifier une anomalie critique du gabarit.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correction garantit la réception réelle des demandes et la traçabilité.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l’e-mail officiel, le formulaire et la Politique de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Adresse de démonstration « mail@example.com » » ?</w:t>
      </w:r>
    </w:p>
    <w:p>
      <w:pPr>
        <w:pStyle w:val="Normal"/>
        <w:spacing w:before="0" w:after="30"/>
        <w:ind w:start="227"/>
        <w:rPr/>
      </w:pPr>
      <w:r>
        <w:rPr>
          <w:b/>
          <w:color w:val="D4A017"/>
          <w:sz w:val="16"/>
        </w:rPr>
        <w:t xml:space="preserve">Réponse : </w:t>
      </w:r>
      <w:r>
        <w:rPr>
          <w:color w:val="1F2937"/>
          <w:sz w:val="16"/>
        </w:rPr>
        <w:t>Le bloc principal affiche « mail@example.com ».</w:t>
      </w:r>
    </w:p>
    <w:p>
      <w:pPr>
        <w:pStyle w:val="Normal"/>
        <w:keepNext w:val="true"/>
        <w:keepLines/>
        <w:spacing w:before="30" w:after="0"/>
        <w:ind w:start="28"/>
        <w:rPr/>
      </w:pPr>
      <w:r>
        <w:rPr>
          <w:b/>
          <w:color w:val="0B3D91"/>
          <w:sz w:val="16"/>
        </w:rPr>
        <w:t>Q2. Quelle est l’idée centrale développée sous « Adresse de démonstration « mail@example.com » » ?</w:t>
      </w:r>
    </w:p>
    <w:p>
      <w:pPr>
        <w:pStyle w:val="Normal"/>
        <w:spacing w:before="0" w:after="30"/>
        <w:ind w:start="227"/>
        <w:rPr/>
      </w:pPr>
      <w:r>
        <w:rPr>
          <w:b/>
          <w:color w:val="D4A017"/>
          <w:sz w:val="16"/>
        </w:rPr>
        <w:t xml:space="preserve">Réponse : </w:t>
      </w:r>
      <w:r>
        <w:rPr>
          <w:color w:val="1F2937"/>
          <w:sz w:val="16"/>
        </w:rPr>
        <w:t>Cette adresse est une valeur d’exemple standard et non l’e-mail du GSE.</w:t>
      </w:r>
    </w:p>
    <w:p>
      <w:pPr>
        <w:pStyle w:val="Normal"/>
        <w:keepNext w:val="true"/>
        <w:keepLines/>
        <w:spacing w:before="30" w:after="0"/>
        <w:ind w:start="28"/>
        <w:rPr/>
      </w:pPr>
      <w:r>
        <w:rPr>
          <w:b/>
          <w:color w:val="0B3D91"/>
          <w:sz w:val="16"/>
        </w:rPr>
        <w:t>Q3. Quels éléments précis sont associés à « Adresse de démonstration « mail@example.com » » ?</w:t>
      </w:r>
    </w:p>
    <w:p>
      <w:pPr>
        <w:pStyle w:val="Normal"/>
        <w:spacing w:before="0" w:after="30"/>
        <w:ind w:start="227"/>
        <w:rPr/>
      </w:pPr>
      <w:r>
        <w:rPr>
          <w:b/>
          <w:color w:val="D4A017"/>
          <w:sz w:val="16"/>
        </w:rPr>
        <w:t xml:space="preserve">Réponse : </w:t>
      </w:r>
      <w:r>
        <w:rPr>
          <w:color w:val="1F2937"/>
          <w:sz w:val="16"/>
        </w:rPr>
        <w:t>Nom de boîte « mail » et domaine générique « example.com ».</w:t>
      </w:r>
    </w:p>
    <w:p>
      <w:pPr>
        <w:pStyle w:val="Normal"/>
        <w:keepNext w:val="true"/>
        <w:keepLines/>
        <w:spacing w:before="30" w:after="0"/>
        <w:ind w:start="28"/>
        <w:rPr/>
      </w:pPr>
      <w:r>
        <w:rPr>
          <w:b/>
          <w:color w:val="0B3D91"/>
          <w:sz w:val="16"/>
        </w:rPr>
        <w:t>Q4. Où « Adresse de démonstration « mail@example.com » » apparaît-il dans le parcours de la page Contact ?</w:t>
      </w:r>
    </w:p>
    <w:p>
      <w:pPr>
        <w:pStyle w:val="Normal"/>
        <w:spacing w:before="0" w:after="30"/>
        <w:ind w:start="227"/>
        <w:rPr/>
      </w:pPr>
      <w:r>
        <w:rPr>
          <w:b/>
          <w:color w:val="D4A017"/>
          <w:sz w:val="16"/>
        </w:rPr>
        <w:t xml:space="preserve">Réponse : </w:t>
      </w:r>
      <w:r>
        <w:rPr>
          <w:color w:val="1F2937"/>
          <w:sz w:val="16"/>
        </w:rPr>
        <w:t>Sous l’intitulé « Email » du bloc Contact Us.</w:t>
      </w:r>
    </w:p>
    <w:p>
      <w:pPr>
        <w:pStyle w:val="Normal"/>
        <w:keepNext w:val="true"/>
        <w:keepLines/>
        <w:spacing w:before="30" w:after="0"/>
        <w:ind w:start="28"/>
        <w:rPr/>
      </w:pPr>
      <w:r>
        <w:rPr>
          <w:b/>
          <w:color w:val="0B3D91"/>
          <w:sz w:val="16"/>
        </w:rPr>
        <w:t>Q5. À quel public « Adresse de démonstration « mail@example.com » » s’adresse-t-il ?</w:t>
      </w:r>
    </w:p>
    <w:p>
      <w:pPr>
        <w:pStyle w:val="Normal"/>
        <w:spacing w:before="0" w:after="30"/>
        <w:ind w:start="227"/>
        <w:rPr/>
      </w:pPr>
      <w:r>
        <w:rPr>
          <w:b/>
          <w:color w:val="D4A017"/>
          <w:sz w:val="16"/>
        </w:rPr>
        <w:t xml:space="preserve">Réponse : </w:t>
      </w:r>
      <w:r>
        <w:rPr>
          <w:color w:val="1F2937"/>
          <w:sz w:val="16"/>
        </w:rPr>
        <w:t>Aucun visiteur ne doit l’utiliser pour contacter l’école.</w:t>
      </w:r>
    </w:p>
    <w:p>
      <w:pPr>
        <w:pStyle w:val="Normal"/>
        <w:keepNext w:val="true"/>
        <w:keepLines/>
        <w:spacing w:before="30" w:after="0"/>
        <w:ind w:start="28"/>
        <w:rPr/>
      </w:pPr>
      <w:r>
        <w:rPr>
          <w:b/>
          <w:color w:val="0B3D91"/>
          <w:sz w:val="16"/>
        </w:rPr>
        <w:t>Q6. Quelle action le visiteur peut-il accomplir à partir de « Adresse de démonstration « mail@example.com » » ?</w:t>
      </w:r>
    </w:p>
    <w:p>
      <w:pPr>
        <w:pStyle w:val="Normal"/>
        <w:spacing w:before="0" w:after="30"/>
        <w:ind w:start="227"/>
        <w:rPr/>
      </w:pPr>
      <w:r>
        <w:rPr>
          <w:b/>
          <w:color w:val="D4A017"/>
          <w:sz w:val="16"/>
        </w:rPr>
        <w:t xml:space="preserve">Réponse : </w:t>
      </w:r>
      <w:r>
        <w:rPr>
          <w:color w:val="1F2937"/>
          <w:sz w:val="16"/>
        </w:rPr>
        <w:t>Écrire à promotion@gsleseminents.com.</w:t>
      </w:r>
    </w:p>
    <w:p>
      <w:pPr>
        <w:pStyle w:val="Normal"/>
        <w:keepNext w:val="true"/>
        <w:keepLines/>
        <w:spacing w:before="30" w:after="0"/>
        <w:ind w:start="28"/>
        <w:rPr/>
      </w:pPr>
      <w:r>
        <w:rPr>
          <w:b/>
          <w:color w:val="0B3D91"/>
          <w:sz w:val="16"/>
        </w:rPr>
        <w:t>Q7. Quel canal ou moyen de contact est lié à « Adresse de démonstration « mail@example.com » » ?</w:t>
      </w:r>
    </w:p>
    <w:p>
      <w:pPr>
        <w:pStyle w:val="Normal"/>
        <w:spacing w:before="0" w:after="30"/>
        <w:ind w:start="227"/>
        <w:rPr/>
      </w:pPr>
      <w:r>
        <w:rPr>
          <w:b/>
          <w:color w:val="D4A017"/>
          <w:sz w:val="16"/>
        </w:rPr>
        <w:t xml:space="preserve">Réponse : </w:t>
      </w:r>
      <w:r>
        <w:rPr>
          <w:color w:val="1F2937"/>
          <w:sz w:val="16"/>
        </w:rPr>
        <w:t>Adresse électronique de démonstration.</w:t>
      </w:r>
    </w:p>
    <w:p>
      <w:pPr>
        <w:pStyle w:val="Normal"/>
        <w:keepNext w:val="true"/>
        <w:keepLines/>
        <w:spacing w:before="30" w:after="0"/>
        <w:ind w:start="28"/>
        <w:rPr/>
      </w:pPr>
      <w:r>
        <w:rPr>
          <w:b/>
          <w:color w:val="0B3D91"/>
          <w:sz w:val="16"/>
        </w:rPr>
        <w:t>Q8. Quel est le statut éditorial ou fonctionnel de « Adresse de démonstration « mail@example.com » » sur le site inspecté ?</w:t>
      </w:r>
    </w:p>
    <w:p>
      <w:pPr>
        <w:pStyle w:val="Normal"/>
        <w:spacing w:before="0" w:after="30"/>
        <w:ind w:start="227"/>
        <w:rPr/>
      </w:pPr>
      <w:r>
        <w:rPr>
          <w:b/>
          <w:color w:val="D4A017"/>
          <w:sz w:val="16"/>
        </w:rPr>
        <w:t xml:space="preserve">Réponse : </w:t>
      </w:r>
      <w:r>
        <w:rPr>
          <w:color w:val="1F2937"/>
          <w:sz w:val="16"/>
        </w:rPr>
        <w:t>Donnée erronée à remplacer immédiatement.</w:t>
      </w:r>
    </w:p>
    <w:p>
      <w:pPr>
        <w:pStyle w:val="Normal"/>
        <w:keepNext w:val="true"/>
        <w:keepLines/>
        <w:spacing w:before="30" w:after="0"/>
        <w:ind w:start="28"/>
        <w:rPr/>
      </w:pPr>
      <w:r>
        <w:rPr>
          <w:b/>
          <w:color w:val="0B3D91"/>
          <w:sz w:val="16"/>
        </w:rPr>
        <w:t>Q9. Quelle limite ou précaution faut-il conserver à propos de « Adresse de démonstration « mail@example.com » » ?</w:t>
      </w:r>
    </w:p>
    <w:p>
      <w:pPr>
        <w:pStyle w:val="Normal"/>
        <w:spacing w:before="0" w:after="30"/>
        <w:ind w:start="227"/>
        <w:rPr/>
      </w:pPr>
      <w:r>
        <w:rPr>
          <w:b/>
          <w:color w:val="D4A017"/>
          <w:sz w:val="16"/>
        </w:rPr>
        <w:t xml:space="preserve">Réponse : </w:t>
      </w:r>
      <w:r>
        <w:rPr>
          <w:color w:val="1F2937"/>
          <w:sz w:val="16"/>
        </w:rPr>
        <w:t>Le domaine example.com est réservé aux exemples et ne représente pas l’établissement.</w:t>
      </w:r>
    </w:p>
    <w:p>
      <w:pPr>
        <w:pStyle w:val="Normal"/>
        <w:keepNext w:val="true"/>
        <w:keepLines/>
        <w:spacing w:before="30" w:after="0"/>
        <w:ind w:start="28"/>
        <w:rPr/>
      </w:pPr>
      <w:r>
        <w:rPr>
          <w:b/>
          <w:color w:val="0B3D91"/>
          <w:sz w:val="16"/>
        </w:rPr>
        <w:t>Q10. Quelle réponse essentielle faut-il retenir au sujet de « Adresse de démonstration « mail@example.com » » ?</w:t>
      </w:r>
    </w:p>
    <w:p>
      <w:pPr>
        <w:pStyle w:val="Normal"/>
        <w:spacing w:before="0" w:after="30"/>
        <w:ind w:start="227"/>
        <w:rPr/>
      </w:pPr>
      <w:r>
        <w:rPr>
          <w:b/>
          <w:color w:val="D4A017"/>
          <w:sz w:val="16"/>
        </w:rPr>
        <w:t xml:space="preserve">Réponse : </w:t>
      </w:r>
      <w:r>
        <w:rPr>
          <w:color w:val="1F2937"/>
          <w:sz w:val="16"/>
        </w:rPr>
        <w:t>L’adresse e-mail officielle reste promotion@gsleseminents.com.</w:t>
      </w:r>
    </w:p>
    <w:p>
      <w:pPr>
        <w:pStyle w:val="Normal"/>
        <w:rPr/>
      </w:pPr>
      <w:r>
        <w:rPr/>
      </w:r>
      <w:r>
        <w:br w:type="page"/>
      </w:r>
    </w:p>
    <w:p>
      <w:pPr>
        <w:pStyle w:val="Heading1"/>
        <w:spacing w:before="0" w:after="100"/>
        <w:rPr/>
      </w:pPr>
      <w:r>
        <w:rPr/>
        <w:t>Fiche 18 — Titre « Send Us a Message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est introduit par le titre anglais « Send Us a Message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Formulaire visible ; son fonctionnement dépend de JavaScript.</w:t>
            </w:r>
          </w:p>
        </w:tc>
      </w:tr>
    </w:tbl>
    <w:p>
      <w:pPr>
        <w:pStyle w:val="Normal"/>
        <w:spacing w:before="20" w:after="80"/>
        <w:rPr/>
      </w:pPr>
      <w:r>
        <w:rPr>
          <w:b/>
          <w:color w:val="0B3D91"/>
          <w:sz w:val="15"/>
        </w:rPr>
        <w:t xml:space="preserve">Source contrôlée : </w:t>
      </w:r>
      <w:r>
        <w:rPr>
          <w:color w:val="555555"/>
          <w:sz w:val="15"/>
        </w:rPr>
        <w:t>En-tête du formulaire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Titre anglais</w:t>
      </w:r>
    </w:p>
    <w:p>
      <w:pPr>
        <w:pStyle w:val="ListBullet"/>
        <w:numPr>
          <w:ilvl w:val="0"/>
          <w:numId w:val="1"/>
        </w:numPr>
        <w:spacing w:before="0" w:after="20"/>
        <w:ind w:hanging="360" w:start="255"/>
        <w:contextualSpacing/>
        <w:rPr/>
      </w:pPr>
      <w:r>
        <w:rPr>
          <w:sz w:val="17"/>
        </w:rPr>
        <w:t>Formulaire web</w:t>
      </w:r>
    </w:p>
    <w:p>
      <w:pPr>
        <w:pStyle w:val="ListBullet"/>
        <w:numPr>
          <w:ilvl w:val="0"/>
          <w:numId w:val="1"/>
        </w:numPr>
        <w:spacing w:before="0" w:after="20"/>
        <w:ind w:hanging="360" w:start="255"/>
        <w:contextualSpacing/>
        <w:rPr/>
      </w:pPr>
      <w:r>
        <w:rPr>
          <w:sz w:val="17"/>
        </w:rPr>
        <w:t>Demande écrite</w:t>
      </w:r>
    </w:p>
    <w:p>
      <w:pPr>
        <w:pStyle w:val="ListBullet"/>
        <w:numPr>
          <w:ilvl w:val="0"/>
          <w:numId w:val="1"/>
        </w:numPr>
        <w:spacing w:before="0" w:after="20"/>
        <w:ind w:hanging="360" w:start="255"/>
        <w:contextualSpacing/>
        <w:rPr/>
      </w:pPr>
      <w:r>
        <w:rPr>
          <w:sz w:val="17"/>
        </w:rPr>
        <w:t>Quatre champs principaux</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annonce une action directe et simple.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l’accessibilité du service et permet de centraliser les demandes.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Nom, E-mail, Objet, Message, Soumettre et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Titre « Send Us a Message » » ?</w:t>
      </w:r>
    </w:p>
    <w:p>
      <w:pPr>
        <w:pStyle w:val="Normal"/>
        <w:spacing w:before="0" w:after="30"/>
        <w:ind w:start="227"/>
        <w:rPr/>
      </w:pPr>
      <w:r>
        <w:rPr>
          <w:b/>
          <w:color w:val="D4A017"/>
          <w:sz w:val="16"/>
        </w:rPr>
        <w:t xml:space="preserve">Réponse : </w:t>
      </w:r>
      <w:r>
        <w:rPr>
          <w:color w:val="1F2937"/>
          <w:sz w:val="16"/>
        </w:rPr>
        <w:t>Le formulaire est introduit par le titre anglais « Send Us a Message ».</w:t>
      </w:r>
    </w:p>
    <w:p>
      <w:pPr>
        <w:pStyle w:val="Normal"/>
        <w:keepNext w:val="true"/>
        <w:keepLines/>
        <w:spacing w:before="30" w:after="0"/>
        <w:ind w:start="28"/>
        <w:rPr/>
      </w:pPr>
      <w:r>
        <w:rPr>
          <w:b/>
          <w:color w:val="0B3D91"/>
          <w:sz w:val="16"/>
        </w:rPr>
        <w:t>Q2. Quelle est l’idée centrale développée sous « Titre « Send Us a Message » » ?</w:t>
      </w:r>
    </w:p>
    <w:p>
      <w:pPr>
        <w:pStyle w:val="Normal"/>
        <w:spacing w:before="0" w:after="30"/>
        <w:ind w:start="227"/>
        <w:rPr/>
      </w:pPr>
      <w:r>
        <w:rPr>
          <w:b/>
          <w:color w:val="D4A017"/>
          <w:sz w:val="16"/>
        </w:rPr>
        <w:t xml:space="preserve">Réponse : </w:t>
      </w:r>
      <w:r>
        <w:rPr>
          <w:color w:val="1F2937"/>
          <w:sz w:val="16"/>
        </w:rPr>
        <w:t>Cette section invite le visiteur à transmettre une demande écrite au moyen du site.</w:t>
      </w:r>
    </w:p>
    <w:p>
      <w:pPr>
        <w:pStyle w:val="Normal"/>
        <w:keepNext w:val="true"/>
        <w:keepLines/>
        <w:spacing w:before="30" w:after="0"/>
        <w:ind w:start="28"/>
        <w:rPr/>
      </w:pPr>
      <w:r>
        <w:rPr>
          <w:b/>
          <w:color w:val="0B3D91"/>
          <w:sz w:val="16"/>
        </w:rPr>
        <w:t>Q3. Quels éléments précis sont associés à « Titre « Send Us a Message » » ?</w:t>
      </w:r>
    </w:p>
    <w:p>
      <w:pPr>
        <w:pStyle w:val="Normal"/>
        <w:spacing w:before="0" w:after="30"/>
        <w:ind w:start="227"/>
        <w:rPr/>
      </w:pPr>
      <w:r>
        <w:rPr>
          <w:b/>
          <w:color w:val="D4A017"/>
          <w:sz w:val="16"/>
        </w:rPr>
        <w:t xml:space="preserve">Réponse : </w:t>
      </w:r>
      <w:r>
        <w:rPr>
          <w:color w:val="1F2937"/>
          <w:sz w:val="16"/>
        </w:rPr>
        <w:t>Titre du formulaire et champs Nom, E-mail, Objet et Message.</w:t>
      </w:r>
    </w:p>
    <w:p>
      <w:pPr>
        <w:pStyle w:val="Normal"/>
        <w:keepNext w:val="true"/>
        <w:keepLines/>
        <w:spacing w:before="30" w:after="0"/>
        <w:ind w:start="28"/>
        <w:rPr/>
      </w:pPr>
      <w:r>
        <w:rPr>
          <w:b/>
          <w:color w:val="0B3D91"/>
          <w:sz w:val="16"/>
        </w:rPr>
        <w:t>Q4. Où « Titre « Send Us a Message » » apparaît-il dans le parcours de la page Contact ?</w:t>
      </w:r>
    </w:p>
    <w:p>
      <w:pPr>
        <w:pStyle w:val="Normal"/>
        <w:spacing w:before="0" w:after="30"/>
        <w:ind w:start="227"/>
        <w:rPr/>
      </w:pPr>
      <w:r>
        <w:rPr>
          <w:b/>
          <w:color w:val="D4A017"/>
          <w:sz w:val="16"/>
        </w:rPr>
        <w:t xml:space="preserve">Réponse : </w:t>
      </w:r>
      <w:r>
        <w:rPr>
          <w:color w:val="1F2937"/>
          <w:sz w:val="16"/>
        </w:rPr>
        <w:t>Sous les cartes Address, Phone et Email.</w:t>
      </w:r>
    </w:p>
    <w:p>
      <w:pPr>
        <w:pStyle w:val="Normal"/>
        <w:keepNext w:val="true"/>
        <w:keepLines/>
        <w:spacing w:before="30" w:after="0"/>
        <w:ind w:start="28"/>
        <w:rPr/>
      </w:pPr>
      <w:r>
        <w:rPr>
          <w:b/>
          <w:color w:val="0B3D91"/>
          <w:sz w:val="16"/>
        </w:rPr>
        <w:t>Q5. À quel public « Titre « Send Us a Message » » s’adresse-t-il ?</w:t>
      </w:r>
    </w:p>
    <w:p>
      <w:pPr>
        <w:pStyle w:val="Normal"/>
        <w:spacing w:before="0" w:after="30"/>
        <w:ind w:start="227"/>
        <w:rPr/>
      </w:pPr>
      <w:r>
        <w:rPr>
          <w:b/>
          <w:color w:val="D4A017"/>
          <w:sz w:val="16"/>
        </w:rPr>
        <w:t xml:space="preserve">Réponse : </w:t>
      </w:r>
      <w:r>
        <w:rPr>
          <w:color w:val="1F2937"/>
          <w:sz w:val="16"/>
        </w:rPr>
        <w:t>Personnes qui préfèrent écrire plutôt qu’appeler ou se déplacer.</w:t>
      </w:r>
    </w:p>
    <w:p>
      <w:pPr>
        <w:pStyle w:val="Normal"/>
        <w:keepNext w:val="true"/>
        <w:keepLines/>
        <w:spacing w:before="30" w:after="0"/>
        <w:ind w:start="28"/>
        <w:rPr/>
      </w:pPr>
      <w:r>
        <w:rPr>
          <w:b/>
          <w:color w:val="0B3D91"/>
          <w:sz w:val="16"/>
        </w:rPr>
        <w:t>Q6. Quelle action le visiteur peut-il accomplir à partir de « Titre « Send Us a Message » » ?</w:t>
      </w:r>
    </w:p>
    <w:p>
      <w:pPr>
        <w:pStyle w:val="Normal"/>
        <w:spacing w:before="0" w:after="30"/>
        <w:ind w:start="227"/>
        <w:rPr/>
      </w:pPr>
      <w:r>
        <w:rPr>
          <w:b/>
          <w:color w:val="D4A017"/>
          <w:sz w:val="16"/>
        </w:rPr>
        <w:t xml:space="preserve">Réponse : </w:t>
      </w:r>
      <w:r>
        <w:rPr>
          <w:color w:val="1F2937"/>
          <w:sz w:val="16"/>
        </w:rPr>
        <w:t>Remplir les champs puis soumettre le message.</w:t>
      </w:r>
    </w:p>
    <w:p>
      <w:pPr>
        <w:pStyle w:val="Normal"/>
        <w:keepNext w:val="true"/>
        <w:keepLines/>
        <w:spacing w:before="30" w:after="0"/>
        <w:ind w:start="28"/>
        <w:rPr/>
      </w:pPr>
      <w:r>
        <w:rPr>
          <w:b/>
          <w:color w:val="0B3D91"/>
          <w:sz w:val="16"/>
        </w:rPr>
        <w:t>Q7. Quel canal ou moyen de contact est lié à « Titre « Send Us a Message » » ?</w:t>
      </w:r>
    </w:p>
    <w:p>
      <w:pPr>
        <w:pStyle w:val="Normal"/>
        <w:spacing w:before="0" w:after="30"/>
        <w:ind w:start="227"/>
        <w:rPr/>
      </w:pPr>
      <w:r>
        <w:rPr>
          <w:b/>
          <w:color w:val="D4A017"/>
          <w:sz w:val="16"/>
        </w:rPr>
        <w:t xml:space="preserve">Réponse : </w:t>
      </w:r>
      <w:r>
        <w:rPr>
          <w:color w:val="1F2937"/>
          <w:sz w:val="16"/>
        </w:rPr>
        <w:t>Formulaire web.</w:t>
      </w:r>
    </w:p>
    <w:p>
      <w:pPr>
        <w:pStyle w:val="Normal"/>
        <w:keepNext w:val="true"/>
        <w:keepLines/>
        <w:spacing w:before="30" w:after="0"/>
        <w:ind w:start="28"/>
        <w:rPr/>
      </w:pPr>
      <w:r>
        <w:rPr>
          <w:b/>
          <w:color w:val="0B3D91"/>
          <w:sz w:val="16"/>
        </w:rPr>
        <w:t>Q8. Quel est le statut éditorial ou fonctionnel de « Titre « Send Us a Message » » sur le site inspecté ?</w:t>
      </w:r>
    </w:p>
    <w:p>
      <w:pPr>
        <w:pStyle w:val="Normal"/>
        <w:spacing w:before="0" w:after="30"/>
        <w:ind w:start="227"/>
        <w:rPr/>
      </w:pPr>
      <w:r>
        <w:rPr>
          <w:b/>
          <w:color w:val="D4A017"/>
          <w:sz w:val="16"/>
        </w:rPr>
        <w:t xml:space="preserve">Réponse : </w:t>
      </w:r>
      <w:r>
        <w:rPr>
          <w:color w:val="1F2937"/>
          <w:sz w:val="16"/>
        </w:rPr>
        <w:t>Formulaire visible ; son fonctionnement dépend de JavaScript.</w:t>
      </w:r>
    </w:p>
    <w:p>
      <w:pPr>
        <w:pStyle w:val="Normal"/>
        <w:keepNext w:val="true"/>
        <w:keepLines/>
        <w:spacing w:before="30" w:after="0"/>
        <w:ind w:start="28"/>
        <w:rPr/>
      </w:pPr>
      <w:r>
        <w:rPr>
          <w:b/>
          <w:color w:val="0B3D91"/>
          <w:sz w:val="16"/>
        </w:rPr>
        <w:t>Q9. Quelle limite ou précaution faut-il conserver à propos de « Titre « Send Us a Message » » ?</w:t>
      </w:r>
    </w:p>
    <w:p>
      <w:pPr>
        <w:pStyle w:val="Normal"/>
        <w:spacing w:before="0" w:after="30"/>
        <w:ind w:start="227"/>
        <w:rPr/>
      </w:pPr>
      <w:r>
        <w:rPr>
          <w:b/>
          <w:color w:val="D4A017"/>
          <w:sz w:val="16"/>
        </w:rPr>
        <w:t xml:space="preserve">Réponse : </w:t>
      </w:r>
      <w:r>
        <w:rPr>
          <w:color w:val="1F2937"/>
          <w:sz w:val="16"/>
        </w:rPr>
        <w:t>La langue doit être harmonisée et le traitement des données doit être clairement encadré.</w:t>
      </w:r>
    </w:p>
    <w:p>
      <w:pPr>
        <w:pStyle w:val="Normal"/>
        <w:keepNext w:val="true"/>
        <w:keepLines/>
        <w:spacing w:before="30" w:after="0"/>
        <w:ind w:start="28"/>
        <w:rPr/>
      </w:pPr>
      <w:r>
        <w:rPr>
          <w:b/>
          <w:color w:val="0B3D91"/>
          <w:sz w:val="16"/>
        </w:rPr>
        <w:t>Q10. Quelle réponse essentielle faut-il retenir au sujet de « Titre « Send Us a Message » » ?</w:t>
      </w:r>
    </w:p>
    <w:p>
      <w:pPr>
        <w:pStyle w:val="Normal"/>
        <w:spacing w:before="0" w:after="30"/>
        <w:ind w:start="227"/>
        <w:rPr/>
      </w:pPr>
      <w:r>
        <w:rPr>
          <w:b/>
          <w:color w:val="D4A017"/>
          <w:sz w:val="16"/>
        </w:rPr>
        <w:t xml:space="preserve">Réponse : </w:t>
      </w:r>
      <w:r>
        <w:rPr>
          <w:color w:val="1F2937"/>
          <w:sz w:val="16"/>
        </w:rPr>
        <w:t>Le formulaire sert à envoyer un message à l’école depuis la page Contact.</w:t>
      </w:r>
    </w:p>
    <w:p>
      <w:pPr>
        <w:pStyle w:val="Normal"/>
        <w:rPr/>
      </w:pPr>
      <w:r>
        <w:rPr/>
      </w:r>
      <w:r>
        <w:br w:type="page"/>
      </w:r>
    </w:p>
    <w:p>
      <w:pPr>
        <w:pStyle w:val="Heading1"/>
        <w:spacing w:before="0" w:after="100"/>
        <w:rPr/>
      </w:pPr>
      <w:r>
        <w:rPr/>
        <w:t>Fiche 19 — Message « Please enable JavaScript in your browser to complete this form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affiche un message demandant d’activer JavaScript dans le navigateur pour pouvoir le compléter.</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Avertissement technique visible.</w:t>
            </w:r>
          </w:p>
        </w:tc>
      </w:tr>
    </w:tbl>
    <w:p>
      <w:pPr>
        <w:pStyle w:val="Normal"/>
        <w:spacing w:before="20" w:after="80"/>
        <w:rPr/>
      </w:pPr>
      <w:r>
        <w:rPr>
          <w:b/>
          <w:color w:val="0B3D91"/>
          <w:sz w:val="15"/>
        </w:rPr>
        <w:t xml:space="preserve">Source contrôlée : </w:t>
      </w:r>
      <w:r>
        <w:rPr>
          <w:color w:val="555555"/>
          <w:sz w:val="15"/>
        </w:rPr>
        <w:t>Avertissement technique du formulaire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JavaScript requis</w:t>
      </w:r>
    </w:p>
    <w:p>
      <w:pPr>
        <w:pStyle w:val="ListBullet"/>
        <w:numPr>
          <w:ilvl w:val="0"/>
          <w:numId w:val="1"/>
        </w:numPr>
        <w:spacing w:before="0" w:after="20"/>
        <w:ind w:hanging="360" w:start="255"/>
        <w:contextualSpacing/>
        <w:rPr/>
      </w:pPr>
      <w:r>
        <w:rPr>
          <w:sz w:val="17"/>
        </w:rPr>
        <w:t>Navigateur</w:t>
      </w:r>
    </w:p>
    <w:p>
      <w:pPr>
        <w:pStyle w:val="ListBullet"/>
        <w:numPr>
          <w:ilvl w:val="0"/>
          <w:numId w:val="1"/>
        </w:numPr>
        <w:spacing w:before="0" w:after="20"/>
        <w:ind w:hanging="360" w:start="255"/>
        <w:contextualSpacing/>
        <w:rPr/>
      </w:pPr>
      <w:r>
        <w:rPr>
          <w:sz w:val="17"/>
        </w:rPr>
        <w:t>Condition technique</w:t>
      </w:r>
    </w:p>
    <w:p>
      <w:pPr>
        <w:pStyle w:val="ListBullet"/>
        <w:numPr>
          <w:ilvl w:val="0"/>
          <w:numId w:val="1"/>
        </w:numPr>
        <w:spacing w:before="0" w:after="20"/>
        <w:ind w:hanging="360" w:start="255"/>
        <w:contextualSpacing/>
        <w:rPr/>
      </w:pPr>
      <w:r>
        <w:rPr>
          <w:sz w:val="17"/>
        </w:rPr>
        <w:t>Canaux alternatifs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message explique une condition technique d’utilisation.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évite que l’utilisateur pense que le formulaire est vide ou cassé.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 formulaire, les canaux alternatifs et l’accessibilité numérique.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Le formulaire affiche un message demandant d’activer JavaScript dans le navigateur pour pouvoir le compléter.</w:t>
      </w:r>
    </w:p>
    <w:p>
      <w:pPr>
        <w:pStyle w:val="Normal"/>
        <w:keepNext w:val="true"/>
        <w:keepLines/>
        <w:spacing w:before="30" w:after="0"/>
        <w:ind w:start="28"/>
        <w:rPr/>
      </w:pPr>
      <w:r>
        <w:rPr>
          <w:b/>
          <w:color w:val="0B3D91"/>
          <w:sz w:val="16"/>
        </w:rPr>
        <w:t>Q2. Quelle est l’idée centrale développée sous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Le fonctionnement du formulaire dépend de l’exécution de JavaScript.</w:t>
      </w:r>
    </w:p>
    <w:p>
      <w:pPr>
        <w:pStyle w:val="Normal"/>
        <w:keepNext w:val="true"/>
        <w:keepLines/>
        <w:spacing w:before="30" w:after="0"/>
        <w:ind w:start="28"/>
        <w:rPr/>
      </w:pPr>
      <w:r>
        <w:rPr>
          <w:b/>
          <w:color w:val="0B3D91"/>
          <w:sz w:val="16"/>
        </w:rPr>
        <w:t>Q3. Quels éléments précis sont associés à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JavaScript, navigateur et impossibilité de compléter le formulaire sans activation.</w:t>
      </w:r>
    </w:p>
    <w:p>
      <w:pPr>
        <w:pStyle w:val="Normal"/>
        <w:keepNext w:val="true"/>
        <w:keepLines/>
        <w:spacing w:before="30" w:after="0"/>
        <w:ind w:start="28"/>
        <w:rPr/>
      </w:pPr>
      <w:r>
        <w:rPr>
          <w:b/>
          <w:color w:val="0B3D91"/>
          <w:sz w:val="16"/>
        </w:rPr>
        <w:t>Q4. Où « Message « Please enable JavaScript in your browser to complete this form » » apparaît-il dans le parcours de la page Contact ?</w:t>
      </w:r>
    </w:p>
    <w:p>
      <w:pPr>
        <w:pStyle w:val="Normal"/>
        <w:spacing w:before="0" w:after="30"/>
        <w:ind w:start="227"/>
        <w:rPr/>
      </w:pPr>
      <w:r>
        <w:rPr>
          <w:b/>
          <w:color w:val="D4A017"/>
          <w:sz w:val="16"/>
        </w:rPr>
        <w:t xml:space="preserve">Réponse : </w:t>
      </w:r>
      <w:r>
        <w:rPr>
          <w:color w:val="1F2937"/>
          <w:sz w:val="16"/>
        </w:rPr>
        <w:t>Juste avant les champs du formulaire.</w:t>
      </w:r>
    </w:p>
    <w:p>
      <w:pPr>
        <w:pStyle w:val="Normal"/>
        <w:keepNext w:val="true"/>
        <w:keepLines/>
        <w:spacing w:before="30" w:after="0"/>
        <w:ind w:start="28"/>
        <w:rPr/>
      </w:pPr>
      <w:r>
        <w:rPr>
          <w:b/>
          <w:color w:val="0B3D91"/>
          <w:sz w:val="16"/>
        </w:rPr>
        <w:t>Q5. À quel public « Message « Please enable JavaScript in your browser to complete this form » » s’adresse-t-il ?</w:t>
      </w:r>
    </w:p>
    <w:p>
      <w:pPr>
        <w:pStyle w:val="Normal"/>
        <w:spacing w:before="0" w:after="30"/>
        <w:ind w:start="227"/>
        <w:rPr/>
      </w:pPr>
      <w:r>
        <w:rPr>
          <w:b/>
          <w:color w:val="D4A017"/>
          <w:sz w:val="16"/>
        </w:rPr>
        <w:t xml:space="preserve">Réponse : </w:t>
      </w:r>
      <w:r>
        <w:rPr>
          <w:color w:val="1F2937"/>
          <w:sz w:val="16"/>
        </w:rPr>
        <w:t>Utilisateurs dont le navigateur bloque ou désactive JavaScript.</w:t>
      </w:r>
    </w:p>
    <w:p>
      <w:pPr>
        <w:pStyle w:val="Normal"/>
        <w:keepNext w:val="true"/>
        <w:keepLines/>
        <w:spacing w:before="30" w:after="0"/>
        <w:ind w:start="28"/>
        <w:rPr/>
      </w:pPr>
      <w:r>
        <w:rPr>
          <w:b/>
          <w:color w:val="0B3D91"/>
          <w:sz w:val="16"/>
        </w:rPr>
        <w:t>Q6. Quelle action le visiteur peut-il accomplir à partir de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Activer JavaScript ou utiliser un autre canal officiel.</w:t>
      </w:r>
    </w:p>
    <w:p>
      <w:pPr>
        <w:pStyle w:val="Normal"/>
        <w:keepNext w:val="true"/>
        <w:keepLines/>
        <w:spacing w:before="30" w:after="0"/>
        <w:ind w:start="28"/>
        <w:rPr/>
      </w:pPr>
      <w:r>
        <w:rPr>
          <w:b/>
          <w:color w:val="0B3D91"/>
          <w:sz w:val="16"/>
        </w:rPr>
        <w:t>Q7. Quel canal ou moyen de contact est lié à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Formulaire web ; alternatives par téléphone, e-mail ou WhatsApp.</w:t>
      </w:r>
    </w:p>
    <w:p>
      <w:pPr>
        <w:pStyle w:val="Normal"/>
        <w:keepNext w:val="true"/>
        <w:keepLines/>
        <w:spacing w:before="30" w:after="0"/>
        <w:ind w:start="28"/>
        <w:rPr/>
      </w:pPr>
      <w:r>
        <w:rPr>
          <w:b/>
          <w:color w:val="0B3D91"/>
          <w:sz w:val="16"/>
        </w:rPr>
        <w:t>Q8. Quel est le statut éditorial ou fonctionnel de « Message « Please enable JavaScript in your browser to complete this form » » sur le site inspecté ?</w:t>
      </w:r>
    </w:p>
    <w:p>
      <w:pPr>
        <w:pStyle w:val="Normal"/>
        <w:spacing w:before="0" w:after="30"/>
        <w:ind w:start="227"/>
        <w:rPr/>
      </w:pPr>
      <w:r>
        <w:rPr>
          <w:b/>
          <w:color w:val="D4A017"/>
          <w:sz w:val="16"/>
        </w:rPr>
        <w:t xml:space="preserve">Réponse : </w:t>
      </w:r>
      <w:r>
        <w:rPr>
          <w:color w:val="1F2937"/>
          <w:sz w:val="16"/>
        </w:rPr>
        <w:t>Avertissement technique visible.</w:t>
      </w:r>
    </w:p>
    <w:p>
      <w:pPr>
        <w:pStyle w:val="Normal"/>
        <w:keepNext w:val="true"/>
        <w:keepLines/>
        <w:spacing w:before="30" w:after="0"/>
        <w:ind w:start="28"/>
        <w:rPr/>
      </w:pPr>
      <w:r>
        <w:rPr>
          <w:b/>
          <w:color w:val="0B3D91"/>
          <w:sz w:val="16"/>
        </w:rPr>
        <w:t>Q9. Quelle limite ou précaution faut-il conserver à propos de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Le site doit prévoir une solution de secours accessible si le script ne fonctionne pas.</w:t>
      </w:r>
    </w:p>
    <w:p>
      <w:pPr>
        <w:pStyle w:val="Normal"/>
        <w:keepNext w:val="true"/>
        <w:keepLines/>
        <w:spacing w:before="30" w:after="0"/>
        <w:ind w:start="28"/>
        <w:rPr/>
      </w:pPr>
      <w:r>
        <w:rPr>
          <w:b/>
          <w:color w:val="0B3D91"/>
          <w:sz w:val="16"/>
        </w:rPr>
        <w:t>Q10. Quelle réponse essentielle faut-il retenir au sujet de « Message « Please enable JavaScript in your browser to complete this form » » ?</w:t>
      </w:r>
    </w:p>
    <w:p>
      <w:pPr>
        <w:pStyle w:val="Normal"/>
        <w:spacing w:before="0" w:after="30"/>
        <w:ind w:start="227"/>
        <w:rPr/>
      </w:pPr>
      <w:r>
        <w:rPr>
          <w:b/>
          <w:color w:val="D4A017"/>
          <w:sz w:val="16"/>
        </w:rPr>
        <w:t xml:space="preserve">Réponse : </w:t>
      </w:r>
      <w:r>
        <w:rPr>
          <w:color w:val="1F2937"/>
          <w:sz w:val="16"/>
        </w:rPr>
        <w:t>JavaScript doit être activé pour utiliser ce formulaire dans sa forme actuelle.</w:t>
      </w:r>
    </w:p>
    <w:p>
      <w:pPr>
        <w:pStyle w:val="Normal"/>
        <w:rPr/>
      </w:pPr>
      <w:r>
        <w:rPr/>
      </w:r>
      <w:r>
        <w:br w:type="page"/>
      </w:r>
    </w:p>
    <w:p>
      <w:pPr>
        <w:pStyle w:val="Heading1"/>
        <w:spacing w:before="0" w:after="100"/>
        <w:rPr/>
      </w:pPr>
      <w:r>
        <w:rPr/>
        <w:t>Fiche 20 — Champ « Name *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comporte un champ obligatoire intitulé « Name *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Champ obligatoire visible.</w:t>
            </w:r>
          </w:p>
        </w:tc>
      </w:tr>
    </w:tbl>
    <w:p>
      <w:pPr>
        <w:pStyle w:val="Normal"/>
        <w:spacing w:before="20" w:after="80"/>
        <w:rPr/>
      </w:pPr>
      <w:r>
        <w:rPr>
          <w:b/>
          <w:color w:val="0B3D91"/>
          <w:sz w:val="15"/>
        </w:rPr>
        <w:t xml:space="preserve">Source contrôlée : </w:t>
      </w:r>
      <w:r>
        <w:rPr>
          <w:color w:val="555555"/>
          <w:sz w:val="15"/>
        </w:rPr>
        <w:t>Formulaire de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Nom du demandeur</w:t>
      </w:r>
    </w:p>
    <w:p>
      <w:pPr>
        <w:pStyle w:val="ListBullet"/>
        <w:numPr>
          <w:ilvl w:val="0"/>
          <w:numId w:val="1"/>
        </w:numPr>
        <w:spacing w:before="0" w:after="20"/>
        <w:ind w:hanging="360" w:start="255"/>
        <w:contextualSpacing/>
        <w:rPr/>
      </w:pPr>
      <w:r>
        <w:rPr>
          <w:sz w:val="17"/>
        </w:rPr>
        <w:t>Champ obligatoire</w:t>
      </w:r>
    </w:p>
    <w:p>
      <w:pPr>
        <w:pStyle w:val="ListBullet"/>
        <w:numPr>
          <w:ilvl w:val="0"/>
          <w:numId w:val="1"/>
        </w:numPr>
        <w:spacing w:before="0" w:after="20"/>
        <w:ind w:hanging="360" w:start="255"/>
        <w:contextualSpacing/>
        <w:rPr/>
      </w:pPr>
      <w:r>
        <w:rPr>
          <w:sz w:val="17"/>
        </w:rPr>
        <w:t>Libellé anglais</w:t>
      </w:r>
    </w:p>
    <w:p>
      <w:pPr>
        <w:pStyle w:val="ListBullet"/>
        <w:numPr>
          <w:ilvl w:val="0"/>
          <w:numId w:val="1"/>
        </w:numPr>
        <w:spacing w:before="0" w:after="20"/>
        <w:ind w:hanging="360" w:start="255"/>
        <w:contextualSpacing/>
        <w:rPr/>
      </w:pPr>
      <w:r>
        <w:rPr>
          <w:sz w:val="17"/>
        </w:rPr>
        <w:t>Donnée personnelle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indique la donnée d’identité minimale attendue.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Cette information permet une réponse personnalisée et un suivi responsable.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E-mail, Objet, Message, Consentement et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Champ « Name * » » ?</w:t>
      </w:r>
    </w:p>
    <w:p>
      <w:pPr>
        <w:pStyle w:val="Normal"/>
        <w:spacing w:before="0" w:after="30"/>
        <w:ind w:start="227"/>
        <w:rPr/>
      </w:pPr>
      <w:r>
        <w:rPr>
          <w:b/>
          <w:color w:val="D4A017"/>
          <w:sz w:val="16"/>
        </w:rPr>
        <w:t xml:space="preserve">Réponse : </w:t>
      </w:r>
      <w:r>
        <w:rPr>
          <w:color w:val="1F2937"/>
          <w:sz w:val="16"/>
        </w:rPr>
        <w:t>Le formulaire comporte un champ obligatoire intitulé « Name * ».</w:t>
      </w:r>
    </w:p>
    <w:p>
      <w:pPr>
        <w:pStyle w:val="Normal"/>
        <w:keepNext w:val="true"/>
        <w:keepLines/>
        <w:spacing w:before="30" w:after="0"/>
        <w:ind w:start="28"/>
        <w:rPr/>
      </w:pPr>
      <w:r>
        <w:rPr>
          <w:b/>
          <w:color w:val="0B3D91"/>
          <w:sz w:val="16"/>
        </w:rPr>
        <w:t>Q2. Quelle est l’idée centrale développée sous « Champ « Name * » » ?</w:t>
      </w:r>
    </w:p>
    <w:p>
      <w:pPr>
        <w:pStyle w:val="Normal"/>
        <w:spacing w:before="0" w:after="30"/>
        <w:ind w:start="227"/>
        <w:rPr/>
      </w:pPr>
      <w:r>
        <w:rPr>
          <w:b/>
          <w:color w:val="D4A017"/>
          <w:sz w:val="16"/>
        </w:rPr>
        <w:t xml:space="preserve">Réponse : </w:t>
      </w:r>
      <w:r>
        <w:rPr>
          <w:color w:val="1F2937"/>
          <w:sz w:val="16"/>
        </w:rPr>
        <w:t>Il sert à identifier la personne qui envoie la demande.</w:t>
      </w:r>
    </w:p>
    <w:p>
      <w:pPr>
        <w:pStyle w:val="Normal"/>
        <w:keepNext w:val="true"/>
        <w:keepLines/>
        <w:spacing w:before="30" w:after="0"/>
        <w:ind w:start="28"/>
        <w:rPr/>
      </w:pPr>
      <w:r>
        <w:rPr>
          <w:b/>
          <w:color w:val="0B3D91"/>
          <w:sz w:val="16"/>
        </w:rPr>
        <w:t>Q3. Quels éléments précis sont associés à « Champ « Name * » » ?</w:t>
      </w:r>
    </w:p>
    <w:p>
      <w:pPr>
        <w:pStyle w:val="Normal"/>
        <w:spacing w:before="0" w:after="30"/>
        <w:ind w:start="227"/>
        <w:rPr/>
      </w:pPr>
      <w:r>
        <w:rPr>
          <w:b/>
          <w:color w:val="D4A017"/>
          <w:sz w:val="16"/>
        </w:rPr>
        <w:t xml:space="preserve">Réponse : </w:t>
      </w:r>
      <w:r>
        <w:rPr>
          <w:color w:val="1F2937"/>
          <w:sz w:val="16"/>
        </w:rPr>
        <w:t>Libellé en anglais, nom du demandeur et astérisque d’obligation.</w:t>
      </w:r>
    </w:p>
    <w:p>
      <w:pPr>
        <w:pStyle w:val="Normal"/>
        <w:keepNext w:val="true"/>
        <w:keepLines/>
        <w:spacing w:before="30" w:after="0"/>
        <w:ind w:start="28"/>
        <w:rPr/>
      </w:pPr>
      <w:r>
        <w:rPr>
          <w:b/>
          <w:color w:val="0B3D91"/>
          <w:sz w:val="16"/>
        </w:rPr>
        <w:t>Q4. Où « Champ « Name * » » apparaît-il dans le parcours de la page Contact ?</w:t>
      </w:r>
    </w:p>
    <w:p>
      <w:pPr>
        <w:pStyle w:val="Normal"/>
        <w:spacing w:before="0" w:after="30"/>
        <w:ind w:start="227"/>
        <w:rPr/>
      </w:pPr>
      <w:r>
        <w:rPr>
          <w:b/>
          <w:color w:val="D4A017"/>
          <w:sz w:val="16"/>
        </w:rPr>
        <w:t xml:space="preserve">Réponse : </w:t>
      </w:r>
      <w:r>
        <w:rPr>
          <w:color w:val="1F2937"/>
          <w:sz w:val="16"/>
        </w:rPr>
        <w:t>Premier champ du formulaire.</w:t>
      </w:r>
    </w:p>
    <w:p>
      <w:pPr>
        <w:pStyle w:val="Normal"/>
        <w:keepNext w:val="true"/>
        <w:keepLines/>
        <w:spacing w:before="30" w:after="0"/>
        <w:ind w:start="28"/>
        <w:rPr/>
      </w:pPr>
      <w:r>
        <w:rPr>
          <w:b/>
          <w:color w:val="0B3D91"/>
          <w:sz w:val="16"/>
        </w:rPr>
        <w:t>Q5. À quel public « Champ « Name * » » s’adresse-t-il ?</w:t>
      </w:r>
    </w:p>
    <w:p>
      <w:pPr>
        <w:pStyle w:val="Normal"/>
        <w:spacing w:before="0" w:after="30"/>
        <w:ind w:start="227"/>
        <w:rPr/>
      </w:pPr>
      <w:r>
        <w:rPr>
          <w:b/>
          <w:color w:val="D4A017"/>
          <w:sz w:val="16"/>
        </w:rPr>
        <w:t xml:space="preserve">Réponse : </w:t>
      </w:r>
      <w:r>
        <w:rPr>
          <w:color w:val="1F2937"/>
          <w:sz w:val="16"/>
        </w:rPr>
        <w:t>Toute personne envoyant un message.</w:t>
      </w:r>
    </w:p>
    <w:p>
      <w:pPr>
        <w:pStyle w:val="Normal"/>
        <w:keepNext w:val="true"/>
        <w:keepLines/>
        <w:spacing w:before="30" w:after="0"/>
        <w:ind w:start="28"/>
        <w:rPr/>
      </w:pPr>
      <w:r>
        <w:rPr>
          <w:b/>
          <w:color w:val="0B3D91"/>
          <w:sz w:val="16"/>
        </w:rPr>
        <w:t>Q6. Quelle action le visiteur peut-il accomplir à partir de « Champ « Name * » » ?</w:t>
      </w:r>
    </w:p>
    <w:p>
      <w:pPr>
        <w:pStyle w:val="Normal"/>
        <w:spacing w:before="0" w:after="30"/>
        <w:ind w:start="227"/>
        <w:rPr/>
      </w:pPr>
      <w:r>
        <w:rPr>
          <w:b/>
          <w:color w:val="D4A017"/>
          <w:sz w:val="16"/>
        </w:rPr>
        <w:t xml:space="preserve">Réponse : </w:t>
      </w:r>
      <w:r>
        <w:rPr>
          <w:color w:val="1F2937"/>
          <w:sz w:val="16"/>
        </w:rPr>
        <w:t>Saisir son nom avant l’envoi.</w:t>
      </w:r>
    </w:p>
    <w:p>
      <w:pPr>
        <w:pStyle w:val="Normal"/>
        <w:keepNext w:val="true"/>
        <w:keepLines/>
        <w:spacing w:before="30" w:after="0"/>
        <w:ind w:start="28"/>
        <w:rPr/>
      </w:pPr>
      <w:r>
        <w:rPr>
          <w:b/>
          <w:color w:val="0B3D91"/>
          <w:sz w:val="16"/>
        </w:rPr>
        <w:t>Q7. Quel canal ou moyen de contact est lié à « Champ « Name * » » ?</w:t>
      </w:r>
    </w:p>
    <w:p>
      <w:pPr>
        <w:pStyle w:val="Normal"/>
        <w:spacing w:before="0" w:after="30"/>
        <w:ind w:start="227"/>
        <w:rPr/>
      </w:pPr>
      <w:r>
        <w:rPr>
          <w:b/>
          <w:color w:val="D4A017"/>
          <w:sz w:val="16"/>
        </w:rPr>
        <w:t xml:space="preserve">Réponse : </w:t>
      </w:r>
      <w:r>
        <w:rPr>
          <w:color w:val="1F2937"/>
          <w:sz w:val="16"/>
        </w:rPr>
        <w:t>Formulaire web.</w:t>
      </w:r>
    </w:p>
    <w:p>
      <w:pPr>
        <w:pStyle w:val="Normal"/>
        <w:keepNext w:val="true"/>
        <w:keepLines/>
        <w:spacing w:before="30" w:after="0"/>
        <w:ind w:start="28"/>
        <w:rPr/>
      </w:pPr>
      <w:r>
        <w:rPr>
          <w:b/>
          <w:color w:val="0B3D91"/>
          <w:sz w:val="16"/>
        </w:rPr>
        <w:t>Q8. Quel est le statut éditorial ou fonctionnel de « Champ « Name * » » sur le site inspecté ?</w:t>
      </w:r>
    </w:p>
    <w:p>
      <w:pPr>
        <w:pStyle w:val="Normal"/>
        <w:spacing w:before="0" w:after="30"/>
        <w:ind w:start="227"/>
        <w:rPr/>
      </w:pPr>
      <w:r>
        <w:rPr>
          <w:b/>
          <w:color w:val="D4A017"/>
          <w:sz w:val="16"/>
        </w:rPr>
        <w:t xml:space="preserve">Réponse : </w:t>
      </w:r>
      <w:r>
        <w:rPr>
          <w:color w:val="1F2937"/>
          <w:sz w:val="16"/>
        </w:rPr>
        <w:t>Champ obligatoire visible.</w:t>
      </w:r>
    </w:p>
    <w:p>
      <w:pPr>
        <w:pStyle w:val="Normal"/>
        <w:keepNext w:val="true"/>
        <w:keepLines/>
        <w:spacing w:before="30" w:after="0"/>
        <w:ind w:start="28"/>
        <w:rPr/>
      </w:pPr>
      <w:r>
        <w:rPr>
          <w:b/>
          <w:color w:val="0B3D91"/>
          <w:sz w:val="16"/>
        </w:rPr>
        <w:t>Q9. Quelle limite ou précaution faut-il conserver à propos de « Champ « Name * » » ?</w:t>
      </w:r>
    </w:p>
    <w:p>
      <w:pPr>
        <w:pStyle w:val="Normal"/>
        <w:spacing w:before="0" w:after="30"/>
        <w:ind w:start="227"/>
        <w:rPr/>
      </w:pPr>
      <w:r>
        <w:rPr>
          <w:b/>
          <w:color w:val="D4A017"/>
          <w:sz w:val="16"/>
        </w:rPr>
        <w:t xml:space="preserve">Réponse : </w:t>
      </w:r>
      <w:r>
        <w:rPr>
          <w:color w:val="1F2937"/>
          <w:sz w:val="16"/>
        </w:rPr>
        <w:t>La collecte doit être limitée au nécessaire et protégée conformément à la politique de confidentialité.</w:t>
      </w:r>
    </w:p>
    <w:p>
      <w:pPr>
        <w:pStyle w:val="Normal"/>
        <w:keepNext w:val="true"/>
        <w:keepLines/>
        <w:spacing w:before="30" w:after="0"/>
        <w:ind w:start="28"/>
        <w:rPr/>
      </w:pPr>
      <w:r>
        <w:rPr>
          <w:b/>
          <w:color w:val="0B3D91"/>
          <w:sz w:val="16"/>
        </w:rPr>
        <w:t>Q10. Quelle réponse essentielle faut-il retenir au sujet de « Champ « Name * » » ?</w:t>
      </w:r>
    </w:p>
    <w:p>
      <w:pPr>
        <w:pStyle w:val="Normal"/>
        <w:spacing w:before="0" w:after="30"/>
        <w:ind w:start="227"/>
        <w:rPr/>
      </w:pPr>
      <w:r>
        <w:rPr>
          <w:b/>
          <w:color w:val="D4A017"/>
          <w:sz w:val="16"/>
        </w:rPr>
        <w:t xml:space="preserve">Réponse : </w:t>
      </w:r>
      <w:r>
        <w:rPr>
          <w:color w:val="1F2937"/>
          <w:sz w:val="16"/>
        </w:rPr>
        <w:t>Le nom est requis pour identifier l’auteur de la demande.</w:t>
      </w:r>
    </w:p>
    <w:p>
      <w:pPr>
        <w:pStyle w:val="Normal"/>
        <w:rPr/>
      </w:pPr>
      <w:r>
        <w:rPr/>
      </w:r>
      <w:r>
        <w:br w:type="page"/>
      </w:r>
    </w:p>
    <w:p>
      <w:pPr>
        <w:pStyle w:val="Heading1"/>
        <w:spacing w:before="0" w:after="100"/>
        <w:rPr/>
      </w:pPr>
      <w:r>
        <w:rPr/>
        <w:t>Fiche 21 — Champ « Email * » du formulaire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comporte un champ obligatoire intitulé « Email *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Champ obligatoire visible.</w:t>
            </w:r>
          </w:p>
        </w:tc>
      </w:tr>
    </w:tbl>
    <w:p>
      <w:pPr>
        <w:pStyle w:val="Normal"/>
        <w:spacing w:before="20" w:after="80"/>
        <w:rPr/>
      </w:pPr>
      <w:r>
        <w:rPr>
          <w:b/>
          <w:color w:val="0B3D91"/>
          <w:sz w:val="15"/>
        </w:rPr>
        <w:t xml:space="preserve">Source contrôlée : </w:t>
      </w:r>
      <w:r>
        <w:rPr>
          <w:color w:val="555555"/>
          <w:sz w:val="15"/>
        </w:rPr>
        <w:t>Formulaire de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Adresse du demandeur</w:t>
      </w:r>
    </w:p>
    <w:p>
      <w:pPr>
        <w:pStyle w:val="ListBullet"/>
        <w:numPr>
          <w:ilvl w:val="0"/>
          <w:numId w:val="1"/>
        </w:numPr>
        <w:spacing w:before="0" w:after="20"/>
        <w:ind w:hanging="360" w:start="255"/>
        <w:contextualSpacing/>
        <w:rPr/>
      </w:pPr>
      <w:r>
        <w:rPr>
          <w:sz w:val="17"/>
        </w:rPr>
        <w:t>Champ obligatoire</w:t>
      </w:r>
    </w:p>
    <w:p>
      <w:pPr>
        <w:pStyle w:val="ListBullet"/>
        <w:numPr>
          <w:ilvl w:val="0"/>
          <w:numId w:val="1"/>
        </w:numPr>
        <w:spacing w:before="0" w:after="20"/>
        <w:ind w:hanging="360" w:start="255"/>
        <w:contextualSpacing/>
        <w:rPr/>
      </w:pPr>
      <w:r>
        <w:rPr>
          <w:sz w:val="17"/>
        </w:rPr>
        <w:t>Canal de réponse</w:t>
      </w:r>
    </w:p>
    <w:p>
      <w:pPr>
        <w:pStyle w:val="ListBullet"/>
        <w:numPr>
          <w:ilvl w:val="0"/>
          <w:numId w:val="1"/>
        </w:numPr>
        <w:spacing w:before="0" w:after="20"/>
        <w:ind w:hanging="360" w:start="255"/>
        <w:contextualSpacing/>
        <w:rPr/>
      </w:pPr>
      <w:r>
        <w:rPr>
          <w:sz w:val="17"/>
        </w:rPr>
        <w:t>Donnée personnelle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précise le canal de réponse attendu.</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permet à l’équipe de répondre et de conserver une trace des échanges.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Nom, Objet, Message, e-mail officiel et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Champ « Email * » du formulaire » ?</w:t>
      </w:r>
    </w:p>
    <w:p>
      <w:pPr>
        <w:pStyle w:val="Normal"/>
        <w:spacing w:before="0" w:after="30"/>
        <w:ind w:start="227"/>
        <w:rPr/>
      </w:pPr>
      <w:r>
        <w:rPr>
          <w:b/>
          <w:color w:val="D4A017"/>
          <w:sz w:val="16"/>
        </w:rPr>
        <w:t xml:space="preserve">Réponse : </w:t>
      </w:r>
      <w:r>
        <w:rPr>
          <w:color w:val="1F2937"/>
          <w:sz w:val="16"/>
        </w:rPr>
        <w:t>Le formulaire comporte un champ obligatoire intitulé « Email * ».</w:t>
      </w:r>
    </w:p>
    <w:p>
      <w:pPr>
        <w:pStyle w:val="Normal"/>
        <w:keepNext w:val="true"/>
        <w:keepLines/>
        <w:spacing w:before="30" w:after="0"/>
        <w:ind w:start="28"/>
        <w:rPr/>
      </w:pPr>
      <w:r>
        <w:rPr>
          <w:b/>
          <w:color w:val="0B3D91"/>
          <w:sz w:val="16"/>
        </w:rPr>
        <w:t>Q2. Quelle est l’idée centrale développée sous « Champ « Email * » du formulaire » ?</w:t>
      </w:r>
    </w:p>
    <w:p>
      <w:pPr>
        <w:pStyle w:val="Normal"/>
        <w:spacing w:before="0" w:after="30"/>
        <w:ind w:start="227"/>
        <w:rPr/>
      </w:pPr>
      <w:r>
        <w:rPr>
          <w:b/>
          <w:color w:val="D4A017"/>
          <w:sz w:val="16"/>
        </w:rPr>
        <w:t xml:space="preserve">Réponse : </w:t>
      </w:r>
      <w:r>
        <w:rPr>
          <w:color w:val="1F2937"/>
          <w:sz w:val="16"/>
        </w:rPr>
        <w:t>Il sert à recueillir l’adresse de réponse du demandeur.</w:t>
      </w:r>
    </w:p>
    <w:p>
      <w:pPr>
        <w:pStyle w:val="Normal"/>
        <w:keepNext w:val="true"/>
        <w:keepLines/>
        <w:spacing w:before="30" w:after="0"/>
        <w:ind w:start="28"/>
        <w:rPr/>
      </w:pPr>
      <w:r>
        <w:rPr>
          <w:b/>
          <w:color w:val="0B3D91"/>
          <w:sz w:val="16"/>
        </w:rPr>
        <w:t>Q3. Quels éléments précis sont associés à « Champ « Email * » du formulaire » ?</w:t>
      </w:r>
    </w:p>
    <w:p>
      <w:pPr>
        <w:pStyle w:val="Normal"/>
        <w:spacing w:before="0" w:after="30"/>
        <w:ind w:start="227"/>
        <w:rPr/>
      </w:pPr>
      <w:r>
        <w:rPr>
          <w:b/>
          <w:color w:val="D4A017"/>
          <w:sz w:val="16"/>
        </w:rPr>
        <w:t xml:space="preserve">Réponse : </w:t>
      </w:r>
      <w:r>
        <w:rPr>
          <w:color w:val="1F2937"/>
          <w:sz w:val="16"/>
        </w:rPr>
        <w:t>Adresse électronique et astérisque d’obligation.</w:t>
      </w:r>
    </w:p>
    <w:p>
      <w:pPr>
        <w:pStyle w:val="Normal"/>
        <w:keepNext w:val="true"/>
        <w:keepLines/>
        <w:spacing w:before="30" w:after="0"/>
        <w:ind w:start="28"/>
        <w:rPr/>
      </w:pPr>
      <w:r>
        <w:rPr>
          <w:b/>
          <w:color w:val="0B3D91"/>
          <w:sz w:val="16"/>
        </w:rPr>
        <w:t>Q4. Où « Champ « Email * » du formulaire » apparaît-il dans le parcours de la page Contact ?</w:t>
      </w:r>
    </w:p>
    <w:p>
      <w:pPr>
        <w:pStyle w:val="Normal"/>
        <w:spacing w:before="0" w:after="30"/>
        <w:ind w:start="227"/>
        <w:rPr/>
      </w:pPr>
      <w:r>
        <w:rPr>
          <w:b/>
          <w:color w:val="D4A017"/>
          <w:sz w:val="16"/>
        </w:rPr>
        <w:t xml:space="preserve">Réponse : </w:t>
      </w:r>
      <w:r>
        <w:rPr>
          <w:color w:val="1F2937"/>
          <w:sz w:val="16"/>
        </w:rPr>
        <w:t>Deuxième champ du formulaire.</w:t>
      </w:r>
    </w:p>
    <w:p>
      <w:pPr>
        <w:pStyle w:val="Normal"/>
        <w:keepNext w:val="true"/>
        <w:keepLines/>
        <w:spacing w:before="30" w:after="0"/>
        <w:ind w:start="28"/>
        <w:rPr/>
      </w:pPr>
      <w:r>
        <w:rPr>
          <w:b/>
          <w:color w:val="0B3D91"/>
          <w:sz w:val="16"/>
        </w:rPr>
        <w:t>Q5. À quel public « Champ « Email * » du formulaire » s’adresse-t-il ?</w:t>
      </w:r>
    </w:p>
    <w:p>
      <w:pPr>
        <w:pStyle w:val="Normal"/>
        <w:spacing w:before="0" w:after="30"/>
        <w:ind w:start="227"/>
        <w:rPr/>
      </w:pPr>
      <w:r>
        <w:rPr>
          <w:b/>
          <w:color w:val="D4A017"/>
          <w:sz w:val="16"/>
        </w:rPr>
        <w:t xml:space="preserve">Réponse : </w:t>
      </w:r>
      <w:r>
        <w:rPr>
          <w:color w:val="1F2937"/>
          <w:sz w:val="16"/>
        </w:rPr>
        <w:t>Toute personne souhaitant recevoir une réponse par e-mail.</w:t>
      </w:r>
    </w:p>
    <w:p>
      <w:pPr>
        <w:pStyle w:val="Normal"/>
        <w:keepNext w:val="true"/>
        <w:keepLines/>
        <w:spacing w:before="30" w:after="0"/>
        <w:ind w:start="28"/>
        <w:rPr/>
      </w:pPr>
      <w:r>
        <w:rPr>
          <w:b/>
          <w:color w:val="0B3D91"/>
          <w:sz w:val="16"/>
        </w:rPr>
        <w:t>Q6. Quelle action le visiteur peut-il accomplir à partir de « Champ « Email * » du formulaire » ?</w:t>
      </w:r>
    </w:p>
    <w:p>
      <w:pPr>
        <w:pStyle w:val="Normal"/>
        <w:spacing w:before="0" w:after="30"/>
        <w:ind w:start="227"/>
        <w:rPr/>
      </w:pPr>
      <w:r>
        <w:rPr>
          <w:b/>
          <w:color w:val="D4A017"/>
          <w:sz w:val="16"/>
        </w:rPr>
        <w:t xml:space="preserve">Réponse : </w:t>
      </w:r>
      <w:r>
        <w:rPr>
          <w:color w:val="1F2937"/>
          <w:sz w:val="16"/>
        </w:rPr>
        <w:t>Saisir une adresse électronique valide.</w:t>
      </w:r>
    </w:p>
    <w:p>
      <w:pPr>
        <w:pStyle w:val="Normal"/>
        <w:keepNext w:val="true"/>
        <w:keepLines/>
        <w:spacing w:before="30" w:after="0"/>
        <w:ind w:start="28"/>
        <w:rPr/>
      </w:pPr>
      <w:r>
        <w:rPr>
          <w:b/>
          <w:color w:val="0B3D91"/>
          <w:sz w:val="16"/>
        </w:rPr>
        <w:t>Q7. Quel canal ou moyen de contact est lié à « Champ « Email * » du formulaire » ?</w:t>
      </w:r>
    </w:p>
    <w:p>
      <w:pPr>
        <w:pStyle w:val="Normal"/>
        <w:spacing w:before="0" w:after="30"/>
        <w:ind w:start="227"/>
        <w:rPr/>
      </w:pPr>
      <w:r>
        <w:rPr>
          <w:b/>
          <w:color w:val="D4A017"/>
          <w:sz w:val="16"/>
        </w:rPr>
        <w:t xml:space="preserve">Réponse : </w:t>
      </w:r>
      <w:r>
        <w:rPr>
          <w:color w:val="1F2937"/>
          <w:sz w:val="16"/>
        </w:rPr>
        <w:t>Formulaire web et courrier électronique.</w:t>
      </w:r>
    </w:p>
    <w:p>
      <w:pPr>
        <w:pStyle w:val="Normal"/>
        <w:keepNext w:val="true"/>
        <w:keepLines/>
        <w:spacing w:before="30" w:after="0"/>
        <w:ind w:start="28"/>
        <w:rPr/>
      </w:pPr>
      <w:r>
        <w:rPr>
          <w:b/>
          <w:color w:val="0B3D91"/>
          <w:sz w:val="16"/>
        </w:rPr>
        <w:t>Q8. Quel est le statut éditorial ou fonctionnel de « Champ « Email * » du formulaire » sur le site inspecté ?</w:t>
      </w:r>
    </w:p>
    <w:p>
      <w:pPr>
        <w:pStyle w:val="Normal"/>
        <w:spacing w:before="0" w:after="30"/>
        <w:ind w:start="227"/>
        <w:rPr/>
      </w:pPr>
      <w:r>
        <w:rPr>
          <w:b/>
          <w:color w:val="D4A017"/>
          <w:sz w:val="16"/>
        </w:rPr>
        <w:t xml:space="preserve">Réponse : </w:t>
      </w:r>
      <w:r>
        <w:rPr>
          <w:color w:val="1F2937"/>
          <w:sz w:val="16"/>
        </w:rPr>
        <w:t>Champ obligatoire visible.</w:t>
      </w:r>
    </w:p>
    <w:p>
      <w:pPr>
        <w:pStyle w:val="Normal"/>
        <w:keepNext w:val="true"/>
        <w:keepLines/>
        <w:spacing w:before="30" w:after="0"/>
        <w:ind w:start="28"/>
        <w:rPr/>
      </w:pPr>
      <w:r>
        <w:rPr>
          <w:b/>
          <w:color w:val="0B3D91"/>
          <w:sz w:val="16"/>
        </w:rPr>
        <w:t>Q9. Quelle limite ou précaution faut-il conserver à propos de « Champ « Email * » du formulaire » ?</w:t>
      </w:r>
    </w:p>
    <w:p>
      <w:pPr>
        <w:pStyle w:val="Normal"/>
        <w:spacing w:before="0" w:after="30"/>
        <w:ind w:start="227"/>
        <w:rPr/>
      </w:pPr>
      <w:r>
        <w:rPr>
          <w:b/>
          <w:color w:val="D4A017"/>
          <w:sz w:val="16"/>
        </w:rPr>
        <w:t xml:space="preserve">Réponse : </w:t>
      </w:r>
      <w:r>
        <w:rPr>
          <w:color w:val="1F2937"/>
          <w:sz w:val="16"/>
        </w:rPr>
        <w:t>L’adresse saisie est une donnée personnelle et ne doit être utilisée que pour traiter la demande.</w:t>
      </w:r>
    </w:p>
    <w:p>
      <w:pPr>
        <w:pStyle w:val="Normal"/>
        <w:keepNext w:val="true"/>
        <w:keepLines/>
        <w:spacing w:before="30" w:after="0"/>
        <w:ind w:start="28"/>
        <w:rPr/>
      </w:pPr>
      <w:r>
        <w:rPr>
          <w:b/>
          <w:color w:val="0B3D91"/>
          <w:sz w:val="16"/>
        </w:rPr>
        <w:t>Q10. Quelle réponse essentielle faut-il retenir au sujet de « Champ « Email * » du formulaire » ?</w:t>
      </w:r>
    </w:p>
    <w:p>
      <w:pPr>
        <w:pStyle w:val="Normal"/>
        <w:spacing w:before="0" w:after="30"/>
        <w:ind w:start="227"/>
        <w:rPr/>
      </w:pPr>
      <w:r>
        <w:rPr>
          <w:b/>
          <w:color w:val="D4A017"/>
          <w:sz w:val="16"/>
        </w:rPr>
        <w:t xml:space="preserve">Réponse : </w:t>
      </w:r>
      <w:r>
        <w:rPr>
          <w:color w:val="1F2937"/>
          <w:sz w:val="16"/>
        </w:rPr>
        <w:t>Le demandeur doit fournir une adresse e-mail pour permettre le retour de l’école.</w:t>
      </w:r>
    </w:p>
    <w:p>
      <w:pPr>
        <w:pStyle w:val="Normal"/>
        <w:rPr/>
      </w:pPr>
      <w:r>
        <w:rPr/>
      </w:r>
      <w:r>
        <w:br w:type="page"/>
      </w:r>
    </w:p>
    <w:p>
      <w:pPr>
        <w:pStyle w:val="Heading1"/>
        <w:spacing w:before="0" w:after="100"/>
        <w:rPr/>
      </w:pPr>
      <w:r>
        <w:rPr/>
        <w:t>Fiche 22 — Champ « Subject *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comporte un champ obligatoire intitulé « Subject *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Champ obligatoire visible.</w:t>
            </w:r>
          </w:p>
        </w:tc>
      </w:tr>
    </w:tbl>
    <w:p>
      <w:pPr>
        <w:pStyle w:val="Normal"/>
        <w:spacing w:before="20" w:after="80"/>
        <w:rPr/>
      </w:pPr>
      <w:r>
        <w:rPr>
          <w:b/>
          <w:color w:val="0B3D91"/>
          <w:sz w:val="15"/>
        </w:rPr>
        <w:t xml:space="preserve">Source contrôlée : </w:t>
      </w:r>
      <w:r>
        <w:rPr>
          <w:color w:val="555555"/>
          <w:sz w:val="15"/>
        </w:rPr>
        <w:t>Formulaire de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Objet de la demande</w:t>
      </w:r>
    </w:p>
    <w:p>
      <w:pPr>
        <w:pStyle w:val="ListBullet"/>
        <w:numPr>
          <w:ilvl w:val="0"/>
          <w:numId w:val="1"/>
        </w:numPr>
        <w:spacing w:before="0" w:after="20"/>
        <w:ind w:hanging="360" w:start="255"/>
        <w:contextualSpacing/>
        <w:rPr/>
      </w:pPr>
      <w:r>
        <w:rPr>
          <w:sz w:val="17"/>
        </w:rPr>
        <w:t>Champ obligatoire</w:t>
      </w:r>
    </w:p>
    <w:p>
      <w:pPr>
        <w:pStyle w:val="ListBullet"/>
        <w:numPr>
          <w:ilvl w:val="0"/>
          <w:numId w:val="1"/>
        </w:numPr>
        <w:spacing w:before="0" w:after="20"/>
        <w:ind w:hanging="360" w:start="255"/>
        <w:contextualSpacing/>
        <w:rPr/>
      </w:pPr>
      <w:r>
        <w:rPr>
          <w:sz w:val="17"/>
        </w:rPr>
        <w:t>Orientation interne</w:t>
      </w:r>
    </w:p>
    <w:p>
      <w:pPr>
        <w:pStyle w:val="ListBullet"/>
        <w:numPr>
          <w:ilvl w:val="0"/>
          <w:numId w:val="1"/>
        </w:numPr>
        <w:spacing w:before="0" w:after="20"/>
        <w:ind w:hanging="360" w:start="255"/>
        <w:contextualSpacing/>
        <w:rPr/>
      </w:pPr>
      <w:r>
        <w:rPr>
          <w:sz w:val="17"/>
        </w:rPr>
        <w:t>Résumé du message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structure la demande avant la rédaction détaillée.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le tri, la rapidité de réponse et l’orientation interne.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service compétent, Admissions, Direction et Message.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Champ « Subject * » » ?</w:t>
      </w:r>
    </w:p>
    <w:p>
      <w:pPr>
        <w:pStyle w:val="Normal"/>
        <w:spacing w:before="0" w:after="30"/>
        <w:ind w:start="227"/>
        <w:rPr/>
      </w:pPr>
      <w:r>
        <w:rPr>
          <w:b/>
          <w:color w:val="D4A017"/>
          <w:sz w:val="16"/>
        </w:rPr>
        <w:t xml:space="preserve">Réponse : </w:t>
      </w:r>
      <w:r>
        <w:rPr>
          <w:color w:val="1F2937"/>
          <w:sz w:val="16"/>
        </w:rPr>
        <w:t>Le formulaire comporte un champ obligatoire intitulé « Subject * ».</w:t>
      </w:r>
    </w:p>
    <w:p>
      <w:pPr>
        <w:pStyle w:val="Normal"/>
        <w:keepNext w:val="true"/>
        <w:keepLines/>
        <w:spacing w:before="30" w:after="0"/>
        <w:ind w:start="28"/>
        <w:rPr/>
      </w:pPr>
      <w:r>
        <w:rPr>
          <w:b/>
          <w:color w:val="0B3D91"/>
          <w:sz w:val="16"/>
        </w:rPr>
        <w:t>Q2. Quelle est l’idée centrale développée sous « Champ « Subject * » » ?</w:t>
      </w:r>
    </w:p>
    <w:p>
      <w:pPr>
        <w:pStyle w:val="Normal"/>
        <w:spacing w:before="0" w:after="30"/>
        <w:ind w:start="227"/>
        <w:rPr/>
      </w:pPr>
      <w:r>
        <w:rPr>
          <w:b/>
          <w:color w:val="D4A017"/>
          <w:sz w:val="16"/>
        </w:rPr>
        <w:t xml:space="preserve">Réponse : </w:t>
      </w:r>
      <w:r>
        <w:rPr>
          <w:color w:val="1F2937"/>
          <w:sz w:val="16"/>
        </w:rPr>
        <w:t>Il sert à résumer le thème de la demande.</w:t>
      </w:r>
    </w:p>
    <w:p>
      <w:pPr>
        <w:pStyle w:val="Normal"/>
        <w:keepNext w:val="true"/>
        <w:keepLines/>
        <w:spacing w:before="30" w:after="0"/>
        <w:ind w:start="28"/>
        <w:rPr/>
      </w:pPr>
      <w:r>
        <w:rPr>
          <w:b/>
          <w:color w:val="0B3D91"/>
          <w:sz w:val="16"/>
        </w:rPr>
        <w:t>Q3. Quels éléments précis sont associés à « Champ « Subject * » » ?</w:t>
      </w:r>
    </w:p>
    <w:p>
      <w:pPr>
        <w:pStyle w:val="Normal"/>
        <w:spacing w:before="0" w:after="30"/>
        <w:ind w:start="227"/>
        <w:rPr/>
      </w:pPr>
      <w:r>
        <w:rPr>
          <w:b/>
          <w:color w:val="D4A017"/>
          <w:sz w:val="16"/>
        </w:rPr>
        <w:t xml:space="preserve">Réponse : </w:t>
      </w:r>
      <w:r>
        <w:rPr>
          <w:color w:val="1F2937"/>
          <w:sz w:val="16"/>
        </w:rPr>
        <w:t>Objet du message et astérisque d’obligation.</w:t>
      </w:r>
    </w:p>
    <w:p>
      <w:pPr>
        <w:pStyle w:val="Normal"/>
        <w:keepNext w:val="true"/>
        <w:keepLines/>
        <w:spacing w:before="30" w:after="0"/>
        <w:ind w:start="28"/>
        <w:rPr/>
      </w:pPr>
      <w:r>
        <w:rPr>
          <w:b/>
          <w:color w:val="0B3D91"/>
          <w:sz w:val="16"/>
        </w:rPr>
        <w:t>Q4. Où « Champ « Subject * » » apparaît-il dans le parcours de la page Contact ?</w:t>
      </w:r>
    </w:p>
    <w:p>
      <w:pPr>
        <w:pStyle w:val="Normal"/>
        <w:spacing w:before="0" w:after="30"/>
        <w:ind w:start="227"/>
        <w:rPr/>
      </w:pPr>
      <w:r>
        <w:rPr>
          <w:b/>
          <w:color w:val="D4A017"/>
          <w:sz w:val="16"/>
        </w:rPr>
        <w:t xml:space="preserve">Réponse : </w:t>
      </w:r>
      <w:r>
        <w:rPr>
          <w:color w:val="1F2937"/>
          <w:sz w:val="16"/>
        </w:rPr>
        <w:t>Troisième champ du formulaire.</w:t>
      </w:r>
    </w:p>
    <w:p>
      <w:pPr>
        <w:pStyle w:val="Normal"/>
        <w:keepNext w:val="true"/>
        <w:keepLines/>
        <w:spacing w:before="30" w:after="0"/>
        <w:ind w:start="28"/>
        <w:rPr/>
      </w:pPr>
      <w:r>
        <w:rPr>
          <w:b/>
          <w:color w:val="0B3D91"/>
          <w:sz w:val="16"/>
        </w:rPr>
        <w:t>Q5. À quel public « Champ « Subject * » » s’adresse-t-il ?</w:t>
      </w:r>
    </w:p>
    <w:p>
      <w:pPr>
        <w:pStyle w:val="Normal"/>
        <w:spacing w:before="0" w:after="30"/>
        <w:ind w:start="227"/>
        <w:rPr/>
      </w:pPr>
      <w:r>
        <w:rPr>
          <w:b/>
          <w:color w:val="D4A017"/>
          <w:sz w:val="16"/>
        </w:rPr>
        <w:t xml:space="preserve">Réponse : </w:t>
      </w:r>
      <w:r>
        <w:rPr>
          <w:color w:val="1F2937"/>
          <w:sz w:val="16"/>
        </w:rPr>
        <w:t>Toute personne envoyant une question ou une demande.</w:t>
      </w:r>
    </w:p>
    <w:p>
      <w:pPr>
        <w:pStyle w:val="Normal"/>
        <w:keepNext w:val="true"/>
        <w:keepLines/>
        <w:spacing w:before="30" w:after="0"/>
        <w:ind w:start="28"/>
        <w:rPr/>
      </w:pPr>
      <w:r>
        <w:rPr>
          <w:b/>
          <w:color w:val="0B3D91"/>
          <w:sz w:val="16"/>
        </w:rPr>
        <w:t>Q6. Quelle action le visiteur peut-il accomplir à partir de « Champ « Subject * » » ?</w:t>
      </w:r>
    </w:p>
    <w:p>
      <w:pPr>
        <w:pStyle w:val="Normal"/>
        <w:spacing w:before="0" w:after="30"/>
        <w:ind w:start="227"/>
        <w:rPr/>
      </w:pPr>
      <w:r>
        <w:rPr>
          <w:b/>
          <w:color w:val="D4A017"/>
          <w:sz w:val="16"/>
        </w:rPr>
        <w:t xml:space="preserve">Réponse : </w:t>
      </w:r>
      <w:r>
        <w:rPr>
          <w:color w:val="1F2937"/>
          <w:sz w:val="16"/>
        </w:rPr>
        <w:t>Indiquer clairement le sujet : admission, visite, partenariat, programme ou autre.</w:t>
      </w:r>
    </w:p>
    <w:p>
      <w:pPr>
        <w:pStyle w:val="Normal"/>
        <w:keepNext w:val="true"/>
        <w:keepLines/>
        <w:spacing w:before="30" w:after="0"/>
        <w:ind w:start="28"/>
        <w:rPr/>
      </w:pPr>
      <w:r>
        <w:rPr>
          <w:b/>
          <w:color w:val="0B3D91"/>
          <w:sz w:val="16"/>
        </w:rPr>
        <w:t>Q7. Quel canal ou moyen de contact est lié à « Champ « Subject * » » ?</w:t>
      </w:r>
    </w:p>
    <w:p>
      <w:pPr>
        <w:pStyle w:val="Normal"/>
        <w:spacing w:before="0" w:after="30"/>
        <w:ind w:start="227"/>
        <w:rPr/>
      </w:pPr>
      <w:r>
        <w:rPr>
          <w:b/>
          <w:color w:val="D4A017"/>
          <w:sz w:val="16"/>
        </w:rPr>
        <w:t xml:space="preserve">Réponse : </w:t>
      </w:r>
      <w:r>
        <w:rPr>
          <w:color w:val="1F2937"/>
          <w:sz w:val="16"/>
        </w:rPr>
        <w:t>Formulaire web.</w:t>
      </w:r>
    </w:p>
    <w:p>
      <w:pPr>
        <w:pStyle w:val="Normal"/>
        <w:keepNext w:val="true"/>
        <w:keepLines/>
        <w:spacing w:before="30" w:after="0"/>
        <w:ind w:start="28"/>
        <w:rPr/>
      </w:pPr>
      <w:r>
        <w:rPr>
          <w:b/>
          <w:color w:val="0B3D91"/>
          <w:sz w:val="16"/>
        </w:rPr>
        <w:t>Q8. Quel est le statut éditorial ou fonctionnel de « Champ « Subject * » » sur le site inspecté ?</w:t>
      </w:r>
    </w:p>
    <w:p>
      <w:pPr>
        <w:pStyle w:val="Normal"/>
        <w:spacing w:before="0" w:after="30"/>
        <w:ind w:start="227"/>
        <w:rPr/>
      </w:pPr>
      <w:r>
        <w:rPr>
          <w:b/>
          <w:color w:val="D4A017"/>
          <w:sz w:val="16"/>
        </w:rPr>
        <w:t xml:space="preserve">Réponse : </w:t>
      </w:r>
      <w:r>
        <w:rPr>
          <w:color w:val="1F2937"/>
          <w:sz w:val="16"/>
        </w:rPr>
        <w:t>Champ obligatoire visible.</w:t>
      </w:r>
    </w:p>
    <w:p>
      <w:pPr>
        <w:pStyle w:val="Normal"/>
        <w:keepNext w:val="true"/>
        <w:keepLines/>
        <w:spacing w:before="30" w:after="0"/>
        <w:ind w:start="28"/>
        <w:rPr/>
      </w:pPr>
      <w:r>
        <w:rPr>
          <w:b/>
          <w:color w:val="0B3D91"/>
          <w:sz w:val="16"/>
        </w:rPr>
        <w:t>Q9. Quelle limite ou précaution faut-il conserver à propos de « Champ « Subject * » » ?</w:t>
      </w:r>
    </w:p>
    <w:p>
      <w:pPr>
        <w:pStyle w:val="Normal"/>
        <w:spacing w:before="0" w:after="30"/>
        <w:ind w:start="227"/>
        <w:rPr/>
      </w:pPr>
      <w:r>
        <w:rPr>
          <w:b/>
          <w:color w:val="D4A017"/>
          <w:sz w:val="16"/>
        </w:rPr>
        <w:t xml:space="preserve">Réponse : </w:t>
      </w:r>
      <w:r>
        <w:rPr>
          <w:color w:val="1F2937"/>
          <w:sz w:val="16"/>
        </w:rPr>
        <w:t>Le contenu doit rester bref et ne pas inclure d’informations sensibles inutiles.</w:t>
      </w:r>
    </w:p>
    <w:p>
      <w:pPr>
        <w:pStyle w:val="Normal"/>
        <w:keepNext w:val="true"/>
        <w:keepLines/>
        <w:spacing w:before="30" w:after="0"/>
        <w:ind w:start="28"/>
        <w:rPr/>
      </w:pPr>
      <w:r>
        <w:rPr>
          <w:b/>
          <w:color w:val="0B3D91"/>
          <w:sz w:val="16"/>
        </w:rPr>
        <w:t>Q10. Quelle réponse essentielle faut-il retenir au sujet de « Champ « Subject * » » ?</w:t>
      </w:r>
    </w:p>
    <w:p>
      <w:pPr>
        <w:pStyle w:val="Normal"/>
        <w:spacing w:before="0" w:after="30"/>
        <w:ind w:start="227"/>
        <w:rPr/>
      </w:pPr>
      <w:r>
        <w:rPr>
          <w:b/>
          <w:color w:val="D4A017"/>
          <w:sz w:val="16"/>
        </w:rPr>
        <w:t xml:space="preserve">Réponse : </w:t>
      </w:r>
      <w:r>
        <w:rPr>
          <w:color w:val="1F2937"/>
          <w:sz w:val="16"/>
        </w:rPr>
        <w:t>L’objet aide l’école à orienter le message vers le bon service.</w:t>
      </w:r>
    </w:p>
    <w:p>
      <w:pPr>
        <w:pStyle w:val="Normal"/>
        <w:rPr/>
      </w:pPr>
      <w:r>
        <w:rPr/>
      </w:r>
      <w:r>
        <w:br w:type="page"/>
      </w:r>
    </w:p>
    <w:p>
      <w:pPr>
        <w:pStyle w:val="Heading1"/>
        <w:spacing w:before="0" w:after="100"/>
        <w:rPr/>
      </w:pPr>
      <w:r>
        <w:rPr/>
        <w:t>Fiche 23 — Champ « Message *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comporte un champ obligatoire intitulé « Message *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Champ obligatoire visible.</w:t>
            </w:r>
          </w:p>
        </w:tc>
      </w:tr>
    </w:tbl>
    <w:p>
      <w:pPr>
        <w:pStyle w:val="Normal"/>
        <w:spacing w:before="20" w:after="80"/>
        <w:rPr/>
      </w:pPr>
      <w:r>
        <w:rPr>
          <w:b/>
          <w:color w:val="0B3D91"/>
          <w:sz w:val="15"/>
        </w:rPr>
        <w:t xml:space="preserve">Source contrôlée : </w:t>
      </w:r>
      <w:r>
        <w:rPr>
          <w:color w:val="555555"/>
          <w:sz w:val="15"/>
        </w:rPr>
        <w:t>Formulaire de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Texte libre</w:t>
      </w:r>
    </w:p>
    <w:p>
      <w:pPr>
        <w:pStyle w:val="ListBullet"/>
        <w:numPr>
          <w:ilvl w:val="0"/>
          <w:numId w:val="1"/>
        </w:numPr>
        <w:spacing w:before="0" w:after="20"/>
        <w:ind w:hanging="360" w:start="255"/>
        <w:contextualSpacing/>
        <w:rPr/>
      </w:pPr>
      <w:r>
        <w:rPr>
          <w:sz w:val="17"/>
        </w:rPr>
        <w:t>Champ obligatoire</w:t>
      </w:r>
    </w:p>
    <w:p>
      <w:pPr>
        <w:pStyle w:val="ListBullet"/>
        <w:numPr>
          <w:ilvl w:val="0"/>
          <w:numId w:val="1"/>
        </w:numPr>
        <w:spacing w:before="0" w:after="20"/>
        <w:ind w:hanging="360" w:start="255"/>
        <w:contextualSpacing/>
        <w:rPr/>
      </w:pPr>
      <w:r>
        <w:rPr>
          <w:sz w:val="17"/>
        </w:rPr>
        <w:t>Détail de la demande</w:t>
      </w:r>
    </w:p>
    <w:p>
      <w:pPr>
        <w:pStyle w:val="ListBullet"/>
        <w:numPr>
          <w:ilvl w:val="0"/>
          <w:numId w:val="1"/>
        </w:numPr>
        <w:spacing w:before="0" w:after="20"/>
        <w:ind w:hanging="360" w:start="255"/>
        <w:contextualSpacing/>
        <w:rPr/>
      </w:pPr>
      <w:r>
        <w:rPr>
          <w:sz w:val="17"/>
        </w:rPr>
        <w:t>Prudence sur les données sensibles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l’espace principal de rédaction.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donne à l’équipe le contexte nécessaire pour répondre ou orienter.</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Objet, ÉMINA, Confidentialité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Champ « Message * » » ?</w:t>
      </w:r>
    </w:p>
    <w:p>
      <w:pPr>
        <w:pStyle w:val="Normal"/>
        <w:spacing w:before="0" w:after="30"/>
        <w:ind w:start="227"/>
        <w:rPr/>
      </w:pPr>
      <w:r>
        <w:rPr>
          <w:b/>
          <w:color w:val="D4A017"/>
          <w:sz w:val="16"/>
        </w:rPr>
        <w:t xml:space="preserve">Réponse : </w:t>
      </w:r>
      <w:r>
        <w:rPr>
          <w:color w:val="1F2937"/>
          <w:sz w:val="16"/>
        </w:rPr>
        <w:t>Le formulaire comporte un champ obligatoire intitulé « Message * ».</w:t>
      </w:r>
    </w:p>
    <w:p>
      <w:pPr>
        <w:pStyle w:val="Normal"/>
        <w:keepNext w:val="true"/>
        <w:keepLines/>
        <w:spacing w:before="30" w:after="0"/>
        <w:ind w:start="28"/>
        <w:rPr/>
      </w:pPr>
      <w:r>
        <w:rPr>
          <w:b/>
          <w:color w:val="0B3D91"/>
          <w:sz w:val="16"/>
        </w:rPr>
        <w:t>Q2. Quelle est l’idée centrale développée sous « Champ « Message * » » ?</w:t>
      </w:r>
    </w:p>
    <w:p>
      <w:pPr>
        <w:pStyle w:val="Normal"/>
        <w:spacing w:before="0" w:after="30"/>
        <w:ind w:start="227"/>
        <w:rPr/>
      </w:pPr>
      <w:r>
        <w:rPr>
          <w:b/>
          <w:color w:val="D4A017"/>
          <w:sz w:val="16"/>
        </w:rPr>
        <w:t xml:space="preserve">Réponse : </w:t>
      </w:r>
      <w:r>
        <w:rPr>
          <w:color w:val="1F2937"/>
          <w:sz w:val="16"/>
        </w:rPr>
        <w:t>Il permet au demandeur d’expliquer sa question ou son besoin.</w:t>
      </w:r>
    </w:p>
    <w:p>
      <w:pPr>
        <w:pStyle w:val="Normal"/>
        <w:keepNext w:val="true"/>
        <w:keepLines/>
        <w:spacing w:before="30" w:after="0"/>
        <w:ind w:start="28"/>
        <w:rPr/>
      </w:pPr>
      <w:r>
        <w:rPr>
          <w:b/>
          <w:color w:val="0B3D91"/>
          <w:sz w:val="16"/>
        </w:rPr>
        <w:t>Q3. Quels éléments précis sont associés à « Champ « Message * » » ?</w:t>
      </w:r>
    </w:p>
    <w:p>
      <w:pPr>
        <w:pStyle w:val="Normal"/>
        <w:spacing w:before="0" w:after="30"/>
        <w:ind w:start="227"/>
        <w:rPr/>
      </w:pPr>
      <w:r>
        <w:rPr>
          <w:b/>
          <w:color w:val="D4A017"/>
          <w:sz w:val="16"/>
        </w:rPr>
        <w:t xml:space="preserve">Réponse : </w:t>
      </w:r>
      <w:r>
        <w:rPr>
          <w:color w:val="1F2937"/>
          <w:sz w:val="16"/>
        </w:rPr>
        <w:t>Zone de texte libre et astérisque d’obligation.</w:t>
      </w:r>
    </w:p>
    <w:p>
      <w:pPr>
        <w:pStyle w:val="Normal"/>
        <w:keepNext w:val="true"/>
        <w:keepLines/>
        <w:spacing w:before="30" w:after="0"/>
        <w:ind w:start="28"/>
        <w:rPr/>
      </w:pPr>
      <w:r>
        <w:rPr>
          <w:b/>
          <w:color w:val="0B3D91"/>
          <w:sz w:val="16"/>
        </w:rPr>
        <w:t>Q4. Où « Champ « Message * » » apparaît-il dans le parcours de la page Contact ?</w:t>
      </w:r>
    </w:p>
    <w:p>
      <w:pPr>
        <w:pStyle w:val="Normal"/>
        <w:spacing w:before="0" w:after="30"/>
        <w:ind w:start="227"/>
        <w:rPr/>
      </w:pPr>
      <w:r>
        <w:rPr>
          <w:b/>
          <w:color w:val="D4A017"/>
          <w:sz w:val="16"/>
        </w:rPr>
        <w:t xml:space="preserve">Réponse : </w:t>
      </w:r>
      <w:r>
        <w:rPr>
          <w:color w:val="1F2937"/>
          <w:sz w:val="16"/>
        </w:rPr>
        <w:t>Quatrième champ du formulaire.</w:t>
      </w:r>
    </w:p>
    <w:p>
      <w:pPr>
        <w:pStyle w:val="Normal"/>
        <w:keepNext w:val="true"/>
        <w:keepLines/>
        <w:spacing w:before="30" w:after="0"/>
        <w:ind w:start="28"/>
        <w:rPr/>
      </w:pPr>
      <w:r>
        <w:rPr>
          <w:b/>
          <w:color w:val="0B3D91"/>
          <w:sz w:val="16"/>
        </w:rPr>
        <w:t>Q5. À quel public « Champ « Message * » » s’adresse-t-il ?</w:t>
      </w:r>
    </w:p>
    <w:p>
      <w:pPr>
        <w:pStyle w:val="Normal"/>
        <w:spacing w:before="0" w:after="30"/>
        <w:ind w:start="227"/>
        <w:rPr/>
      </w:pPr>
      <w:r>
        <w:rPr>
          <w:b/>
          <w:color w:val="D4A017"/>
          <w:sz w:val="16"/>
        </w:rPr>
        <w:t xml:space="preserve">Réponse : </w:t>
      </w:r>
      <w:r>
        <w:rPr>
          <w:color w:val="1F2937"/>
          <w:sz w:val="16"/>
        </w:rPr>
        <w:t>Toute personne ayant une demande à formuler.</w:t>
      </w:r>
    </w:p>
    <w:p>
      <w:pPr>
        <w:pStyle w:val="Normal"/>
        <w:keepNext w:val="true"/>
        <w:keepLines/>
        <w:spacing w:before="30" w:after="0"/>
        <w:ind w:start="28"/>
        <w:rPr/>
      </w:pPr>
      <w:r>
        <w:rPr>
          <w:b/>
          <w:color w:val="0B3D91"/>
          <w:sz w:val="16"/>
        </w:rPr>
        <w:t>Q6. Quelle action le visiteur peut-il accomplir à partir de « Champ « Message * » » ?</w:t>
      </w:r>
    </w:p>
    <w:p>
      <w:pPr>
        <w:pStyle w:val="Normal"/>
        <w:spacing w:before="0" w:after="30"/>
        <w:ind w:start="227"/>
        <w:rPr/>
      </w:pPr>
      <w:r>
        <w:rPr>
          <w:b/>
          <w:color w:val="D4A017"/>
          <w:sz w:val="16"/>
        </w:rPr>
        <w:t xml:space="preserve">Réponse : </w:t>
      </w:r>
      <w:r>
        <w:rPr>
          <w:color w:val="1F2937"/>
          <w:sz w:val="16"/>
        </w:rPr>
        <w:t>Rédiger une question claire et utile au traitement.</w:t>
      </w:r>
    </w:p>
    <w:p>
      <w:pPr>
        <w:pStyle w:val="Normal"/>
        <w:keepNext w:val="true"/>
        <w:keepLines/>
        <w:spacing w:before="30" w:after="0"/>
        <w:ind w:start="28"/>
        <w:rPr/>
      </w:pPr>
      <w:r>
        <w:rPr>
          <w:b/>
          <w:color w:val="0B3D91"/>
          <w:sz w:val="16"/>
        </w:rPr>
        <w:t>Q7. Quel canal ou moyen de contact est lié à « Champ « Message * » » ?</w:t>
      </w:r>
    </w:p>
    <w:p>
      <w:pPr>
        <w:pStyle w:val="Normal"/>
        <w:spacing w:before="0" w:after="30"/>
        <w:ind w:start="227"/>
        <w:rPr/>
      </w:pPr>
      <w:r>
        <w:rPr>
          <w:b/>
          <w:color w:val="D4A017"/>
          <w:sz w:val="16"/>
        </w:rPr>
        <w:t xml:space="preserve">Réponse : </w:t>
      </w:r>
      <w:r>
        <w:rPr>
          <w:color w:val="1F2937"/>
          <w:sz w:val="16"/>
        </w:rPr>
        <w:t>Formulaire web.</w:t>
      </w:r>
    </w:p>
    <w:p>
      <w:pPr>
        <w:pStyle w:val="Normal"/>
        <w:keepNext w:val="true"/>
        <w:keepLines/>
        <w:spacing w:before="30" w:after="0"/>
        <w:ind w:start="28"/>
        <w:rPr/>
      </w:pPr>
      <w:r>
        <w:rPr>
          <w:b/>
          <w:color w:val="0B3D91"/>
          <w:sz w:val="16"/>
        </w:rPr>
        <w:t>Q8. Quel est le statut éditorial ou fonctionnel de « Champ « Message * » » sur le site inspecté ?</w:t>
      </w:r>
    </w:p>
    <w:p>
      <w:pPr>
        <w:pStyle w:val="Normal"/>
        <w:spacing w:before="0" w:after="30"/>
        <w:ind w:start="227"/>
        <w:rPr/>
      </w:pPr>
      <w:r>
        <w:rPr>
          <w:b/>
          <w:color w:val="D4A017"/>
          <w:sz w:val="16"/>
        </w:rPr>
        <w:t xml:space="preserve">Réponse : </w:t>
      </w:r>
      <w:r>
        <w:rPr>
          <w:color w:val="1F2937"/>
          <w:sz w:val="16"/>
        </w:rPr>
        <w:t>Champ obligatoire visible.</w:t>
      </w:r>
    </w:p>
    <w:p>
      <w:pPr>
        <w:pStyle w:val="Normal"/>
        <w:keepNext w:val="true"/>
        <w:keepLines/>
        <w:spacing w:before="30" w:after="0"/>
        <w:ind w:start="28"/>
        <w:rPr/>
      </w:pPr>
      <w:r>
        <w:rPr>
          <w:b/>
          <w:color w:val="0B3D91"/>
          <w:sz w:val="16"/>
        </w:rPr>
        <w:t>Q9. Quelle limite ou précaution faut-il conserver à propos de « Champ « Message * » » ?</w:t>
      </w:r>
    </w:p>
    <w:p>
      <w:pPr>
        <w:pStyle w:val="Normal"/>
        <w:spacing w:before="0" w:after="30"/>
        <w:ind w:start="227"/>
        <w:rPr/>
      </w:pPr>
      <w:r>
        <w:rPr>
          <w:b/>
          <w:color w:val="D4A017"/>
          <w:sz w:val="16"/>
        </w:rPr>
        <w:t xml:space="preserve">Réponse : </w:t>
      </w:r>
      <w:r>
        <w:rPr>
          <w:color w:val="1F2937"/>
          <w:sz w:val="16"/>
        </w:rPr>
        <w:t>Il ne faut pas transmettre de données médicales, financières, mots de passe ou informations sensibles par un canal public.</w:t>
      </w:r>
    </w:p>
    <w:p>
      <w:pPr>
        <w:pStyle w:val="Normal"/>
        <w:keepNext w:val="true"/>
        <w:keepLines/>
        <w:spacing w:before="30" w:after="0"/>
        <w:ind w:start="28"/>
        <w:rPr/>
      </w:pPr>
      <w:r>
        <w:rPr>
          <w:b/>
          <w:color w:val="0B3D91"/>
          <w:sz w:val="16"/>
        </w:rPr>
        <w:t>Q10. Quelle réponse essentielle faut-il retenir au sujet de « Champ « Message * » » ?</w:t>
      </w:r>
    </w:p>
    <w:p>
      <w:pPr>
        <w:pStyle w:val="Normal"/>
        <w:spacing w:before="0" w:after="30"/>
        <w:ind w:start="227"/>
        <w:rPr/>
      </w:pPr>
      <w:r>
        <w:rPr>
          <w:b/>
          <w:color w:val="D4A017"/>
          <w:sz w:val="16"/>
        </w:rPr>
        <w:t xml:space="preserve">Réponse : </w:t>
      </w:r>
      <w:r>
        <w:rPr>
          <w:color w:val="1F2937"/>
          <w:sz w:val="16"/>
        </w:rPr>
        <w:t>Le champ Message contient le détail de la demande adressée à l’école.</w:t>
      </w:r>
    </w:p>
    <w:p>
      <w:pPr>
        <w:pStyle w:val="Normal"/>
        <w:rPr/>
      </w:pPr>
      <w:r>
        <w:rPr/>
      </w:r>
      <w:r>
        <w:br w:type="page"/>
      </w:r>
    </w:p>
    <w:p>
      <w:pPr>
        <w:pStyle w:val="Heading1"/>
        <w:spacing w:before="0" w:after="100"/>
        <w:rPr/>
      </w:pPr>
      <w:r>
        <w:rPr/>
        <w:t>Fiche 24 — Bouton « Submit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formulaire se termine par un bouton anglais intitulé « Submit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Bouton visible ; la réception effective doit être testée par l’administrateur.</w:t>
            </w:r>
          </w:p>
        </w:tc>
      </w:tr>
    </w:tbl>
    <w:p>
      <w:pPr>
        <w:pStyle w:val="Normal"/>
        <w:spacing w:before="20" w:after="80"/>
        <w:rPr/>
      </w:pPr>
      <w:r>
        <w:rPr>
          <w:b/>
          <w:color w:val="0B3D91"/>
          <w:sz w:val="15"/>
        </w:rPr>
        <w:t xml:space="preserve">Source contrôlée : </w:t>
      </w:r>
      <w:r>
        <w:rPr>
          <w:color w:val="555555"/>
          <w:sz w:val="15"/>
        </w:rPr>
        <w:t>Formulaire de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Envoi du formulaire</w:t>
      </w:r>
    </w:p>
    <w:p>
      <w:pPr>
        <w:pStyle w:val="ListBullet"/>
        <w:numPr>
          <w:ilvl w:val="0"/>
          <w:numId w:val="1"/>
        </w:numPr>
        <w:spacing w:before="0" w:after="20"/>
        <w:ind w:hanging="360" w:start="255"/>
        <w:contextualSpacing/>
        <w:rPr/>
      </w:pPr>
      <w:r>
        <w:rPr>
          <w:sz w:val="17"/>
        </w:rPr>
        <w:t>Bouton anglais</w:t>
      </w:r>
    </w:p>
    <w:p>
      <w:pPr>
        <w:pStyle w:val="ListBullet"/>
        <w:numPr>
          <w:ilvl w:val="0"/>
          <w:numId w:val="1"/>
        </w:numPr>
        <w:spacing w:before="0" w:after="20"/>
        <w:ind w:hanging="360" w:start="255"/>
        <w:contextualSpacing/>
        <w:rPr/>
      </w:pPr>
      <w:r>
        <w:rPr>
          <w:sz w:val="17"/>
        </w:rPr>
        <w:t>Action finale</w:t>
      </w:r>
    </w:p>
    <w:p>
      <w:pPr>
        <w:pStyle w:val="ListBullet"/>
        <w:numPr>
          <w:ilvl w:val="0"/>
          <w:numId w:val="1"/>
        </w:numPr>
        <w:spacing w:before="0" w:after="20"/>
        <w:ind w:hanging="360" w:start="255"/>
        <w:contextualSpacing/>
        <w:rPr/>
      </w:pPr>
      <w:r>
        <w:rPr>
          <w:sz w:val="17"/>
        </w:rPr>
        <w:t>Test fonctionnel nécessaire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est l’appel à l’action du formulaire.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transforme les informations saisies en demande exploitable par l’équipe.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tous les champs, confirmation d’envoi, journalisation et service compétent.</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Bouton « Submit » » ?</w:t>
      </w:r>
    </w:p>
    <w:p>
      <w:pPr>
        <w:pStyle w:val="Normal"/>
        <w:spacing w:before="0" w:after="30"/>
        <w:ind w:start="227"/>
        <w:rPr/>
      </w:pPr>
      <w:r>
        <w:rPr>
          <w:b/>
          <w:color w:val="D4A017"/>
          <w:sz w:val="16"/>
        </w:rPr>
        <w:t xml:space="preserve">Réponse : </w:t>
      </w:r>
      <w:r>
        <w:rPr>
          <w:color w:val="1F2937"/>
          <w:sz w:val="16"/>
        </w:rPr>
        <w:t>Le formulaire se termine par un bouton anglais intitulé « Submit ».</w:t>
      </w:r>
    </w:p>
    <w:p>
      <w:pPr>
        <w:pStyle w:val="Normal"/>
        <w:keepNext w:val="true"/>
        <w:keepLines/>
        <w:spacing w:before="30" w:after="0"/>
        <w:ind w:start="28"/>
        <w:rPr/>
      </w:pPr>
      <w:r>
        <w:rPr>
          <w:b/>
          <w:color w:val="0B3D91"/>
          <w:sz w:val="16"/>
        </w:rPr>
        <w:t>Q2. Quelle est l’idée centrale développée sous « Bouton « Submit » » ?</w:t>
      </w:r>
    </w:p>
    <w:p>
      <w:pPr>
        <w:pStyle w:val="Normal"/>
        <w:spacing w:before="0" w:after="30"/>
        <w:ind w:start="227"/>
        <w:rPr/>
      </w:pPr>
      <w:r>
        <w:rPr>
          <w:b/>
          <w:color w:val="D4A017"/>
          <w:sz w:val="16"/>
        </w:rPr>
        <w:t xml:space="preserve">Réponse : </w:t>
      </w:r>
      <w:r>
        <w:rPr>
          <w:color w:val="1F2937"/>
          <w:sz w:val="16"/>
        </w:rPr>
        <w:t>Il déclenche l’envoi des informations saisies.</w:t>
      </w:r>
    </w:p>
    <w:p>
      <w:pPr>
        <w:pStyle w:val="Normal"/>
        <w:keepNext w:val="true"/>
        <w:keepLines/>
        <w:spacing w:before="30" w:after="0"/>
        <w:ind w:start="28"/>
        <w:rPr/>
      </w:pPr>
      <w:r>
        <w:rPr>
          <w:b/>
          <w:color w:val="0B3D91"/>
          <w:sz w:val="16"/>
        </w:rPr>
        <w:t>Q3. Quels éléments précis sont associés à « Bouton « Submit » » ?</w:t>
      </w:r>
    </w:p>
    <w:p>
      <w:pPr>
        <w:pStyle w:val="Normal"/>
        <w:spacing w:before="0" w:after="30"/>
        <w:ind w:start="227"/>
        <w:rPr/>
      </w:pPr>
      <w:r>
        <w:rPr>
          <w:b/>
          <w:color w:val="D4A017"/>
          <w:sz w:val="16"/>
        </w:rPr>
        <w:t xml:space="preserve">Réponse : </w:t>
      </w:r>
      <w:r>
        <w:rPr>
          <w:color w:val="1F2937"/>
          <w:sz w:val="16"/>
        </w:rPr>
        <w:t>Bouton de soumission du formulaire.</w:t>
      </w:r>
    </w:p>
    <w:p>
      <w:pPr>
        <w:pStyle w:val="Normal"/>
        <w:keepNext w:val="true"/>
        <w:keepLines/>
        <w:spacing w:before="30" w:after="0"/>
        <w:ind w:start="28"/>
        <w:rPr/>
      </w:pPr>
      <w:r>
        <w:rPr>
          <w:b/>
          <w:color w:val="0B3D91"/>
          <w:sz w:val="16"/>
        </w:rPr>
        <w:t>Q4. Où « Bouton « Submit » » apparaît-il dans le parcours de la page Contact ?</w:t>
      </w:r>
    </w:p>
    <w:p>
      <w:pPr>
        <w:pStyle w:val="Normal"/>
        <w:spacing w:before="0" w:after="30"/>
        <w:ind w:start="227"/>
        <w:rPr/>
      </w:pPr>
      <w:r>
        <w:rPr>
          <w:b/>
          <w:color w:val="D4A017"/>
          <w:sz w:val="16"/>
        </w:rPr>
        <w:t xml:space="preserve">Réponse : </w:t>
      </w:r>
      <w:r>
        <w:rPr>
          <w:color w:val="1F2937"/>
          <w:sz w:val="16"/>
        </w:rPr>
        <w:t>Sous les champs Name, Email, Subject et Message.</w:t>
      </w:r>
    </w:p>
    <w:p>
      <w:pPr>
        <w:pStyle w:val="Normal"/>
        <w:keepNext w:val="true"/>
        <w:keepLines/>
        <w:spacing w:before="30" w:after="0"/>
        <w:ind w:start="28"/>
        <w:rPr/>
      </w:pPr>
      <w:r>
        <w:rPr>
          <w:b/>
          <w:color w:val="0B3D91"/>
          <w:sz w:val="16"/>
        </w:rPr>
        <w:t>Q5. À quel public « Bouton « Submit » » s’adresse-t-il ?</w:t>
      </w:r>
    </w:p>
    <w:p>
      <w:pPr>
        <w:pStyle w:val="Normal"/>
        <w:spacing w:before="0" w:after="30"/>
        <w:ind w:start="227"/>
        <w:rPr/>
      </w:pPr>
      <w:r>
        <w:rPr>
          <w:b/>
          <w:color w:val="D4A017"/>
          <w:sz w:val="16"/>
        </w:rPr>
        <w:t xml:space="preserve">Réponse : </w:t>
      </w:r>
      <w:r>
        <w:rPr>
          <w:color w:val="1F2937"/>
          <w:sz w:val="16"/>
        </w:rPr>
        <w:t>Utilisateurs ayant complété les champs obligatoires.</w:t>
      </w:r>
    </w:p>
    <w:p>
      <w:pPr>
        <w:pStyle w:val="Normal"/>
        <w:keepNext w:val="true"/>
        <w:keepLines/>
        <w:spacing w:before="30" w:after="0"/>
        <w:ind w:start="28"/>
        <w:rPr/>
      </w:pPr>
      <w:r>
        <w:rPr>
          <w:b/>
          <w:color w:val="0B3D91"/>
          <w:sz w:val="16"/>
        </w:rPr>
        <w:t>Q6. Quelle action le visiteur peut-il accomplir à partir de « Bouton « Submit » » ?</w:t>
      </w:r>
    </w:p>
    <w:p>
      <w:pPr>
        <w:pStyle w:val="Normal"/>
        <w:spacing w:before="0" w:after="30"/>
        <w:ind w:start="227"/>
        <w:rPr/>
      </w:pPr>
      <w:r>
        <w:rPr>
          <w:b/>
          <w:color w:val="D4A017"/>
          <w:sz w:val="16"/>
        </w:rPr>
        <w:t xml:space="preserve">Réponse : </w:t>
      </w:r>
      <w:r>
        <w:rPr>
          <w:color w:val="1F2937"/>
          <w:sz w:val="16"/>
        </w:rPr>
        <w:t>Envoyer la demande à l’école.</w:t>
      </w:r>
    </w:p>
    <w:p>
      <w:pPr>
        <w:pStyle w:val="Normal"/>
        <w:keepNext w:val="true"/>
        <w:keepLines/>
        <w:spacing w:before="30" w:after="0"/>
        <w:ind w:start="28"/>
        <w:rPr/>
      </w:pPr>
      <w:r>
        <w:rPr>
          <w:b/>
          <w:color w:val="0B3D91"/>
          <w:sz w:val="16"/>
        </w:rPr>
        <w:t>Q7. Quel canal ou moyen de contact est lié à « Bouton « Submit » » ?</w:t>
      </w:r>
    </w:p>
    <w:p>
      <w:pPr>
        <w:pStyle w:val="Normal"/>
        <w:spacing w:before="0" w:after="30"/>
        <w:ind w:start="227"/>
        <w:rPr/>
      </w:pPr>
      <w:r>
        <w:rPr>
          <w:b/>
          <w:color w:val="D4A017"/>
          <w:sz w:val="16"/>
        </w:rPr>
        <w:t xml:space="preserve">Réponse : </w:t>
      </w:r>
      <w:r>
        <w:rPr>
          <w:color w:val="1F2937"/>
          <w:sz w:val="16"/>
        </w:rPr>
        <w:t>Formulaire web dépendant de JavaScript.</w:t>
      </w:r>
    </w:p>
    <w:p>
      <w:pPr>
        <w:pStyle w:val="Normal"/>
        <w:keepNext w:val="true"/>
        <w:keepLines/>
        <w:spacing w:before="30" w:after="0"/>
        <w:ind w:start="28"/>
        <w:rPr/>
      </w:pPr>
      <w:r>
        <w:rPr>
          <w:b/>
          <w:color w:val="0B3D91"/>
          <w:sz w:val="16"/>
        </w:rPr>
        <w:t>Q8. Quel est le statut éditorial ou fonctionnel de « Bouton « Submit » » sur le site inspecté ?</w:t>
      </w:r>
    </w:p>
    <w:p>
      <w:pPr>
        <w:pStyle w:val="Normal"/>
        <w:spacing w:before="0" w:after="30"/>
        <w:ind w:start="227"/>
        <w:rPr/>
      </w:pPr>
      <w:r>
        <w:rPr>
          <w:b/>
          <w:color w:val="D4A017"/>
          <w:sz w:val="16"/>
        </w:rPr>
        <w:t xml:space="preserve">Réponse : </w:t>
      </w:r>
      <w:r>
        <w:rPr>
          <w:color w:val="1F2937"/>
          <w:sz w:val="16"/>
        </w:rPr>
        <w:t>Bouton visible ; la réception effective doit être testée par l’administrateur.</w:t>
      </w:r>
    </w:p>
    <w:p>
      <w:pPr>
        <w:pStyle w:val="Normal"/>
        <w:keepNext w:val="true"/>
        <w:keepLines/>
        <w:spacing w:before="30" w:after="0"/>
        <w:ind w:start="28"/>
        <w:rPr/>
      </w:pPr>
      <w:r>
        <w:rPr>
          <w:b/>
          <w:color w:val="0B3D91"/>
          <w:sz w:val="16"/>
        </w:rPr>
        <w:t>Q9. Quelle limite ou précaution faut-il conserver à propos de « Bouton « Submit » » ?</w:t>
      </w:r>
    </w:p>
    <w:p>
      <w:pPr>
        <w:pStyle w:val="Normal"/>
        <w:spacing w:before="0" w:after="30"/>
        <w:ind w:start="227"/>
        <w:rPr/>
      </w:pPr>
      <w:r>
        <w:rPr>
          <w:b/>
          <w:color w:val="D4A017"/>
          <w:sz w:val="16"/>
        </w:rPr>
        <w:t xml:space="preserve">Réponse : </w:t>
      </w:r>
      <w:r>
        <w:rPr>
          <w:color w:val="1F2937"/>
          <w:sz w:val="16"/>
        </w:rPr>
        <w:t>L’utilisateur devrait recevoir une confirmation d’envoi et une information sur le traitement de ses données.</w:t>
      </w:r>
    </w:p>
    <w:p>
      <w:pPr>
        <w:pStyle w:val="Normal"/>
        <w:keepNext w:val="true"/>
        <w:keepLines/>
        <w:spacing w:before="30" w:after="0"/>
        <w:ind w:start="28"/>
        <w:rPr/>
      </w:pPr>
      <w:r>
        <w:rPr>
          <w:b/>
          <w:color w:val="0B3D91"/>
          <w:sz w:val="16"/>
        </w:rPr>
        <w:t>Q10. Quelle réponse essentielle faut-il retenir au sujet de « Bouton « Submit » » ?</w:t>
      </w:r>
    </w:p>
    <w:p>
      <w:pPr>
        <w:pStyle w:val="Normal"/>
        <w:spacing w:before="0" w:after="30"/>
        <w:ind w:start="227"/>
        <w:rPr/>
      </w:pPr>
      <w:r>
        <w:rPr>
          <w:b/>
          <w:color w:val="D4A017"/>
          <w:sz w:val="16"/>
        </w:rPr>
        <w:t xml:space="preserve">Réponse : </w:t>
      </w:r>
      <w:r>
        <w:rPr>
          <w:color w:val="1F2937"/>
          <w:sz w:val="16"/>
        </w:rPr>
        <w:t>Le bouton finalise la transmission du message.</w:t>
      </w:r>
    </w:p>
    <w:p>
      <w:pPr>
        <w:pStyle w:val="Normal"/>
        <w:rPr/>
      </w:pPr>
      <w:r>
        <w:rPr/>
      </w:r>
      <w:r>
        <w:br w:type="page"/>
      </w:r>
    </w:p>
    <w:p>
      <w:pPr>
        <w:pStyle w:val="Normal"/>
        <w:spacing w:before="0" w:after="40"/>
        <w:jc w:val="center"/>
        <w:rPr/>
      </w:pPr>
      <w:r>
        <w:rPr>
          <w:b/>
          <w:color w:val="0B3D91"/>
          <w:sz w:val="34"/>
        </w:rPr>
        <w:t>PARTIE III — COORDONNÉES OFFICIELLES ET CANAUX ASSOCIÉS</w:t>
      </w:r>
    </w:p>
    <w:p>
      <w:pPr>
        <w:pStyle w:val="Normal"/>
        <w:jc w:val="center"/>
        <w:rPr/>
      </w:pPr>
      <w:r>
        <w:rPr>
          <w:i/>
          <w:color w:val="D4A017"/>
          <w:sz w:val="20"/>
        </w:rPr>
        <w:t>Fiches thématiques et questions-réponses de référence</w:t>
      </w:r>
    </w:p>
    <w:p>
      <w:pPr>
        <w:pStyle w:val="Normal"/>
        <w:rPr/>
      </w:pPr>
      <w:r>
        <w:rPr/>
      </w:r>
      <w:r>
        <w:br w:type="page"/>
      </w:r>
    </w:p>
    <w:p>
      <w:pPr>
        <w:pStyle w:val="Heading1"/>
        <w:spacing w:before="0" w:after="100"/>
        <w:rPr/>
      </w:pPr>
      <w:r>
        <w:rPr/>
        <w:t>Fiche 25 — Bloc « Nous contacter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pied de page contient un bloc intitulé « Nous contacter » avec l’adresse à Bukavu, deux numéros, l’e-mail officiel et un lien WhatsApp.</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Bloc officiel publié, mais incomplet par rapport au standard institutionnel à trois numéros.</w:t>
            </w:r>
          </w:p>
        </w:tc>
      </w:tr>
    </w:tbl>
    <w:p>
      <w:pPr>
        <w:pStyle w:val="Normal"/>
        <w:spacing w:before="20" w:after="80"/>
        <w:rPr/>
      </w:pPr>
      <w:r>
        <w:rPr>
          <w:b/>
          <w:color w:val="0B3D91"/>
          <w:sz w:val="15"/>
        </w:rPr>
        <w:t xml:space="preserve">Source contrôlée : </w:t>
      </w:r>
      <w:r>
        <w:rPr>
          <w:color w:val="555555"/>
          <w:sz w:val="15"/>
        </w:rPr>
        <w:t>Pied de page de la page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Adresse à Bukavu</w:t>
      </w:r>
    </w:p>
    <w:p>
      <w:pPr>
        <w:pStyle w:val="ListBullet"/>
        <w:numPr>
          <w:ilvl w:val="0"/>
          <w:numId w:val="1"/>
        </w:numPr>
        <w:spacing w:before="0" w:after="20"/>
        <w:ind w:hanging="360" w:start="255"/>
        <w:contextualSpacing/>
        <w:rPr/>
      </w:pPr>
      <w:r>
        <w:rPr>
          <w:sz w:val="17"/>
        </w:rPr>
        <w:t>Deux numéros affichés</w:t>
      </w:r>
    </w:p>
    <w:p>
      <w:pPr>
        <w:pStyle w:val="ListBullet"/>
        <w:numPr>
          <w:ilvl w:val="0"/>
          <w:numId w:val="1"/>
        </w:numPr>
        <w:spacing w:before="0" w:after="20"/>
        <w:ind w:hanging="360" w:start="255"/>
        <w:contextualSpacing/>
        <w:rPr/>
      </w:pPr>
      <w:r>
        <w:rPr>
          <w:sz w:val="17"/>
        </w:rPr>
        <w:t>E-mail officiel</w:t>
      </w:r>
    </w:p>
    <w:p>
      <w:pPr>
        <w:pStyle w:val="ListBullet"/>
        <w:numPr>
          <w:ilvl w:val="0"/>
          <w:numId w:val="1"/>
        </w:numPr>
        <w:spacing w:before="0" w:after="20"/>
        <w:ind w:hanging="360" w:start="255"/>
        <w:contextualSpacing/>
        <w:rPr/>
      </w:pPr>
      <w:r>
        <w:rPr>
          <w:sz w:val="17"/>
        </w:rPr>
        <w:t>Lien WhatsApp</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distingue les coordonnées officielles du gabarit de démonstration situé plus haut.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est essentiel à la confiance, à la visite, aux admissions et à l’assistance.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Adresse officielle, Téléphones, E-mail, WhatsApp, Visite et Assistance.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Bloc « Nous contacter » » ?</w:t>
      </w:r>
    </w:p>
    <w:p>
      <w:pPr>
        <w:pStyle w:val="Normal"/>
        <w:spacing w:before="0" w:after="30"/>
        <w:ind w:start="227"/>
        <w:rPr/>
      </w:pPr>
      <w:r>
        <w:rPr>
          <w:b/>
          <w:color w:val="D4A017"/>
          <w:sz w:val="16"/>
        </w:rPr>
        <w:t xml:space="preserve">Réponse : </w:t>
      </w:r>
      <w:r>
        <w:rPr>
          <w:color w:val="1F2937"/>
          <w:sz w:val="16"/>
        </w:rPr>
        <w:t>Le pied de page contient un bloc intitulé « Nous contacter » avec l’adresse à Bukavu, deux numéros, l’e-mail officiel et un lien WhatsApp.</w:t>
      </w:r>
    </w:p>
    <w:p>
      <w:pPr>
        <w:pStyle w:val="Normal"/>
        <w:keepNext w:val="true"/>
        <w:keepLines/>
        <w:spacing w:before="30" w:after="0"/>
        <w:ind w:start="28"/>
        <w:rPr/>
      </w:pPr>
      <w:r>
        <w:rPr>
          <w:b/>
          <w:color w:val="0B3D91"/>
          <w:sz w:val="16"/>
        </w:rPr>
        <w:t>Q2. Quelle est l’idée centrale développée sous « Bloc « Nous contacter » » ?</w:t>
      </w:r>
    </w:p>
    <w:p>
      <w:pPr>
        <w:pStyle w:val="Normal"/>
        <w:spacing w:before="0" w:after="30"/>
        <w:ind w:start="227"/>
        <w:rPr/>
      </w:pPr>
      <w:r>
        <w:rPr>
          <w:b/>
          <w:color w:val="D4A017"/>
          <w:sz w:val="16"/>
        </w:rPr>
        <w:t xml:space="preserve">Réponse : </w:t>
      </w:r>
      <w:r>
        <w:rPr>
          <w:color w:val="1F2937"/>
          <w:sz w:val="16"/>
        </w:rPr>
        <w:t>Ce bloc fournit les coordonnées réellement associées au GSE sur la page inspectée.</w:t>
      </w:r>
    </w:p>
    <w:p>
      <w:pPr>
        <w:pStyle w:val="Normal"/>
        <w:keepNext w:val="true"/>
        <w:keepLines/>
        <w:spacing w:before="30" w:after="0"/>
        <w:ind w:start="28"/>
        <w:rPr/>
      </w:pPr>
      <w:r>
        <w:rPr>
          <w:b/>
          <w:color w:val="0B3D91"/>
          <w:sz w:val="16"/>
        </w:rPr>
        <w:t>Q3. Quels éléments précis sont associés à « Bloc « Nous contacter » » ?</w:t>
      </w:r>
    </w:p>
    <w:p>
      <w:pPr>
        <w:pStyle w:val="Normal"/>
        <w:spacing w:before="0" w:after="30"/>
        <w:ind w:start="227"/>
        <w:rPr/>
      </w:pPr>
      <w:r>
        <w:rPr>
          <w:b/>
          <w:color w:val="D4A017"/>
          <w:sz w:val="16"/>
        </w:rPr>
        <w:t xml:space="preserve">Réponse : </w:t>
      </w:r>
      <w:r>
        <w:rPr>
          <w:color w:val="1F2937"/>
          <w:sz w:val="16"/>
        </w:rPr>
        <w:t>Adresse, téléphone, e-mail et WhatsApp.</w:t>
      </w:r>
    </w:p>
    <w:p>
      <w:pPr>
        <w:pStyle w:val="Normal"/>
        <w:keepNext w:val="true"/>
        <w:keepLines/>
        <w:spacing w:before="30" w:after="0"/>
        <w:ind w:start="28"/>
        <w:rPr/>
      </w:pPr>
      <w:r>
        <w:rPr>
          <w:b/>
          <w:color w:val="0B3D91"/>
          <w:sz w:val="16"/>
        </w:rPr>
        <w:t>Q4. Où « Bloc « Nous contacter » » apparaît-il dans le parcours de la page Contact ?</w:t>
      </w:r>
    </w:p>
    <w:p>
      <w:pPr>
        <w:pStyle w:val="Normal"/>
        <w:spacing w:before="0" w:after="30"/>
        <w:ind w:start="227"/>
        <w:rPr/>
      </w:pPr>
      <w:r>
        <w:rPr>
          <w:b/>
          <w:color w:val="D4A017"/>
          <w:sz w:val="16"/>
        </w:rPr>
        <w:t xml:space="preserve">Réponse : </w:t>
      </w:r>
      <w:r>
        <w:rPr>
          <w:color w:val="1F2937"/>
          <w:sz w:val="16"/>
        </w:rPr>
        <w:t>Dans le pied de page, après les blocs Navigation et Admissions.</w:t>
      </w:r>
    </w:p>
    <w:p>
      <w:pPr>
        <w:pStyle w:val="Normal"/>
        <w:keepNext w:val="true"/>
        <w:keepLines/>
        <w:spacing w:before="30" w:after="0"/>
        <w:ind w:start="28"/>
        <w:rPr/>
      </w:pPr>
      <w:r>
        <w:rPr>
          <w:b/>
          <w:color w:val="0B3D91"/>
          <w:sz w:val="16"/>
        </w:rPr>
        <w:t>Q5. À quel public « Bloc « Nous contacter » » s’adresse-t-il ?</w:t>
      </w:r>
    </w:p>
    <w:p>
      <w:pPr>
        <w:pStyle w:val="Normal"/>
        <w:spacing w:before="0" w:after="30"/>
        <w:ind w:start="227"/>
        <w:rPr/>
      </w:pPr>
      <w:r>
        <w:rPr>
          <w:b/>
          <w:color w:val="D4A017"/>
          <w:sz w:val="16"/>
        </w:rPr>
        <w:t xml:space="preserve">Réponse : </w:t>
      </w:r>
      <w:r>
        <w:rPr>
          <w:color w:val="1F2937"/>
          <w:sz w:val="16"/>
        </w:rPr>
        <w:t>Familles, visiteurs, partenaires et usagers qui recherchent les coordonnées officielles.</w:t>
      </w:r>
    </w:p>
    <w:p>
      <w:pPr>
        <w:pStyle w:val="Normal"/>
        <w:keepNext w:val="true"/>
        <w:keepLines/>
        <w:spacing w:before="30" w:after="0"/>
        <w:ind w:start="28"/>
        <w:rPr/>
      </w:pPr>
      <w:r>
        <w:rPr>
          <w:b/>
          <w:color w:val="0B3D91"/>
          <w:sz w:val="16"/>
        </w:rPr>
        <w:t>Q6. Quelle action le visiteur peut-il accomplir à partir de « Bloc « Nous contacter » » ?</w:t>
      </w:r>
    </w:p>
    <w:p>
      <w:pPr>
        <w:pStyle w:val="Normal"/>
        <w:spacing w:before="0" w:after="30"/>
        <w:ind w:start="227"/>
        <w:rPr/>
      </w:pPr>
      <w:r>
        <w:rPr>
          <w:b/>
          <w:color w:val="D4A017"/>
          <w:sz w:val="16"/>
        </w:rPr>
        <w:t xml:space="preserve">Réponse : </w:t>
      </w:r>
      <w:r>
        <w:rPr>
          <w:color w:val="1F2937"/>
          <w:sz w:val="16"/>
        </w:rPr>
        <w:t>Appeler, écrire, envoyer un message WhatsApp ou se rendre à l’adresse indiquée.</w:t>
      </w:r>
    </w:p>
    <w:p>
      <w:pPr>
        <w:pStyle w:val="Normal"/>
        <w:keepNext w:val="true"/>
        <w:keepLines/>
        <w:spacing w:before="30" w:after="0"/>
        <w:ind w:start="28"/>
        <w:rPr/>
      </w:pPr>
      <w:r>
        <w:rPr>
          <w:b/>
          <w:color w:val="0B3D91"/>
          <w:sz w:val="16"/>
        </w:rPr>
        <w:t>Q7. Quel canal ou moyen de contact est lié à « Bloc « Nous contacter » » ?</w:t>
      </w:r>
    </w:p>
    <w:p>
      <w:pPr>
        <w:pStyle w:val="Normal"/>
        <w:spacing w:before="0" w:after="30"/>
        <w:ind w:start="227"/>
        <w:rPr/>
      </w:pPr>
      <w:r>
        <w:rPr>
          <w:b/>
          <w:color w:val="D4A017"/>
          <w:sz w:val="16"/>
        </w:rPr>
        <w:t xml:space="preserve">Réponse : </w:t>
      </w:r>
      <w:r>
        <w:rPr>
          <w:color w:val="1F2937"/>
          <w:sz w:val="16"/>
        </w:rPr>
        <w:t>Accueil physique, téléphone, e-mail et WhatsApp.</w:t>
      </w:r>
    </w:p>
    <w:p>
      <w:pPr>
        <w:pStyle w:val="Normal"/>
        <w:keepNext w:val="true"/>
        <w:keepLines/>
        <w:spacing w:before="30" w:after="0"/>
        <w:ind w:start="28"/>
        <w:rPr/>
      </w:pPr>
      <w:r>
        <w:rPr>
          <w:b/>
          <w:color w:val="0B3D91"/>
          <w:sz w:val="16"/>
        </w:rPr>
        <w:t>Q8. Quel est le statut éditorial ou fonctionnel de « Bloc « Nous contacter » » sur le site inspecté ?</w:t>
      </w:r>
    </w:p>
    <w:p>
      <w:pPr>
        <w:pStyle w:val="Normal"/>
        <w:spacing w:before="0" w:after="30"/>
        <w:ind w:start="227"/>
        <w:rPr/>
      </w:pPr>
      <w:r>
        <w:rPr>
          <w:b/>
          <w:color w:val="D4A017"/>
          <w:sz w:val="16"/>
        </w:rPr>
        <w:t xml:space="preserve">Réponse : </w:t>
      </w:r>
      <w:r>
        <w:rPr>
          <w:color w:val="1F2937"/>
          <w:sz w:val="16"/>
        </w:rPr>
        <w:t>Bloc officiel publié, mais incomplet par rapport au standard institutionnel à trois numéros.</w:t>
      </w:r>
    </w:p>
    <w:p>
      <w:pPr>
        <w:pStyle w:val="Normal"/>
        <w:keepNext w:val="true"/>
        <w:keepLines/>
        <w:spacing w:before="30" w:after="0"/>
        <w:ind w:start="28"/>
        <w:rPr/>
      </w:pPr>
      <w:r>
        <w:rPr>
          <w:b/>
          <w:color w:val="0B3D91"/>
          <w:sz w:val="16"/>
        </w:rPr>
        <w:t>Q9. Quelle limite ou précaution faut-il conserver à propos de « Bloc « Nous contacter » » ?</w:t>
      </w:r>
    </w:p>
    <w:p>
      <w:pPr>
        <w:pStyle w:val="Normal"/>
        <w:spacing w:before="0" w:after="30"/>
        <w:ind w:start="227"/>
        <w:rPr/>
      </w:pPr>
      <w:r>
        <w:rPr>
          <w:b/>
          <w:color w:val="D4A017"/>
          <w:sz w:val="16"/>
        </w:rPr>
        <w:t xml:space="preserve">Réponse : </w:t>
      </w:r>
      <w:r>
        <w:rPr>
          <w:color w:val="1F2937"/>
          <w:sz w:val="16"/>
        </w:rPr>
        <w:t>Il faut harmoniser ce bloc avec le bandeau supérieur, la page d’accueil et la référence officielle complète.</w:t>
      </w:r>
    </w:p>
    <w:p>
      <w:pPr>
        <w:pStyle w:val="Normal"/>
        <w:keepNext w:val="true"/>
        <w:keepLines/>
        <w:spacing w:before="30" w:after="0"/>
        <w:ind w:start="28"/>
        <w:rPr/>
      </w:pPr>
      <w:r>
        <w:rPr>
          <w:b/>
          <w:color w:val="0B3D91"/>
          <w:sz w:val="16"/>
        </w:rPr>
        <w:t>Q10. Quelle réponse essentielle faut-il retenir au sujet de « Bloc « Nous contacter » » ?</w:t>
      </w:r>
    </w:p>
    <w:p>
      <w:pPr>
        <w:pStyle w:val="Normal"/>
        <w:spacing w:before="0" w:after="30"/>
        <w:ind w:start="227"/>
        <w:rPr/>
      </w:pPr>
      <w:r>
        <w:rPr>
          <w:b/>
          <w:color w:val="D4A017"/>
          <w:sz w:val="16"/>
        </w:rPr>
        <w:t xml:space="preserve">Réponse : </w:t>
      </w:r>
      <w:r>
        <w:rPr>
          <w:color w:val="1F2937"/>
          <w:sz w:val="16"/>
        </w:rPr>
        <w:t>Le bloc « Nous contacter » est la référence pratique la plus fiable de la page actuelle.</w:t>
      </w:r>
    </w:p>
    <w:p>
      <w:pPr>
        <w:pStyle w:val="Normal"/>
        <w:rPr/>
      </w:pPr>
      <w:r>
        <w:rPr/>
      </w:r>
      <w:r>
        <w:br w:type="page"/>
      </w:r>
    </w:p>
    <w:p>
      <w:pPr>
        <w:pStyle w:val="Heading1"/>
        <w:spacing w:before="0" w:after="100"/>
        <w:rPr/>
      </w:pPr>
      <w:r>
        <w:rPr/>
        <w:t>Fiche 26 — Adresse officielle affichée dans le pied de page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L’adresse affichée est « Avenue du Lac n°49, Quartier Labotte, Commune d’Ibanda, Bukavu, Sud-Kivu, RDC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Coordonnée institutionnelle publiée sur la page Contact.</w:t>
            </w:r>
          </w:p>
        </w:tc>
      </w:tr>
    </w:tbl>
    <w:p>
      <w:pPr>
        <w:pStyle w:val="Normal"/>
        <w:spacing w:before="20" w:after="80"/>
        <w:rPr/>
      </w:pPr>
      <w:r>
        <w:rPr>
          <w:b/>
          <w:color w:val="0B3D91"/>
          <w:sz w:val="15"/>
        </w:rPr>
        <w:t xml:space="preserve">Source contrôlée : </w:t>
      </w:r>
      <w:r>
        <w:rPr>
          <w:color w:val="555555"/>
          <w:sz w:val="15"/>
        </w:rPr>
        <w:t>Bloc Nous contacter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Avenue du Lac n°49</w:t>
      </w:r>
    </w:p>
    <w:p>
      <w:pPr>
        <w:pStyle w:val="ListBullet"/>
        <w:numPr>
          <w:ilvl w:val="0"/>
          <w:numId w:val="1"/>
        </w:numPr>
        <w:spacing w:before="0" w:after="20"/>
        <w:ind w:hanging="360" w:start="255"/>
        <w:contextualSpacing/>
        <w:rPr/>
      </w:pPr>
      <w:r>
        <w:rPr>
          <w:sz w:val="17"/>
        </w:rPr>
        <w:t>Quartier Labotte</w:t>
      </w:r>
    </w:p>
    <w:p>
      <w:pPr>
        <w:pStyle w:val="ListBullet"/>
        <w:numPr>
          <w:ilvl w:val="0"/>
          <w:numId w:val="1"/>
        </w:numPr>
        <w:spacing w:before="0" w:after="20"/>
        <w:ind w:hanging="360" w:start="255"/>
        <w:contextualSpacing/>
        <w:rPr/>
      </w:pPr>
      <w:r>
        <w:rPr>
          <w:sz w:val="17"/>
        </w:rPr>
        <w:t>Commune d’Ibanda</w:t>
      </w:r>
    </w:p>
    <w:p>
      <w:pPr>
        <w:pStyle w:val="ListBullet"/>
        <w:numPr>
          <w:ilvl w:val="0"/>
          <w:numId w:val="1"/>
        </w:numPr>
        <w:spacing w:before="0" w:after="20"/>
        <w:ind w:hanging="360" w:start="255"/>
        <w:contextualSpacing/>
        <w:rPr/>
      </w:pPr>
      <w:r>
        <w:rPr>
          <w:sz w:val="17"/>
        </w:rPr>
        <w:t>Bukavu</w:t>
      </w:r>
    </w:p>
    <w:p>
      <w:pPr>
        <w:pStyle w:val="ListBullet"/>
        <w:numPr>
          <w:ilvl w:val="0"/>
          <w:numId w:val="1"/>
        </w:numPr>
        <w:spacing w:before="0" w:after="20"/>
        <w:ind w:hanging="360" w:start="255"/>
        <w:contextualSpacing/>
        <w:rPr/>
      </w:pPr>
      <w:r>
        <w:rPr>
          <w:sz w:val="17"/>
        </w:rPr>
        <w:t>Sud-Kivu</w:t>
      </w:r>
    </w:p>
    <w:p>
      <w:pPr>
        <w:pStyle w:val="ListBullet"/>
        <w:numPr>
          <w:ilvl w:val="0"/>
          <w:numId w:val="1"/>
        </w:numPr>
        <w:spacing w:before="0" w:after="20"/>
        <w:ind w:hanging="360" w:start="255"/>
        <w:contextualSpacing/>
        <w:rPr/>
      </w:pPr>
      <w:r>
        <w:rPr>
          <w:sz w:val="17"/>
        </w:rPr>
        <w:t>RDC</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répond à la question essentielle « Où se trouve l’école ? ».</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Une adresse complète permet la visite, les démarches administratives et la crédibilité locale.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Planifier une visite, Infrastructures, Google Maps et Admissions.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Adresse officielle affichée dans le pied de page » ?</w:t>
      </w:r>
    </w:p>
    <w:p>
      <w:pPr>
        <w:pStyle w:val="Normal"/>
        <w:spacing w:before="0" w:after="30"/>
        <w:ind w:start="227"/>
        <w:rPr/>
      </w:pPr>
      <w:r>
        <w:rPr>
          <w:b/>
          <w:color w:val="D4A017"/>
          <w:sz w:val="16"/>
        </w:rPr>
        <w:t xml:space="preserve">Réponse : </w:t>
      </w:r>
      <w:r>
        <w:rPr>
          <w:color w:val="1F2937"/>
          <w:sz w:val="16"/>
        </w:rPr>
        <w:t>L’adresse affichée est « Avenue du Lac n°49, Quartier Labotte, Commune d’Ibanda, Bukavu, Sud-Kivu, RDC ».</w:t>
      </w:r>
    </w:p>
    <w:p>
      <w:pPr>
        <w:pStyle w:val="Normal"/>
        <w:keepNext w:val="true"/>
        <w:keepLines/>
        <w:spacing w:before="30" w:after="0"/>
        <w:ind w:start="28"/>
        <w:rPr/>
      </w:pPr>
      <w:r>
        <w:rPr>
          <w:b/>
          <w:color w:val="0B3D91"/>
          <w:sz w:val="16"/>
        </w:rPr>
        <w:t>Q2. Quelle est l’idée centrale développée sous « Adresse officielle affichée dans le pied de page » ?</w:t>
      </w:r>
    </w:p>
    <w:p>
      <w:pPr>
        <w:pStyle w:val="Normal"/>
        <w:spacing w:before="0" w:after="30"/>
        <w:ind w:start="227"/>
        <w:rPr/>
      </w:pPr>
      <w:r>
        <w:rPr>
          <w:b/>
          <w:color w:val="D4A017"/>
          <w:sz w:val="16"/>
        </w:rPr>
        <w:t xml:space="preserve">Réponse : </w:t>
      </w:r>
      <w:r>
        <w:rPr>
          <w:color w:val="1F2937"/>
          <w:sz w:val="16"/>
        </w:rPr>
        <w:t>Elle situe l’école à Labotte, dans la Commune d’Ibanda à Bukavu.</w:t>
      </w:r>
    </w:p>
    <w:p>
      <w:pPr>
        <w:pStyle w:val="Normal"/>
        <w:keepNext w:val="true"/>
        <w:keepLines/>
        <w:spacing w:before="30" w:after="0"/>
        <w:ind w:start="28"/>
        <w:rPr/>
      </w:pPr>
      <w:r>
        <w:rPr>
          <w:b/>
          <w:color w:val="0B3D91"/>
          <w:sz w:val="16"/>
        </w:rPr>
        <w:t>Q3. Quels éléments précis sont associés à « Adresse officielle affichée dans le pied de page » ?</w:t>
      </w:r>
    </w:p>
    <w:p>
      <w:pPr>
        <w:pStyle w:val="Normal"/>
        <w:spacing w:before="0" w:after="30"/>
        <w:ind w:start="227"/>
        <w:rPr/>
      </w:pPr>
      <w:r>
        <w:rPr>
          <w:b/>
          <w:color w:val="D4A017"/>
          <w:sz w:val="16"/>
        </w:rPr>
        <w:t xml:space="preserve">Réponse : </w:t>
      </w:r>
      <w:r>
        <w:rPr>
          <w:color w:val="1F2937"/>
          <w:sz w:val="16"/>
        </w:rPr>
        <w:t>Avenue du Lac n°49, Quartier Labotte, Commune d’Ibanda, Bukavu, Sud-Kivu, RDC.</w:t>
      </w:r>
    </w:p>
    <w:p>
      <w:pPr>
        <w:pStyle w:val="Normal"/>
        <w:keepNext w:val="true"/>
        <w:keepLines/>
        <w:spacing w:before="30" w:after="0"/>
        <w:ind w:start="28"/>
        <w:rPr/>
      </w:pPr>
      <w:r>
        <w:rPr>
          <w:b/>
          <w:color w:val="0B3D91"/>
          <w:sz w:val="16"/>
        </w:rPr>
        <w:t>Q4. Où « Adresse officielle affichée dans le pied de page » apparaît-il dans le parcours de la page Contact ?</w:t>
      </w:r>
    </w:p>
    <w:p>
      <w:pPr>
        <w:pStyle w:val="Normal"/>
        <w:spacing w:before="0" w:after="30"/>
        <w:ind w:start="227"/>
        <w:rPr/>
      </w:pPr>
      <w:r>
        <w:rPr>
          <w:b/>
          <w:color w:val="D4A017"/>
          <w:sz w:val="16"/>
        </w:rPr>
        <w:t xml:space="preserve">Réponse : </w:t>
      </w:r>
      <w:r>
        <w:rPr>
          <w:color w:val="1F2937"/>
          <w:sz w:val="16"/>
        </w:rPr>
        <w:t>Dans le bloc « Nous contacter » du pied de page.</w:t>
      </w:r>
    </w:p>
    <w:p>
      <w:pPr>
        <w:pStyle w:val="Normal"/>
        <w:keepNext w:val="true"/>
        <w:keepLines/>
        <w:spacing w:before="30" w:after="0"/>
        <w:ind w:start="28"/>
        <w:rPr/>
      </w:pPr>
      <w:r>
        <w:rPr>
          <w:b/>
          <w:color w:val="0B3D91"/>
          <w:sz w:val="16"/>
        </w:rPr>
        <w:t>Q5. À quel public « Adresse officielle affichée dans le pied de page » s’adresse-t-il ?</w:t>
      </w:r>
    </w:p>
    <w:p>
      <w:pPr>
        <w:pStyle w:val="Normal"/>
        <w:spacing w:before="0" w:after="30"/>
        <w:ind w:start="227"/>
        <w:rPr/>
      </w:pPr>
      <w:r>
        <w:rPr>
          <w:b/>
          <w:color w:val="D4A017"/>
          <w:sz w:val="16"/>
        </w:rPr>
        <w:t xml:space="preserve">Réponse : </w:t>
      </w:r>
      <w:r>
        <w:rPr>
          <w:color w:val="1F2937"/>
          <w:sz w:val="16"/>
        </w:rPr>
        <w:t>Familles, visiteurs, fournisseurs, partenaires et services officiels.</w:t>
      </w:r>
    </w:p>
    <w:p>
      <w:pPr>
        <w:pStyle w:val="Normal"/>
        <w:keepNext w:val="true"/>
        <w:keepLines/>
        <w:spacing w:before="30" w:after="0"/>
        <w:ind w:start="28"/>
        <w:rPr/>
      </w:pPr>
      <w:r>
        <w:rPr>
          <w:b/>
          <w:color w:val="0B3D91"/>
          <w:sz w:val="16"/>
        </w:rPr>
        <w:t>Q6. Quelle action le visiteur peut-il accomplir à partir de « Adresse officielle affichée dans le pied de page » ?</w:t>
      </w:r>
    </w:p>
    <w:p>
      <w:pPr>
        <w:pStyle w:val="Normal"/>
        <w:spacing w:before="0" w:after="30"/>
        <w:ind w:start="227"/>
        <w:rPr/>
      </w:pPr>
      <w:r>
        <w:rPr>
          <w:b/>
          <w:color w:val="D4A017"/>
          <w:sz w:val="16"/>
        </w:rPr>
        <w:t xml:space="preserve">Réponse : </w:t>
      </w:r>
      <w:r>
        <w:rPr>
          <w:color w:val="1F2937"/>
          <w:sz w:val="16"/>
        </w:rPr>
        <w:t>Préparer une visite ou localiser l’établissement.</w:t>
      </w:r>
    </w:p>
    <w:p>
      <w:pPr>
        <w:pStyle w:val="Normal"/>
        <w:keepNext w:val="true"/>
        <w:keepLines/>
        <w:spacing w:before="30" w:after="0"/>
        <w:ind w:start="28"/>
        <w:rPr/>
      </w:pPr>
      <w:r>
        <w:rPr>
          <w:b/>
          <w:color w:val="0B3D91"/>
          <w:sz w:val="16"/>
        </w:rPr>
        <w:t>Q7. Quel canal ou moyen de contact est lié à « Adresse officielle affichée dans le pied de page » ?</w:t>
      </w:r>
    </w:p>
    <w:p>
      <w:pPr>
        <w:pStyle w:val="Normal"/>
        <w:spacing w:before="0" w:after="30"/>
        <w:ind w:start="227"/>
        <w:rPr/>
      </w:pPr>
      <w:r>
        <w:rPr>
          <w:b/>
          <w:color w:val="D4A017"/>
          <w:sz w:val="16"/>
        </w:rPr>
        <w:t xml:space="preserve">Réponse : </w:t>
      </w:r>
      <w:r>
        <w:rPr>
          <w:color w:val="1F2937"/>
          <w:sz w:val="16"/>
        </w:rPr>
        <w:t>Adresse physique.</w:t>
      </w:r>
    </w:p>
    <w:p>
      <w:pPr>
        <w:pStyle w:val="Normal"/>
        <w:keepNext w:val="true"/>
        <w:keepLines/>
        <w:spacing w:before="30" w:after="0"/>
        <w:ind w:start="28"/>
        <w:rPr/>
      </w:pPr>
      <w:r>
        <w:rPr>
          <w:b/>
          <w:color w:val="0B3D91"/>
          <w:sz w:val="16"/>
        </w:rPr>
        <w:t>Q8. Quel est le statut éditorial ou fonctionnel de « Adresse officielle affichée dans le pied de page » sur le site inspecté ?</w:t>
      </w:r>
    </w:p>
    <w:p>
      <w:pPr>
        <w:pStyle w:val="Normal"/>
        <w:spacing w:before="0" w:after="30"/>
        <w:ind w:start="227"/>
        <w:rPr/>
      </w:pPr>
      <w:r>
        <w:rPr>
          <w:b/>
          <w:color w:val="D4A017"/>
          <w:sz w:val="16"/>
        </w:rPr>
        <w:t xml:space="preserve">Réponse : </w:t>
      </w:r>
      <w:r>
        <w:rPr>
          <w:color w:val="1F2937"/>
          <w:sz w:val="16"/>
        </w:rPr>
        <w:t>Coordonnée institutionnelle publiée sur la page Contact.</w:t>
      </w:r>
    </w:p>
    <w:p>
      <w:pPr>
        <w:pStyle w:val="Normal"/>
        <w:keepNext w:val="true"/>
        <w:keepLines/>
        <w:spacing w:before="30" w:after="0"/>
        <w:ind w:start="28"/>
        <w:rPr/>
      </w:pPr>
      <w:r>
        <w:rPr>
          <w:b/>
          <w:color w:val="0B3D91"/>
          <w:sz w:val="16"/>
        </w:rPr>
        <w:t>Q9. Quelle limite ou précaution faut-il conserver à propos de « Adresse officielle affichée dans le pied de page » ?</w:t>
      </w:r>
    </w:p>
    <w:p>
      <w:pPr>
        <w:pStyle w:val="Normal"/>
        <w:spacing w:before="0" w:after="30"/>
        <w:ind w:start="227"/>
        <w:rPr/>
      </w:pPr>
      <w:r>
        <w:rPr>
          <w:b/>
          <w:color w:val="D4A017"/>
          <w:sz w:val="16"/>
        </w:rPr>
        <w:t xml:space="preserve">Réponse : </w:t>
      </w:r>
      <w:r>
        <w:rPr>
          <w:color w:val="1F2937"/>
          <w:sz w:val="16"/>
        </w:rPr>
        <w:t>La formulation doit être identique sur toutes les pages, les cartes et les documents officiels.</w:t>
      </w:r>
    </w:p>
    <w:p>
      <w:pPr>
        <w:pStyle w:val="Normal"/>
        <w:keepNext w:val="true"/>
        <w:keepLines/>
        <w:spacing w:before="30" w:after="0"/>
        <w:ind w:start="28"/>
        <w:rPr/>
      </w:pPr>
      <w:r>
        <w:rPr>
          <w:b/>
          <w:color w:val="0B3D91"/>
          <w:sz w:val="16"/>
        </w:rPr>
        <w:t>Q10. Quelle réponse essentielle faut-il retenir au sujet de « Adresse officielle affichée dans le pied de page » ?</w:t>
      </w:r>
    </w:p>
    <w:p>
      <w:pPr>
        <w:pStyle w:val="Normal"/>
        <w:spacing w:before="0" w:after="30"/>
        <w:ind w:start="227"/>
        <w:rPr/>
      </w:pPr>
      <w:r>
        <w:rPr>
          <w:b/>
          <w:color w:val="D4A017"/>
          <w:sz w:val="16"/>
        </w:rPr>
        <w:t xml:space="preserve">Réponse : </w:t>
      </w:r>
      <w:r>
        <w:rPr>
          <w:color w:val="1F2937"/>
          <w:sz w:val="16"/>
        </w:rPr>
        <w:t>L’école est située Avenue du Lac n°49, Quartier Labotte, Commune d’Ibanda, Bukavu, Sud-Kivu, RDC.</w:t>
      </w:r>
    </w:p>
    <w:p>
      <w:pPr>
        <w:pStyle w:val="Normal"/>
        <w:rPr/>
      </w:pPr>
      <w:r>
        <w:rPr/>
      </w:r>
      <w:r>
        <w:br w:type="page"/>
      </w:r>
    </w:p>
    <w:p>
      <w:pPr>
        <w:pStyle w:val="Heading1"/>
        <w:spacing w:before="0" w:after="100"/>
        <w:rPr/>
      </w:pPr>
      <w:r>
        <w:rPr/>
        <w:t>Fiche 27 — Numéro officiel « +243 992 818 280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premier numéro affiché dans le pied de page est +243 992 818 280.</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Numéro officiel publié.</w:t>
            </w:r>
          </w:p>
        </w:tc>
      </w:tr>
    </w:tbl>
    <w:p>
      <w:pPr>
        <w:pStyle w:val="Normal"/>
        <w:spacing w:before="20" w:after="80"/>
        <w:rPr/>
      </w:pPr>
      <w:r>
        <w:rPr>
          <w:b/>
          <w:color w:val="0B3D91"/>
          <w:sz w:val="15"/>
        </w:rPr>
        <w:t xml:space="preserve">Source contrôlée : </w:t>
      </w:r>
      <w:r>
        <w:rPr>
          <w:color w:val="555555"/>
          <w:sz w:val="15"/>
        </w:rPr>
        <w:t>Bloc Nous contacter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Indicatif RDC +243</w:t>
      </w:r>
    </w:p>
    <w:p>
      <w:pPr>
        <w:pStyle w:val="ListBullet"/>
        <w:numPr>
          <w:ilvl w:val="0"/>
          <w:numId w:val="1"/>
        </w:numPr>
        <w:spacing w:before="0" w:after="20"/>
        <w:ind w:hanging="360" w:start="255"/>
        <w:contextualSpacing/>
        <w:rPr/>
      </w:pPr>
      <w:r>
        <w:rPr>
          <w:sz w:val="17"/>
        </w:rPr>
        <w:t>Téléphone officiel</w:t>
      </w:r>
    </w:p>
    <w:p>
      <w:pPr>
        <w:pStyle w:val="ListBullet"/>
        <w:numPr>
          <w:ilvl w:val="0"/>
          <w:numId w:val="1"/>
        </w:numPr>
        <w:spacing w:before="0" w:after="20"/>
        <w:ind w:hanging="360" w:start="255"/>
        <w:contextualSpacing/>
        <w:rPr/>
      </w:pPr>
      <w:r>
        <w:rPr>
          <w:sz w:val="17"/>
        </w:rPr>
        <w:t>Numéro WhatsApp</w:t>
      </w:r>
    </w:p>
    <w:p>
      <w:pPr>
        <w:pStyle w:val="ListBullet"/>
        <w:numPr>
          <w:ilvl w:val="0"/>
          <w:numId w:val="1"/>
        </w:numPr>
        <w:spacing w:before="0" w:after="20"/>
        <w:ind w:hanging="360" w:start="255"/>
        <w:contextualSpacing/>
        <w:rPr/>
      </w:pPr>
      <w:r>
        <w:rPr>
          <w:sz w:val="17"/>
        </w:rPr>
        <w:t>Contact direct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permet d’identifier précisément un canal de contact.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offre une voie directe pour les demandes, la visite et l’admission.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WhatsApp, Assistance, Admissions et bandeau supérieur.</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Numéro officiel « +243 992 818 280 » » ?</w:t>
      </w:r>
    </w:p>
    <w:p>
      <w:pPr>
        <w:pStyle w:val="Normal"/>
        <w:spacing w:before="0" w:after="30"/>
        <w:ind w:start="227"/>
        <w:rPr/>
      </w:pPr>
      <w:r>
        <w:rPr>
          <w:b/>
          <w:color w:val="D4A017"/>
          <w:sz w:val="16"/>
        </w:rPr>
        <w:t xml:space="preserve">Réponse : </w:t>
      </w:r>
      <w:r>
        <w:rPr>
          <w:color w:val="1F2937"/>
          <w:sz w:val="16"/>
        </w:rPr>
        <w:t>Le premier numéro affiché dans le pied de page est +243 992 818 280.</w:t>
      </w:r>
    </w:p>
    <w:p>
      <w:pPr>
        <w:pStyle w:val="Normal"/>
        <w:keepNext w:val="true"/>
        <w:keepLines/>
        <w:spacing w:before="30" w:after="0"/>
        <w:ind w:start="28"/>
        <w:rPr/>
      </w:pPr>
      <w:r>
        <w:rPr>
          <w:b/>
          <w:color w:val="0B3D91"/>
          <w:sz w:val="16"/>
        </w:rPr>
        <w:t>Q2. Quelle est l’idée centrale développée sous « Numéro officiel « +243 992 818 280 » » ?</w:t>
      </w:r>
    </w:p>
    <w:p>
      <w:pPr>
        <w:pStyle w:val="Normal"/>
        <w:spacing w:before="0" w:after="30"/>
        <w:ind w:start="227"/>
        <w:rPr/>
      </w:pPr>
      <w:r>
        <w:rPr>
          <w:b/>
          <w:color w:val="D4A017"/>
          <w:sz w:val="16"/>
        </w:rPr>
        <w:t xml:space="preserve">Réponse : </w:t>
      </w:r>
      <w:r>
        <w:rPr>
          <w:color w:val="1F2937"/>
          <w:sz w:val="16"/>
        </w:rPr>
        <w:t>Ce numéro sert de canal téléphonique institutionnel et de numéro WhatsApp sur la page inspectée.</w:t>
      </w:r>
    </w:p>
    <w:p>
      <w:pPr>
        <w:pStyle w:val="Normal"/>
        <w:keepNext w:val="true"/>
        <w:keepLines/>
        <w:spacing w:before="30" w:after="0"/>
        <w:ind w:start="28"/>
        <w:rPr/>
      </w:pPr>
      <w:r>
        <w:rPr>
          <w:b/>
          <w:color w:val="0B3D91"/>
          <w:sz w:val="16"/>
        </w:rPr>
        <w:t>Q3. Quels éléments précis sont associés à « Numéro officiel « +243 992 818 280 » » ?</w:t>
      </w:r>
    </w:p>
    <w:p>
      <w:pPr>
        <w:pStyle w:val="Normal"/>
        <w:spacing w:before="0" w:after="30"/>
        <w:ind w:start="227"/>
        <w:rPr/>
      </w:pPr>
      <w:r>
        <w:rPr>
          <w:b/>
          <w:color w:val="D4A017"/>
          <w:sz w:val="16"/>
        </w:rPr>
        <w:t xml:space="preserve">Réponse : </w:t>
      </w:r>
      <w:r>
        <w:rPr>
          <w:color w:val="1F2937"/>
          <w:sz w:val="16"/>
        </w:rPr>
        <w:t>Indicatif +243 et numéro 992 818 280.</w:t>
      </w:r>
    </w:p>
    <w:p>
      <w:pPr>
        <w:pStyle w:val="Normal"/>
        <w:keepNext w:val="true"/>
        <w:keepLines/>
        <w:spacing w:before="30" w:after="0"/>
        <w:ind w:start="28"/>
        <w:rPr/>
      </w:pPr>
      <w:r>
        <w:rPr>
          <w:b/>
          <w:color w:val="0B3D91"/>
          <w:sz w:val="16"/>
        </w:rPr>
        <w:t>Q4. Où « Numéro officiel « +243 992 818 280 » » apparaît-il dans le parcours de la page Contact ?</w:t>
      </w:r>
    </w:p>
    <w:p>
      <w:pPr>
        <w:pStyle w:val="Normal"/>
        <w:spacing w:before="0" w:after="30"/>
        <w:ind w:start="227"/>
        <w:rPr/>
      </w:pPr>
      <w:r>
        <w:rPr>
          <w:b/>
          <w:color w:val="D4A017"/>
          <w:sz w:val="16"/>
        </w:rPr>
        <w:t xml:space="preserve">Réponse : </w:t>
      </w:r>
      <w:r>
        <w:rPr>
          <w:color w:val="1F2937"/>
          <w:sz w:val="16"/>
        </w:rPr>
        <w:t>Dans le bloc « Nous contacter » et dans le lien WhatsApp.</w:t>
      </w:r>
    </w:p>
    <w:p>
      <w:pPr>
        <w:pStyle w:val="Normal"/>
        <w:keepNext w:val="true"/>
        <w:keepLines/>
        <w:spacing w:before="30" w:after="0"/>
        <w:ind w:start="28"/>
        <w:rPr/>
      </w:pPr>
      <w:r>
        <w:rPr>
          <w:b/>
          <w:color w:val="0B3D91"/>
          <w:sz w:val="16"/>
        </w:rPr>
        <w:t>Q5. À quel public « Numéro officiel « +243 992 818 280 » » s’adresse-t-il ?</w:t>
      </w:r>
    </w:p>
    <w:p>
      <w:pPr>
        <w:pStyle w:val="Normal"/>
        <w:spacing w:before="0" w:after="30"/>
        <w:ind w:start="227"/>
        <w:rPr/>
      </w:pPr>
      <w:r>
        <w:rPr>
          <w:b/>
          <w:color w:val="D4A017"/>
          <w:sz w:val="16"/>
        </w:rPr>
        <w:t xml:space="preserve">Réponse : </w:t>
      </w:r>
      <w:r>
        <w:rPr>
          <w:color w:val="1F2937"/>
          <w:sz w:val="16"/>
        </w:rPr>
        <w:t>Familles, visiteurs et personnes demandant une réponse rapide.</w:t>
      </w:r>
    </w:p>
    <w:p>
      <w:pPr>
        <w:pStyle w:val="Normal"/>
        <w:keepNext w:val="true"/>
        <w:keepLines/>
        <w:spacing w:before="30" w:after="0"/>
        <w:ind w:start="28"/>
        <w:rPr/>
      </w:pPr>
      <w:r>
        <w:rPr>
          <w:b/>
          <w:color w:val="0B3D91"/>
          <w:sz w:val="16"/>
        </w:rPr>
        <w:t>Q6. Quelle action le visiteur peut-il accomplir à partir de « Numéro officiel « +243 992 818 280 » » ?</w:t>
      </w:r>
    </w:p>
    <w:p>
      <w:pPr>
        <w:pStyle w:val="Normal"/>
        <w:spacing w:before="0" w:after="30"/>
        <w:ind w:start="227"/>
        <w:rPr/>
      </w:pPr>
      <w:r>
        <w:rPr>
          <w:b/>
          <w:color w:val="D4A017"/>
          <w:sz w:val="16"/>
        </w:rPr>
        <w:t xml:space="preserve">Réponse : </w:t>
      </w:r>
      <w:r>
        <w:rPr>
          <w:color w:val="1F2937"/>
          <w:sz w:val="16"/>
        </w:rPr>
        <w:t>Appeler ou envoyer un message WhatsApp.</w:t>
      </w:r>
    </w:p>
    <w:p>
      <w:pPr>
        <w:pStyle w:val="Normal"/>
        <w:keepNext w:val="true"/>
        <w:keepLines/>
        <w:spacing w:before="30" w:after="0"/>
        <w:ind w:start="28"/>
        <w:rPr/>
      </w:pPr>
      <w:r>
        <w:rPr>
          <w:b/>
          <w:color w:val="0B3D91"/>
          <w:sz w:val="16"/>
        </w:rPr>
        <w:t>Q7. Quel canal ou moyen de contact est lié à « Numéro officiel « +243 992 818 280 » » ?</w:t>
      </w:r>
    </w:p>
    <w:p>
      <w:pPr>
        <w:pStyle w:val="Normal"/>
        <w:spacing w:before="0" w:after="30"/>
        <w:ind w:start="227"/>
        <w:rPr/>
      </w:pPr>
      <w:r>
        <w:rPr>
          <w:b/>
          <w:color w:val="D4A017"/>
          <w:sz w:val="16"/>
        </w:rPr>
        <w:t xml:space="preserve">Réponse : </w:t>
      </w:r>
      <w:r>
        <w:rPr>
          <w:color w:val="1F2937"/>
          <w:sz w:val="16"/>
        </w:rPr>
        <w:t>Téléphone et WhatsApp.</w:t>
      </w:r>
    </w:p>
    <w:p>
      <w:pPr>
        <w:pStyle w:val="Normal"/>
        <w:keepNext w:val="true"/>
        <w:keepLines/>
        <w:spacing w:before="30" w:after="0"/>
        <w:ind w:start="28"/>
        <w:rPr/>
      </w:pPr>
      <w:r>
        <w:rPr>
          <w:b/>
          <w:color w:val="0B3D91"/>
          <w:sz w:val="16"/>
        </w:rPr>
        <w:t>Q8. Quel est le statut éditorial ou fonctionnel de « Numéro officiel « +243 992 818 280 » » sur le site inspecté ?</w:t>
      </w:r>
    </w:p>
    <w:p>
      <w:pPr>
        <w:pStyle w:val="Normal"/>
        <w:spacing w:before="0" w:after="30"/>
        <w:ind w:start="227"/>
        <w:rPr/>
      </w:pPr>
      <w:r>
        <w:rPr>
          <w:b/>
          <w:color w:val="D4A017"/>
          <w:sz w:val="16"/>
        </w:rPr>
        <w:t xml:space="preserve">Réponse : </w:t>
      </w:r>
      <w:r>
        <w:rPr>
          <w:color w:val="1F2937"/>
          <w:sz w:val="16"/>
        </w:rPr>
        <w:t>Numéro officiel publié.</w:t>
      </w:r>
    </w:p>
    <w:p>
      <w:pPr>
        <w:pStyle w:val="Normal"/>
        <w:keepNext w:val="true"/>
        <w:keepLines/>
        <w:spacing w:before="30" w:after="0"/>
        <w:ind w:start="28"/>
        <w:rPr/>
      </w:pPr>
      <w:r>
        <w:rPr>
          <w:b/>
          <w:color w:val="0B3D91"/>
          <w:sz w:val="16"/>
        </w:rPr>
        <w:t>Q9. Quelle limite ou précaution faut-il conserver à propos de « Numéro officiel « +243 992 818 280 » » ?</w:t>
      </w:r>
    </w:p>
    <w:p>
      <w:pPr>
        <w:pStyle w:val="Normal"/>
        <w:spacing w:before="0" w:after="30"/>
        <w:ind w:start="227"/>
        <w:rPr/>
      </w:pPr>
      <w:r>
        <w:rPr>
          <w:b/>
          <w:color w:val="D4A017"/>
          <w:sz w:val="16"/>
        </w:rPr>
        <w:t xml:space="preserve">Réponse : </w:t>
      </w:r>
      <w:r>
        <w:rPr>
          <w:color w:val="1F2937"/>
          <w:sz w:val="16"/>
        </w:rPr>
        <w:t>Il doit être présenté de manière cohérente avec les deux autres numéros institutionnels.</w:t>
      </w:r>
    </w:p>
    <w:p>
      <w:pPr>
        <w:pStyle w:val="Normal"/>
        <w:keepNext w:val="true"/>
        <w:keepLines/>
        <w:spacing w:before="30" w:after="0"/>
        <w:ind w:start="28"/>
        <w:rPr/>
      </w:pPr>
      <w:r>
        <w:rPr>
          <w:b/>
          <w:color w:val="0B3D91"/>
          <w:sz w:val="16"/>
        </w:rPr>
        <w:t>Q10. Quelle réponse essentielle faut-il retenir au sujet de « Numéro officiel « +243 992 818 280 » » ?</w:t>
      </w:r>
    </w:p>
    <w:p>
      <w:pPr>
        <w:pStyle w:val="Normal"/>
        <w:spacing w:before="0" w:after="30"/>
        <w:ind w:start="227"/>
        <w:rPr/>
      </w:pPr>
      <w:r>
        <w:rPr>
          <w:b/>
          <w:color w:val="D4A017"/>
          <w:sz w:val="16"/>
        </w:rPr>
        <w:t xml:space="preserve">Réponse : </w:t>
      </w:r>
      <w:r>
        <w:rPr>
          <w:color w:val="1F2937"/>
          <w:sz w:val="16"/>
        </w:rPr>
        <w:t>+243 992 818 280 est un numéro officiel du GSE et le numéro associé au lien WhatsApp de la page.</w:t>
      </w:r>
    </w:p>
    <w:p>
      <w:pPr>
        <w:pStyle w:val="Normal"/>
        <w:rPr/>
      </w:pPr>
      <w:r>
        <w:rPr/>
      </w:r>
      <w:r>
        <w:br w:type="page"/>
      </w:r>
    </w:p>
    <w:p>
      <w:pPr>
        <w:pStyle w:val="Heading1"/>
        <w:spacing w:before="0" w:after="100"/>
        <w:rPr/>
      </w:pPr>
      <w:r>
        <w:rPr/>
        <w:t>Fiche 28 — Numéro officiel « +243 997 712 645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deuxième numéro affiché dans le pied de page est +243 997 712 645.</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Numéro officiel publié.</w:t>
            </w:r>
          </w:p>
        </w:tc>
      </w:tr>
    </w:tbl>
    <w:p>
      <w:pPr>
        <w:pStyle w:val="Normal"/>
        <w:spacing w:before="20" w:after="80"/>
        <w:rPr/>
      </w:pPr>
      <w:r>
        <w:rPr>
          <w:b/>
          <w:color w:val="0B3D91"/>
          <w:sz w:val="15"/>
        </w:rPr>
        <w:t xml:space="preserve">Source contrôlée : </w:t>
      </w:r>
      <w:r>
        <w:rPr>
          <w:color w:val="555555"/>
          <w:sz w:val="15"/>
        </w:rPr>
        <w:t>Bloc Nous contacter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Indicatif RDC +243</w:t>
      </w:r>
    </w:p>
    <w:p>
      <w:pPr>
        <w:pStyle w:val="ListBullet"/>
        <w:numPr>
          <w:ilvl w:val="0"/>
          <w:numId w:val="1"/>
        </w:numPr>
        <w:spacing w:before="0" w:after="20"/>
        <w:ind w:hanging="360" w:start="255"/>
        <w:contextualSpacing/>
        <w:rPr/>
      </w:pPr>
      <w:r>
        <w:rPr>
          <w:sz w:val="17"/>
        </w:rPr>
        <w:t>Téléphone officiel</w:t>
      </w:r>
    </w:p>
    <w:p>
      <w:pPr>
        <w:pStyle w:val="ListBullet"/>
        <w:numPr>
          <w:ilvl w:val="0"/>
          <w:numId w:val="1"/>
        </w:numPr>
        <w:spacing w:before="0" w:after="20"/>
        <w:ind w:hanging="360" w:start="255"/>
        <w:contextualSpacing/>
        <w:rPr/>
      </w:pPr>
      <w:r>
        <w:rPr>
          <w:sz w:val="17"/>
        </w:rPr>
        <w:t>Canal alternatif</w:t>
      </w:r>
    </w:p>
    <w:p>
      <w:pPr>
        <w:pStyle w:val="ListBullet"/>
        <w:numPr>
          <w:ilvl w:val="0"/>
          <w:numId w:val="1"/>
        </w:numPr>
        <w:spacing w:before="0" w:after="20"/>
        <w:ind w:hanging="360" w:start="255"/>
        <w:contextualSpacing/>
        <w:rPr/>
      </w:pPr>
      <w:r>
        <w:rPr>
          <w:sz w:val="17"/>
        </w:rPr>
        <w:t>Continuité de service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distingue clairement ce numéro des données de démonstration.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présence de plusieurs numéros améliore la continuité du service.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 numéro principal, le bandeau du site et les supports de communication.</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Numéro officiel « +243 997 712 645 » » ?</w:t>
      </w:r>
    </w:p>
    <w:p>
      <w:pPr>
        <w:pStyle w:val="Normal"/>
        <w:spacing w:before="0" w:after="30"/>
        <w:ind w:start="227"/>
        <w:rPr/>
      </w:pPr>
      <w:r>
        <w:rPr>
          <w:b/>
          <w:color w:val="D4A017"/>
          <w:sz w:val="16"/>
        </w:rPr>
        <w:t xml:space="preserve">Réponse : </w:t>
      </w:r>
      <w:r>
        <w:rPr>
          <w:color w:val="1F2937"/>
          <w:sz w:val="16"/>
        </w:rPr>
        <w:t>Le deuxième numéro affiché dans le pied de page est +243 997 712 645.</w:t>
      </w:r>
    </w:p>
    <w:p>
      <w:pPr>
        <w:pStyle w:val="Normal"/>
        <w:keepNext w:val="true"/>
        <w:keepLines/>
        <w:spacing w:before="30" w:after="0"/>
        <w:ind w:start="28"/>
        <w:rPr/>
      </w:pPr>
      <w:r>
        <w:rPr>
          <w:b/>
          <w:color w:val="0B3D91"/>
          <w:sz w:val="16"/>
        </w:rPr>
        <w:t>Q2. Quelle est l’idée centrale développée sous « Numéro officiel « +243 997 712 645 » » ?</w:t>
      </w:r>
    </w:p>
    <w:p>
      <w:pPr>
        <w:pStyle w:val="Normal"/>
        <w:spacing w:before="0" w:after="30"/>
        <w:ind w:start="227"/>
        <w:rPr/>
      </w:pPr>
      <w:r>
        <w:rPr>
          <w:b/>
          <w:color w:val="D4A017"/>
          <w:sz w:val="16"/>
        </w:rPr>
        <w:t xml:space="preserve">Réponse : </w:t>
      </w:r>
      <w:r>
        <w:rPr>
          <w:color w:val="1F2937"/>
          <w:sz w:val="16"/>
        </w:rPr>
        <w:t>Il constitue un autre canal téléphonique officiel de l’établissement.</w:t>
      </w:r>
    </w:p>
    <w:p>
      <w:pPr>
        <w:pStyle w:val="Normal"/>
        <w:keepNext w:val="true"/>
        <w:keepLines/>
        <w:spacing w:before="30" w:after="0"/>
        <w:ind w:start="28"/>
        <w:rPr/>
      </w:pPr>
      <w:r>
        <w:rPr>
          <w:b/>
          <w:color w:val="0B3D91"/>
          <w:sz w:val="16"/>
        </w:rPr>
        <w:t>Q3. Quels éléments précis sont associés à « Numéro officiel « +243 997 712 645 » » ?</w:t>
      </w:r>
    </w:p>
    <w:p>
      <w:pPr>
        <w:pStyle w:val="Normal"/>
        <w:spacing w:before="0" w:after="30"/>
        <w:ind w:start="227"/>
        <w:rPr/>
      </w:pPr>
      <w:r>
        <w:rPr>
          <w:b/>
          <w:color w:val="D4A017"/>
          <w:sz w:val="16"/>
        </w:rPr>
        <w:t xml:space="preserve">Réponse : </w:t>
      </w:r>
      <w:r>
        <w:rPr>
          <w:color w:val="1F2937"/>
          <w:sz w:val="16"/>
        </w:rPr>
        <w:t>Indicatif +243 et numéro 997 712 645.</w:t>
      </w:r>
    </w:p>
    <w:p>
      <w:pPr>
        <w:pStyle w:val="Normal"/>
        <w:keepNext w:val="true"/>
        <w:keepLines/>
        <w:spacing w:before="30" w:after="0"/>
        <w:ind w:start="28"/>
        <w:rPr/>
      </w:pPr>
      <w:r>
        <w:rPr>
          <w:b/>
          <w:color w:val="0B3D91"/>
          <w:sz w:val="16"/>
        </w:rPr>
        <w:t>Q4. Où « Numéro officiel « +243 997 712 645 » » apparaît-il dans le parcours de la page Contact ?</w:t>
      </w:r>
    </w:p>
    <w:p>
      <w:pPr>
        <w:pStyle w:val="Normal"/>
        <w:spacing w:before="0" w:after="30"/>
        <w:ind w:start="227"/>
        <w:rPr/>
      </w:pPr>
      <w:r>
        <w:rPr>
          <w:b/>
          <w:color w:val="D4A017"/>
          <w:sz w:val="16"/>
        </w:rPr>
        <w:t xml:space="preserve">Réponse : </w:t>
      </w:r>
      <w:r>
        <w:rPr>
          <w:color w:val="1F2937"/>
          <w:sz w:val="16"/>
        </w:rPr>
        <w:t>Dans le bloc « Nous contacter » du pied de page.</w:t>
      </w:r>
    </w:p>
    <w:p>
      <w:pPr>
        <w:pStyle w:val="Normal"/>
        <w:keepNext w:val="true"/>
        <w:keepLines/>
        <w:spacing w:before="30" w:after="0"/>
        <w:ind w:start="28"/>
        <w:rPr/>
      </w:pPr>
      <w:r>
        <w:rPr>
          <w:b/>
          <w:color w:val="0B3D91"/>
          <w:sz w:val="16"/>
        </w:rPr>
        <w:t>Q5. À quel public « Numéro officiel « +243 997 712 645 » » s’adresse-t-il ?</w:t>
      </w:r>
    </w:p>
    <w:p>
      <w:pPr>
        <w:pStyle w:val="Normal"/>
        <w:spacing w:before="0" w:after="30"/>
        <w:ind w:start="227"/>
        <w:rPr/>
      </w:pPr>
      <w:r>
        <w:rPr>
          <w:b/>
          <w:color w:val="D4A017"/>
          <w:sz w:val="16"/>
        </w:rPr>
        <w:t xml:space="preserve">Réponse : </w:t>
      </w:r>
      <w:r>
        <w:rPr>
          <w:color w:val="1F2937"/>
          <w:sz w:val="16"/>
        </w:rPr>
        <w:t>Familles, partenaires, visiteurs et usagers.</w:t>
      </w:r>
    </w:p>
    <w:p>
      <w:pPr>
        <w:pStyle w:val="Normal"/>
        <w:keepNext w:val="true"/>
        <w:keepLines/>
        <w:spacing w:before="30" w:after="0"/>
        <w:ind w:start="28"/>
        <w:rPr/>
      </w:pPr>
      <w:r>
        <w:rPr>
          <w:b/>
          <w:color w:val="0B3D91"/>
          <w:sz w:val="16"/>
        </w:rPr>
        <w:t>Q6. Quelle action le visiteur peut-il accomplir à partir de « Numéro officiel « +243 997 712 645 » » ?</w:t>
      </w:r>
    </w:p>
    <w:p>
      <w:pPr>
        <w:pStyle w:val="Normal"/>
        <w:spacing w:before="0" w:after="30"/>
        <w:ind w:start="227"/>
        <w:rPr/>
      </w:pPr>
      <w:r>
        <w:rPr>
          <w:b/>
          <w:color w:val="D4A017"/>
          <w:sz w:val="16"/>
        </w:rPr>
        <w:t xml:space="preserve">Réponse : </w:t>
      </w:r>
      <w:r>
        <w:rPr>
          <w:color w:val="1F2937"/>
          <w:sz w:val="16"/>
        </w:rPr>
        <w:t>Appeler l’école pour demander une information ou être orienté.</w:t>
      </w:r>
    </w:p>
    <w:p>
      <w:pPr>
        <w:pStyle w:val="Normal"/>
        <w:keepNext w:val="true"/>
        <w:keepLines/>
        <w:spacing w:before="30" w:after="0"/>
        <w:ind w:start="28"/>
        <w:rPr/>
      </w:pPr>
      <w:r>
        <w:rPr>
          <w:b/>
          <w:color w:val="0B3D91"/>
          <w:sz w:val="16"/>
        </w:rPr>
        <w:t>Q7. Quel canal ou moyen de contact est lié à « Numéro officiel « +243 997 712 645 » » ?</w:t>
      </w:r>
    </w:p>
    <w:p>
      <w:pPr>
        <w:pStyle w:val="Normal"/>
        <w:spacing w:before="0" w:after="30"/>
        <w:ind w:start="227"/>
        <w:rPr/>
      </w:pPr>
      <w:r>
        <w:rPr>
          <w:b/>
          <w:color w:val="D4A017"/>
          <w:sz w:val="16"/>
        </w:rPr>
        <w:t xml:space="preserve">Réponse : </w:t>
      </w:r>
      <w:r>
        <w:rPr>
          <w:color w:val="1F2937"/>
          <w:sz w:val="16"/>
        </w:rPr>
        <w:t>Téléphone.</w:t>
      </w:r>
    </w:p>
    <w:p>
      <w:pPr>
        <w:pStyle w:val="Normal"/>
        <w:keepNext w:val="true"/>
        <w:keepLines/>
        <w:spacing w:before="30" w:after="0"/>
        <w:ind w:start="28"/>
        <w:rPr/>
      </w:pPr>
      <w:r>
        <w:rPr>
          <w:b/>
          <w:color w:val="0B3D91"/>
          <w:sz w:val="16"/>
        </w:rPr>
        <w:t>Q8. Quel est le statut éditorial ou fonctionnel de « Numéro officiel « +243 997 712 645 » » sur le site inspecté ?</w:t>
      </w:r>
    </w:p>
    <w:p>
      <w:pPr>
        <w:pStyle w:val="Normal"/>
        <w:spacing w:before="0" w:after="30"/>
        <w:ind w:start="227"/>
        <w:rPr/>
      </w:pPr>
      <w:r>
        <w:rPr>
          <w:b/>
          <w:color w:val="D4A017"/>
          <w:sz w:val="16"/>
        </w:rPr>
        <w:t xml:space="preserve">Réponse : </w:t>
      </w:r>
      <w:r>
        <w:rPr>
          <w:color w:val="1F2937"/>
          <w:sz w:val="16"/>
        </w:rPr>
        <w:t>Numéro officiel publié.</w:t>
      </w:r>
    </w:p>
    <w:p>
      <w:pPr>
        <w:pStyle w:val="Normal"/>
        <w:keepNext w:val="true"/>
        <w:keepLines/>
        <w:spacing w:before="30" w:after="0"/>
        <w:ind w:start="28"/>
        <w:rPr/>
      </w:pPr>
      <w:r>
        <w:rPr>
          <w:b/>
          <w:color w:val="0B3D91"/>
          <w:sz w:val="16"/>
        </w:rPr>
        <w:t>Q9. Quelle limite ou précaution faut-il conserver à propos de « Numéro officiel « +243 997 712 645 » » ?</w:t>
      </w:r>
    </w:p>
    <w:p>
      <w:pPr>
        <w:pStyle w:val="Normal"/>
        <w:spacing w:before="0" w:after="30"/>
        <w:ind w:start="227"/>
        <w:rPr/>
      </w:pPr>
      <w:r>
        <w:rPr>
          <w:b/>
          <w:color w:val="D4A017"/>
          <w:sz w:val="16"/>
        </w:rPr>
        <w:t xml:space="preserve">Réponse : </w:t>
      </w:r>
      <w:r>
        <w:rPr>
          <w:color w:val="1F2937"/>
          <w:sz w:val="16"/>
        </w:rPr>
        <w:t>L’ordre des numéros doit être harmonisé selon le standard institutionnel défini.</w:t>
      </w:r>
    </w:p>
    <w:p>
      <w:pPr>
        <w:pStyle w:val="Normal"/>
        <w:keepNext w:val="true"/>
        <w:keepLines/>
        <w:spacing w:before="30" w:after="0"/>
        <w:ind w:start="28"/>
        <w:rPr/>
      </w:pPr>
      <w:r>
        <w:rPr>
          <w:b/>
          <w:color w:val="0B3D91"/>
          <w:sz w:val="16"/>
        </w:rPr>
        <w:t>Q10. Quelle réponse essentielle faut-il retenir au sujet de « Numéro officiel « +243 997 712 645 » » ?</w:t>
      </w:r>
    </w:p>
    <w:p>
      <w:pPr>
        <w:pStyle w:val="Normal"/>
        <w:spacing w:before="0" w:after="30"/>
        <w:ind w:start="227"/>
        <w:rPr/>
      </w:pPr>
      <w:r>
        <w:rPr>
          <w:b/>
          <w:color w:val="D4A017"/>
          <w:sz w:val="16"/>
        </w:rPr>
        <w:t xml:space="preserve">Réponse : </w:t>
      </w:r>
      <w:r>
        <w:rPr>
          <w:color w:val="1F2937"/>
          <w:sz w:val="16"/>
        </w:rPr>
        <w:t>+243 997 712 645 est un numéro officiel du GSE.</w:t>
      </w:r>
    </w:p>
    <w:p>
      <w:pPr>
        <w:pStyle w:val="Normal"/>
        <w:rPr/>
      </w:pPr>
      <w:r>
        <w:rPr/>
      </w:r>
      <w:r>
        <w:br w:type="page"/>
      </w:r>
    </w:p>
    <w:p>
      <w:pPr>
        <w:pStyle w:val="Heading1"/>
        <w:spacing w:before="0" w:after="100"/>
        <w:rPr/>
      </w:pPr>
      <w:r>
        <w:rPr/>
        <w:t>Fiche 29 — Numéro institutionnel « +243 817 792 448 » à harmoniser</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standard institutionnel du site comprend également le numéro +243 817 792 448, visible dans le bandeau de la page d’accueil, mais absent du pied de page de la page Contact inspectée.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Numéro officiel connu mais affichage incohérent selon les pages.</w:t>
            </w:r>
          </w:p>
        </w:tc>
      </w:tr>
    </w:tbl>
    <w:p>
      <w:pPr>
        <w:pStyle w:val="Normal"/>
        <w:spacing w:before="20" w:after="80"/>
        <w:rPr/>
      </w:pPr>
      <w:r>
        <w:rPr>
          <w:b/>
          <w:color w:val="0B3D91"/>
          <w:sz w:val="15"/>
        </w:rPr>
        <w:t xml:space="preserve">Source contrôlée : </w:t>
      </w:r>
      <w:r>
        <w:rPr>
          <w:color w:val="555555"/>
          <w:sz w:val="15"/>
        </w:rPr>
        <w:t>Référence institutionnelle et autres pages — https://test.gsleseminents.com/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Troisième numéro officiel</w:t>
      </w:r>
    </w:p>
    <w:p>
      <w:pPr>
        <w:pStyle w:val="ListBullet"/>
        <w:numPr>
          <w:ilvl w:val="0"/>
          <w:numId w:val="1"/>
        </w:numPr>
        <w:spacing w:before="0" w:after="20"/>
        <w:ind w:hanging="360" w:start="255"/>
        <w:contextualSpacing/>
        <w:rPr/>
      </w:pPr>
      <w:r>
        <w:rPr>
          <w:sz w:val="17"/>
        </w:rPr>
        <w:t>Visible ailleurs</w:t>
      </w:r>
    </w:p>
    <w:p>
      <w:pPr>
        <w:pStyle w:val="ListBullet"/>
        <w:numPr>
          <w:ilvl w:val="0"/>
          <w:numId w:val="1"/>
        </w:numPr>
        <w:spacing w:before="0" w:after="20"/>
        <w:ind w:hanging="360" w:start="255"/>
        <w:contextualSpacing/>
        <w:rPr/>
      </w:pPr>
      <w:r>
        <w:rPr>
          <w:sz w:val="17"/>
        </w:rPr>
        <w:t>Absent de la page Contact</w:t>
      </w:r>
    </w:p>
    <w:p>
      <w:pPr>
        <w:pStyle w:val="ListBullet"/>
        <w:numPr>
          <w:ilvl w:val="0"/>
          <w:numId w:val="1"/>
        </w:numPr>
        <w:spacing w:before="0" w:after="20"/>
        <w:ind w:hanging="360" w:start="255"/>
        <w:contextualSpacing/>
        <w:rPr/>
      </w:pPr>
      <w:r>
        <w:rPr>
          <w:sz w:val="17"/>
        </w:rPr>
        <w:t>Harmonisation requise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attire l’attention sur une donnée manquante.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L’harmonisation évite les contradictions et garantit une communication uniforme.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page d’accueil, bandeau supérieur, pied de page global et documents institutionnels.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Numéro institutionnel « +243 817 792 448 » à harmoniser » ?</w:t>
      </w:r>
    </w:p>
    <w:p>
      <w:pPr>
        <w:pStyle w:val="Normal"/>
        <w:spacing w:before="0" w:after="30"/>
        <w:ind w:start="227"/>
        <w:rPr/>
      </w:pPr>
      <w:r>
        <w:rPr>
          <w:b/>
          <w:color w:val="D4A017"/>
          <w:sz w:val="16"/>
        </w:rPr>
        <w:t xml:space="preserve">Réponse : </w:t>
      </w:r>
      <w:r>
        <w:rPr>
          <w:color w:val="1F2937"/>
          <w:sz w:val="16"/>
        </w:rPr>
        <w:t>Le standard institutionnel du site comprend également le numéro +243 817 792 448, visible dans le bandeau de la page d’accueil, mais absent du pied de page de la page Contact inspectée.</w:t>
      </w:r>
    </w:p>
    <w:p>
      <w:pPr>
        <w:pStyle w:val="Normal"/>
        <w:keepNext w:val="true"/>
        <w:keepLines/>
        <w:spacing w:before="30" w:after="0"/>
        <w:ind w:start="28"/>
        <w:rPr/>
      </w:pPr>
      <w:r>
        <w:rPr>
          <w:b/>
          <w:color w:val="0B3D91"/>
          <w:sz w:val="16"/>
        </w:rPr>
        <w:t>Q2. Quelle est l’idée centrale développée sous « Numéro institutionnel « +243 817 792 448 » à harmoniser » ?</w:t>
      </w:r>
    </w:p>
    <w:p>
      <w:pPr>
        <w:pStyle w:val="Normal"/>
        <w:spacing w:before="0" w:after="30"/>
        <w:ind w:start="227"/>
        <w:rPr/>
      </w:pPr>
      <w:r>
        <w:rPr>
          <w:b/>
          <w:color w:val="D4A017"/>
          <w:sz w:val="16"/>
        </w:rPr>
        <w:t xml:space="preserve">Réponse : </w:t>
      </w:r>
      <w:r>
        <w:rPr>
          <w:color w:val="1F2937"/>
          <w:sz w:val="16"/>
        </w:rPr>
        <w:t>Cette différence révèle une incohérence entre les pages qui doit être corrigée.</w:t>
      </w:r>
    </w:p>
    <w:p>
      <w:pPr>
        <w:pStyle w:val="Normal"/>
        <w:keepNext w:val="true"/>
        <w:keepLines/>
        <w:spacing w:before="30" w:after="0"/>
        <w:ind w:start="28"/>
        <w:rPr/>
      </w:pPr>
      <w:r>
        <w:rPr>
          <w:b/>
          <w:color w:val="0B3D91"/>
          <w:sz w:val="16"/>
        </w:rPr>
        <w:t>Q3. Quels éléments précis sont associés à « Numéro institutionnel « +243 817 792 448 » à harmoniser » ?</w:t>
      </w:r>
    </w:p>
    <w:p>
      <w:pPr>
        <w:pStyle w:val="Normal"/>
        <w:spacing w:before="0" w:after="30"/>
        <w:ind w:start="227"/>
        <w:rPr/>
      </w:pPr>
      <w:r>
        <w:rPr>
          <w:b/>
          <w:color w:val="D4A017"/>
          <w:sz w:val="16"/>
        </w:rPr>
        <w:t xml:space="preserve">Réponse : </w:t>
      </w:r>
      <w:r>
        <w:rPr>
          <w:color w:val="1F2937"/>
          <w:sz w:val="16"/>
        </w:rPr>
        <w:t>Troisième numéro officiel et absence dans le bloc Contact courant.</w:t>
      </w:r>
    </w:p>
    <w:p>
      <w:pPr>
        <w:pStyle w:val="Normal"/>
        <w:keepNext w:val="true"/>
        <w:keepLines/>
        <w:spacing w:before="30" w:after="0"/>
        <w:ind w:start="28"/>
        <w:rPr/>
      </w:pPr>
      <w:r>
        <w:rPr>
          <w:b/>
          <w:color w:val="0B3D91"/>
          <w:sz w:val="16"/>
        </w:rPr>
        <w:t>Q4. Où « Numéro institutionnel « +243 817 792 448 » à harmoniser » apparaît-il dans le parcours de la page Contact ?</w:t>
      </w:r>
    </w:p>
    <w:p>
      <w:pPr>
        <w:pStyle w:val="Normal"/>
        <w:spacing w:before="0" w:after="30"/>
        <w:ind w:start="227"/>
        <w:rPr/>
      </w:pPr>
      <w:r>
        <w:rPr>
          <w:b/>
          <w:color w:val="D4A017"/>
          <w:sz w:val="16"/>
        </w:rPr>
        <w:t xml:space="preserve">Réponse : </w:t>
      </w:r>
      <w:r>
        <w:rPr>
          <w:color w:val="1F2937"/>
          <w:sz w:val="16"/>
        </w:rPr>
        <w:t>Visible sur la page d’accueil et dans d’autres pieds de page, mais non dans le bloc principal de la page Contact.</w:t>
      </w:r>
    </w:p>
    <w:p>
      <w:pPr>
        <w:pStyle w:val="Normal"/>
        <w:keepNext w:val="true"/>
        <w:keepLines/>
        <w:spacing w:before="30" w:after="0"/>
        <w:ind w:start="28"/>
        <w:rPr/>
      </w:pPr>
      <w:r>
        <w:rPr>
          <w:b/>
          <w:color w:val="0B3D91"/>
          <w:sz w:val="16"/>
        </w:rPr>
        <w:t>Q5. À quel public « Numéro institutionnel « +243 817 792 448 » à harmoniser » s’adresse-t-il ?</w:t>
      </w:r>
    </w:p>
    <w:p>
      <w:pPr>
        <w:pStyle w:val="Normal"/>
        <w:spacing w:before="0" w:after="30"/>
        <w:ind w:start="227"/>
        <w:rPr/>
      </w:pPr>
      <w:r>
        <w:rPr>
          <w:b/>
          <w:color w:val="D4A017"/>
          <w:sz w:val="16"/>
        </w:rPr>
        <w:t xml:space="preserve">Réponse : </w:t>
      </w:r>
      <w:r>
        <w:rPr>
          <w:color w:val="1F2937"/>
          <w:sz w:val="16"/>
        </w:rPr>
        <w:t>Administrateurs du site et visiteurs ayant besoin de tous les canaux officiels.</w:t>
      </w:r>
    </w:p>
    <w:p>
      <w:pPr>
        <w:pStyle w:val="Normal"/>
        <w:keepNext w:val="true"/>
        <w:keepLines/>
        <w:spacing w:before="30" w:after="0"/>
        <w:ind w:start="28"/>
        <w:rPr/>
      </w:pPr>
      <w:r>
        <w:rPr>
          <w:b/>
          <w:color w:val="0B3D91"/>
          <w:sz w:val="16"/>
        </w:rPr>
        <w:t>Q6. Quelle action le visiteur peut-il accomplir à partir de « Numéro institutionnel « +243 817 792 448 » à harmoniser » ?</w:t>
      </w:r>
    </w:p>
    <w:p>
      <w:pPr>
        <w:pStyle w:val="Normal"/>
        <w:spacing w:before="0" w:after="30"/>
        <w:ind w:start="227"/>
        <w:rPr/>
      </w:pPr>
      <w:r>
        <w:rPr>
          <w:b/>
          <w:color w:val="D4A017"/>
          <w:sz w:val="16"/>
        </w:rPr>
        <w:t xml:space="preserve">Réponse : </w:t>
      </w:r>
      <w:r>
        <w:rPr>
          <w:color w:val="1F2937"/>
          <w:sz w:val="16"/>
        </w:rPr>
        <w:t>Utiliser ce numéro comme canal officiel lorsque publié et l’ajouter au bloc Contact harmonisé.</w:t>
      </w:r>
    </w:p>
    <w:p>
      <w:pPr>
        <w:pStyle w:val="Normal"/>
        <w:keepNext w:val="true"/>
        <w:keepLines/>
        <w:spacing w:before="30" w:after="0"/>
        <w:ind w:start="28"/>
        <w:rPr/>
      </w:pPr>
      <w:r>
        <w:rPr>
          <w:b/>
          <w:color w:val="0B3D91"/>
          <w:sz w:val="16"/>
        </w:rPr>
        <w:t>Q7. Quel canal ou moyen de contact est lié à « Numéro institutionnel « +243 817 792 448 » à harmoniser » ?</w:t>
      </w:r>
    </w:p>
    <w:p>
      <w:pPr>
        <w:pStyle w:val="Normal"/>
        <w:spacing w:before="0" w:after="30"/>
        <w:ind w:start="227"/>
        <w:rPr/>
      </w:pPr>
      <w:r>
        <w:rPr>
          <w:b/>
          <w:color w:val="D4A017"/>
          <w:sz w:val="16"/>
        </w:rPr>
        <w:t xml:space="preserve">Réponse : </w:t>
      </w:r>
      <w:r>
        <w:rPr>
          <w:color w:val="1F2937"/>
          <w:sz w:val="16"/>
        </w:rPr>
        <w:t>Téléphone.</w:t>
      </w:r>
    </w:p>
    <w:p>
      <w:pPr>
        <w:pStyle w:val="Normal"/>
        <w:keepNext w:val="true"/>
        <w:keepLines/>
        <w:spacing w:before="30" w:after="0"/>
        <w:ind w:start="28"/>
        <w:rPr/>
      </w:pPr>
      <w:r>
        <w:rPr>
          <w:b/>
          <w:color w:val="0B3D91"/>
          <w:sz w:val="16"/>
        </w:rPr>
        <w:t>Q8. Quel est le statut éditorial ou fonctionnel de « Numéro institutionnel « +243 817 792 448 » à harmoniser » sur le site inspecté ?</w:t>
      </w:r>
    </w:p>
    <w:p>
      <w:pPr>
        <w:pStyle w:val="Normal"/>
        <w:spacing w:before="0" w:after="30"/>
        <w:ind w:start="227"/>
        <w:rPr/>
      </w:pPr>
      <w:r>
        <w:rPr>
          <w:b/>
          <w:color w:val="D4A017"/>
          <w:sz w:val="16"/>
        </w:rPr>
        <w:t xml:space="preserve">Réponse : </w:t>
      </w:r>
      <w:r>
        <w:rPr>
          <w:color w:val="1F2937"/>
          <w:sz w:val="16"/>
        </w:rPr>
        <w:t>Numéro officiel connu mais affichage incohérent selon les pages.</w:t>
      </w:r>
    </w:p>
    <w:p>
      <w:pPr>
        <w:pStyle w:val="Normal"/>
        <w:keepNext w:val="true"/>
        <w:keepLines/>
        <w:spacing w:before="30" w:after="0"/>
        <w:ind w:start="28"/>
        <w:rPr/>
      </w:pPr>
      <w:r>
        <w:rPr>
          <w:b/>
          <w:color w:val="0B3D91"/>
          <w:sz w:val="16"/>
        </w:rPr>
        <w:t>Q9. Quelle limite ou précaution faut-il conserver à propos de « Numéro institutionnel « +243 817 792 448 » à harmoniser » ?</w:t>
      </w:r>
    </w:p>
    <w:p>
      <w:pPr>
        <w:pStyle w:val="Normal"/>
        <w:spacing w:before="0" w:after="30"/>
        <w:ind w:start="227"/>
        <w:rPr/>
      </w:pPr>
      <w:r>
        <w:rPr>
          <w:b/>
          <w:color w:val="D4A017"/>
          <w:sz w:val="16"/>
        </w:rPr>
        <w:t xml:space="preserve">Réponse : </w:t>
      </w:r>
      <w:r>
        <w:rPr>
          <w:color w:val="1F2937"/>
          <w:sz w:val="16"/>
        </w:rPr>
        <w:t>Ne pas confondre l’absence sur une page avec la suppression de la référence institutionnelle.</w:t>
      </w:r>
    </w:p>
    <w:p>
      <w:pPr>
        <w:pStyle w:val="Normal"/>
        <w:keepNext w:val="true"/>
        <w:keepLines/>
        <w:spacing w:before="30" w:after="0"/>
        <w:ind w:start="28"/>
        <w:rPr/>
      </w:pPr>
      <w:r>
        <w:rPr>
          <w:b/>
          <w:color w:val="0B3D91"/>
          <w:sz w:val="16"/>
        </w:rPr>
        <w:t>Q10. Quelle réponse essentielle faut-il retenir au sujet de « Numéro institutionnel « +243 817 792 448 » à harmoniser » ?</w:t>
      </w:r>
    </w:p>
    <w:p>
      <w:pPr>
        <w:pStyle w:val="Normal"/>
        <w:spacing w:before="0" w:after="30"/>
        <w:ind w:start="227"/>
        <w:rPr/>
      </w:pPr>
      <w:r>
        <w:rPr>
          <w:b/>
          <w:color w:val="D4A017"/>
          <w:sz w:val="16"/>
        </w:rPr>
        <w:t xml:space="preserve">Réponse : </w:t>
      </w:r>
      <w:r>
        <w:rPr>
          <w:color w:val="1F2937"/>
          <w:sz w:val="16"/>
        </w:rPr>
        <w:t>Le bloc Contact devrait afficher les trois numéros officiels dans l’ordre validé.</w:t>
      </w:r>
    </w:p>
    <w:p>
      <w:pPr>
        <w:pStyle w:val="Normal"/>
        <w:rPr/>
      </w:pPr>
      <w:r>
        <w:rPr/>
      </w:r>
      <w:r>
        <w:br w:type="page"/>
      </w:r>
    </w:p>
    <w:p>
      <w:pPr>
        <w:pStyle w:val="Heading1"/>
        <w:spacing w:before="0" w:after="100"/>
        <w:rPr/>
      </w:pPr>
      <w:r>
        <w:rPr/>
        <w:t>Fiche 30 — Adresse e-mail officielle « promotion@gsleseminents.com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L’adresse e-mail officielle affichée est promotion@gsleseminents.com.</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Adresse officielle publiée.</w:t>
            </w:r>
          </w:p>
        </w:tc>
      </w:tr>
    </w:tbl>
    <w:p>
      <w:pPr>
        <w:pStyle w:val="Normal"/>
        <w:spacing w:before="20" w:after="80"/>
        <w:rPr/>
      </w:pPr>
      <w:r>
        <w:rPr>
          <w:b/>
          <w:color w:val="0B3D91"/>
          <w:sz w:val="15"/>
        </w:rPr>
        <w:t xml:space="preserve">Source contrôlée : </w:t>
      </w:r>
      <w:r>
        <w:rPr>
          <w:color w:val="555555"/>
          <w:sz w:val="15"/>
        </w:rPr>
        <w:t>Bloc Nous contacter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Adresse officielle</w:t>
      </w:r>
    </w:p>
    <w:p>
      <w:pPr>
        <w:pStyle w:val="ListBullet"/>
        <w:numPr>
          <w:ilvl w:val="0"/>
          <w:numId w:val="1"/>
        </w:numPr>
        <w:spacing w:before="0" w:after="20"/>
        <w:ind w:hanging="360" w:start="255"/>
        <w:contextualSpacing/>
        <w:rPr/>
      </w:pPr>
      <w:r>
        <w:rPr>
          <w:sz w:val="17"/>
        </w:rPr>
        <w:t>Domaine institutionnel</w:t>
      </w:r>
    </w:p>
    <w:p>
      <w:pPr>
        <w:pStyle w:val="ListBullet"/>
        <w:numPr>
          <w:ilvl w:val="0"/>
          <w:numId w:val="1"/>
        </w:numPr>
        <w:spacing w:before="0" w:after="20"/>
        <w:ind w:hanging="360" w:start="255"/>
        <w:contextualSpacing/>
        <w:rPr/>
      </w:pPr>
      <w:r>
        <w:rPr>
          <w:sz w:val="17"/>
        </w:rPr>
        <w:t>Contact écrit</w:t>
      </w:r>
    </w:p>
    <w:p>
      <w:pPr>
        <w:pStyle w:val="ListBullet"/>
        <w:numPr>
          <w:ilvl w:val="0"/>
          <w:numId w:val="1"/>
        </w:numPr>
        <w:spacing w:before="0" w:after="20"/>
        <w:ind w:hanging="360" w:start="255"/>
        <w:contextualSpacing/>
        <w:rPr/>
      </w:pPr>
      <w:r>
        <w:rPr>
          <w:sz w:val="17"/>
        </w:rPr>
        <w:t>Traçabilité</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permet d’identifier la boîte de contact institutionnelle.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garantit une trace écrite et une réception sur le domaine de l’école.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le formulaire, la confidentialité, les admissions et les partenariats.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Adresse e-mail officielle « promotion@gsleseminents.com » » ?</w:t>
      </w:r>
    </w:p>
    <w:p>
      <w:pPr>
        <w:pStyle w:val="Normal"/>
        <w:spacing w:before="0" w:after="30"/>
        <w:ind w:start="227"/>
        <w:rPr/>
      </w:pPr>
      <w:r>
        <w:rPr>
          <w:b/>
          <w:color w:val="D4A017"/>
          <w:sz w:val="16"/>
        </w:rPr>
        <w:t xml:space="preserve">Réponse : </w:t>
      </w:r>
      <w:r>
        <w:rPr>
          <w:color w:val="1F2937"/>
          <w:sz w:val="16"/>
        </w:rPr>
        <w:t>L’adresse e-mail officielle affichée est promotion@gsleseminents.com.</w:t>
      </w:r>
    </w:p>
    <w:p>
      <w:pPr>
        <w:pStyle w:val="Normal"/>
        <w:keepNext w:val="true"/>
        <w:keepLines/>
        <w:spacing w:before="30" w:after="0"/>
        <w:ind w:start="28"/>
        <w:rPr/>
      </w:pPr>
      <w:r>
        <w:rPr>
          <w:b/>
          <w:color w:val="0B3D91"/>
          <w:sz w:val="16"/>
        </w:rPr>
        <w:t>Q2. Quelle est l’idée centrale développée sous « Adresse e-mail officielle « promotion@gsleseminents.com » » ?</w:t>
      </w:r>
    </w:p>
    <w:p>
      <w:pPr>
        <w:pStyle w:val="Normal"/>
        <w:spacing w:before="0" w:after="30"/>
        <w:ind w:start="227"/>
        <w:rPr/>
      </w:pPr>
      <w:r>
        <w:rPr>
          <w:b/>
          <w:color w:val="D4A017"/>
          <w:sz w:val="16"/>
        </w:rPr>
        <w:t xml:space="preserve">Réponse : </w:t>
      </w:r>
      <w:r>
        <w:rPr>
          <w:color w:val="1F2937"/>
          <w:sz w:val="16"/>
        </w:rPr>
        <w:t>Elle centralise les demandes écrites adressées à l’établissement.</w:t>
      </w:r>
    </w:p>
    <w:p>
      <w:pPr>
        <w:pStyle w:val="Normal"/>
        <w:keepNext w:val="true"/>
        <w:keepLines/>
        <w:spacing w:before="30" w:after="0"/>
        <w:ind w:start="28"/>
        <w:rPr/>
      </w:pPr>
      <w:r>
        <w:rPr>
          <w:b/>
          <w:color w:val="0B3D91"/>
          <w:sz w:val="16"/>
        </w:rPr>
        <w:t>Q3. Quels éléments précis sont associés à « Adresse e-mail officielle « promotion@gsleseminents.com » » ?</w:t>
      </w:r>
    </w:p>
    <w:p>
      <w:pPr>
        <w:pStyle w:val="Normal"/>
        <w:spacing w:before="0" w:after="30"/>
        <w:ind w:start="227"/>
        <w:rPr/>
      </w:pPr>
      <w:r>
        <w:rPr>
          <w:b/>
          <w:color w:val="D4A017"/>
          <w:sz w:val="16"/>
        </w:rPr>
        <w:t xml:space="preserve">Réponse : </w:t>
      </w:r>
      <w:r>
        <w:rPr>
          <w:color w:val="1F2937"/>
          <w:sz w:val="16"/>
        </w:rPr>
        <w:t>Boîte promotion et domaine gsleseminents.com.</w:t>
      </w:r>
    </w:p>
    <w:p>
      <w:pPr>
        <w:pStyle w:val="Normal"/>
        <w:keepNext w:val="true"/>
        <w:keepLines/>
        <w:spacing w:before="30" w:after="0"/>
        <w:ind w:start="28"/>
        <w:rPr/>
      </w:pPr>
      <w:r>
        <w:rPr>
          <w:b/>
          <w:color w:val="0B3D91"/>
          <w:sz w:val="16"/>
        </w:rPr>
        <w:t>Q4. Où « Adresse e-mail officielle « promotion@gsleseminents.com » » apparaît-il dans le parcours de la page Contact ?</w:t>
      </w:r>
    </w:p>
    <w:p>
      <w:pPr>
        <w:pStyle w:val="Normal"/>
        <w:spacing w:before="0" w:after="30"/>
        <w:ind w:start="227"/>
        <w:rPr/>
      </w:pPr>
      <w:r>
        <w:rPr>
          <w:b/>
          <w:color w:val="D4A017"/>
          <w:sz w:val="16"/>
        </w:rPr>
        <w:t xml:space="preserve">Réponse : </w:t>
      </w:r>
      <w:r>
        <w:rPr>
          <w:color w:val="1F2937"/>
          <w:sz w:val="16"/>
        </w:rPr>
        <w:t>Dans le bandeau supérieur de certaines pages et dans le bloc « Nous contacter ».</w:t>
      </w:r>
    </w:p>
    <w:p>
      <w:pPr>
        <w:pStyle w:val="Normal"/>
        <w:keepNext w:val="true"/>
        <w:keepLines/>
        <w:spacing w:before="30" w:after="0"/>
        <w:ind w:start="28"/>
        <w:rPr/>
      </w:pPr>
      <w:r>
        <w:rPr>
          <w:b/>
          <w:color w:val="0B3D91"/>
          <w:sz w:val="16"/>
        </w:rPr>
        <w:t>Q5. À quel public « Adresse e-mail officielle « promotion@gsleseminents.com » » s’adresse-t-il ?</w:t>
      </w:r>
    </w:p>
    <w:p>
      <w:pPr>
        <w:pStyle w:val="Normal"/>
        <w:spacing w:before="0" w:after="30"/>
        <w:ind w:start="227"/>
        <w:rPr/>
      </w:pPr>
      <w:r>
        <w:rPr>
          <w:b/>
          <w:color w:val="D4A017"/>
          <w:sz w:val="16"/>
        </w:rPr>
        <w:t xml:space="preserve">Réponse : </w:t>
      </w:r>
      <w:r>
        <w:rPr>
          <w:color w:val="1F2937"/>
          <w:sz w:val="16"/>
        </w:rPr>
        <w:t>Familles, visiteurs, partenaires, candidats et fournisseurs.</w:t>
      </w:r>
    </w:p>
    <w:p>
      <w:pPr>
        <w:pStyle w:val="Normal"/>
        <w:keepNext w:val="true"/>
        <w:keepLines/>
        <w:spacing w:before="30" w:after="0"/>
        <w:ind w:start="28"/>
        <w:rPr/>
      </w:pPr>
      <w:r>
        <w:rPr>
          <w:b/>
          <w:color w:val="0B3D91"/>
          <w:sz w:val="16"/>
        </w:rPr>
        <w:t>Q6. Quelle action le visiteur peut-il accomplir à partir de « Adresse e-mail officielle « promotion@gsleseminents.com » » ?</w:t>
      </w:r>
    </w:p>
    <w:p>
      <w:pPr>
        <w:pStyle w:val="Normal"/>
        <w:spacing w:before="0" w:after="30"/>
        <w:ind w:start="227"/>
        <w:rPr/>
      </w:pPr>
      <w:r>
        <w:rPr>
          <w:b/>
          <w:color w:val="D4A017"/>
          <w:sz w:val="16"/>
        </w:rPr>
        <w:t xml:space="preserve">Réponse : </w:t>
      </w:r>
      <w:r>
        <w:rPr>
          <w:color w:val="1F2937"/>
          <w:sz w:val="16"/>
        </w:rPr>
        <w:t>Envoyer une demande institutionnelle par courriel.</w:t>
      </w:r>
    </w:p>
    <w:p>
      <w:pPr>
        <w:pStyle w:val="Normal"/>
        <w:keepNext w:val="true"/>
        <w:keepLines/>
        <w:spacing w:before="30" w:after="0"/>
        <w:ind w:start="28"/>
        <w:rPr/>
      </w:pPr>
      <w:r>
        <w:rPr>
          <w:b/>
          <w:color w:val="0B3D91"/>
          <w:sz w:val="16"/>
        </w:rPr>
        <w:t>Q7. Quel canal ou moyen de contact est lié à « Adresse e-mail officielle « promotion@gsleseminents.com » » ?</w:t>
      </w:r>
    </w:p>
    <w:p>
      <w:pPr>
        <w:pStyle w:val="Normal"/>
        <w:spacing w:before="0" w:after="30"/>
        <w:ind w:start="227"/>
        <w:rPr/>
      </w:pPr>
      <w:r>
        <w:rPr>
          <w:b/>
          <w:color w:val="D4A017"/>
          <w:sz w:val="16"/>
        </w:rPr>
        <w:t xml:space="preserve">Réponse : </w:t>
      </w:r>
      <w:r>
        <w:rPr>
          <w:color w:val="1F2937"/>
          <w:sz w:val="16"/>
        </w:rPr>
        <w:t>Courrier électronique.</w:t>
      </w:r>
    </w:p>
    <w:p>
      <w:pPr>
        <w:pStyle w:val="Normal"/>
        <w:keepNext w:val="true"/>
        <w:keepLines/>
        <w:spacing w:before="30" w:after="0"/>
        <w:ind w:start="28"/>
        <w:rPr/>
      </w:pPr>
      <w:r>
        <w:rPr>
          <w:b/>
          <w:color w:val="0B3D91"/>
          <w:sz w:val="16"/>
        </w:rPr>
        <w:t>Q8. Quel est le statut éditorial ou fonctionnel de « Adresse e-mail officielle « promotion@gsleseminents.com » » sur le site inspecté ?</w:t>
      </w:r>
    </w:p>
    <w:p>
      <w:pPr>
        <w:pStyle w:val="Normal"/>
        <w:spacing w:before="0" w:after="30"/>
        <w:ind w:start="227"/>
        <w:rPr/>
      </w:pPr>
      <w:r>
        <w:rPr>
          <w:b/>
          <w:color w:val="D4A017"/>
          <w:sz w:val="16"/>
        </w:rPr>
        <w:t xml:space="preserve">Réponse : </w:t>
      </w:r>
      <w:r>
        <w:rPr>
          <w:color w:val="1F2937"/>
          <w:sz w:val="16"/>
        </w:rPr>
        <w:t>Adresse officielle publiée.</w:t>
      </w:r>
    </w:p>
    <w:p>
      <w:pPr>
        <w:pStyle w:val="Normal"/>
        <w:keepNext w:val="true"/>
        <w:keepLines/>
        <w:spacing w:before="30" w:after="0"/>
        <w:ind w:start="28"/>
        <w:rPr/>
      </w:pPr>
      <w:r>
        <w:rPr>
          <w:b/>
          <w:color w:val="0B3D91"/>
          <w:sz w:val="16"/>
        </w:rPr>
        <w:t>Q9. Quelle limite ou précaution faut-il conserver à propos de « Adresse e-mail officielle « promotion@gsleseminents.com » » ?</w:t>
      </w:r>
    </w:p>
    <w:p>
      <w:pPr>
        <w:pStyle w:val="Normal"/>
        <w:spacing w:before="0" w:after="30"/>
        <w:ind w:start="227"/>
        <w:rPr/>
      </w:pPr>
      <w:r>
        <w:rPr>
          <w:b/>
          <w:color w:val="D4A017"/>
          <w:sz w:val="16"/>
        </w:rPr>
        <w:t xml:space="preserve">Réponse : </w:t>
      </w:r>
      <w:r>
        <w:rPr>
          <w:color w:val="1F2937"/>
          <w:sz w:val="16"/>
        </w:rPr>
        <w:t>Les données sensibles ne doivent pas être transmises sans canal sécurisé ou instruction du personnel habilité.</w:t>
      </w:r>
    </w:p>
    <w:p>
      <w:pPr>
        <w:pStyle w:val="Normal"/>
        <w:keepNext w:val="true"/>
        <w:keepLines/>
        <w:spacing w:before="30" w:after="0"/>
        <w:ind w:start="28"/>
        <w:rPr/>
      </w:pPr>
      <w:r>
        <w:rPr>
          <w:b/>
          <w:color w:val="0B3D91"/>
          <w:sz w:val="16"/>
        </w:rPr>
        <w:t>Q10. Quelle réponse essentielle faut-il retenir au sujet de « Adresse e-mail officielle « promotion@gsleseminents.com » » ?</w:t>
      </w:r>
    </w:p>
    <w:p>
      <w:pPr>
        <w:pStyle w:val="Normal"/>
        <w:spacing w:before="0" w:after="30"/>
        <w:ind w:start="227"/>
        <w:rPr/>
      </w:pPr>
      <w:r>
        <w:rPr>
          <w:b/>
          <w:color w:val="D4A017"/>
          <w:sz w:val="16"/>
        </w:rPr>
        <w:t xml:space="preserve">Réponse : </w:t>
      </w:r>
      <w:r>
        <w:rPr>
          <w:color w:val="1F2937"/>
          <w:sz w:val="16"/>
        </w:rPr>
        <w:t>L’e-mail officiel du GSE est promotion@gsleseminents.com.</w:t>
      </w:r>
    </w:p>
    <w:p>
      <w:pPr>
        <w:pStyle w:val="Normal"/>
        <w:rPr/>
      </w:pPr>
      <w:r>
        <w:rPr/>
      </w:r>
      <w:r>
        <w:br w:type="page"/>
      </w:r>
    </w:p>
    <w:p>
      <w:pPr>
        <w:pStyle w:val="Heading1"/>
        <w:spacing w:before="0" w:after="100"/>
        <w:rPr/>
      </w:pPr>
      <w:r>
        <w:rPr/>
        <w:t>Fiche 31 — Lien « WhatsApp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 Nous contacter » comporte un lien WhatsApp associé au numéro +243 992 818 280.</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Lien fonctionnel publié.</w:t>
            </w:r>
          </w:p>
        </w:tc>
      </w:tr>
    </w:tbl>
    <w:p>
      <w:pPr>
        <w:pStyle w:val="Normal"/>
        <w:spacing w:before="20" w:after="80"/>
        <w:rPr/>
      </w:pPr>
      <w:r>
        <w:rPr>
          <w:b/>
          <w:color w:val="0B3D91"/>
          <w:sz w:val="15"/>
        </w:rPr>
        <w:t xml:space="preserve">Source contrôlée : </w:t>
      </w:r>
      <w:r>
        <w:rPr>
          <w:color w:val="555555"/>
          <w:sz w:val="15"/>
        </w:rPr>
        <w:t>Bloc Nous contacter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Lien wa.me</w:t>
      </w:r>
    </w:p>
    <w:p>
      <w:pPr>
        <w:pStyle w:val="ListBullet"/>
        <w:numPr>
          <w:ilvl w:val="0"/>
          <w:numId w:val="1"/>
        </w:numPr>
        <w:spacing w:before="0" w:after="20"/>
        <w:ind w:hanging="360" w:start="255"/>
        <w:contextualSpacing/>
        <w:rPr/>
      </w:pPr>
      <w:r>
        <w:rPr>
          <w:sz w:val="17"/>
        </w:rPr>
        <w:t>Numéro +243 992 818 280</w:t>
      </w:r>
    </w:p>
    <w:p>
      <w:pPr>
        <w:pStyle w:val="ListBullet"/>
        <w:numPr>
          <w:ilvl w:val="0"/>
          <w:numId w:val="1"/>
        </w:numPr>
        <w:spacing w:before="0" w:after="20"/>
        <w:ind w:hanging="360" w:start="255"/>
        <w:contextualSpacing/>
        <w:rPr/>
      </w:pPr>
      <w:r>
        <w:rPr>
          <w:sz w:val="17"/>
        </w:rPr>
        <w:t>Messagerie rapide</w:t>
      </w:r>
    </w:p>
    <w:p>
      <w:pPr>
        <w:pStyle w:val="ListBullet"/>
        <w:numPr>
          <w:ilvl w:val="0"/>
          <w:numId w:val="1"/>
        </w:numPr>
        <w:spacing w:before="0" w:after="20"/>
        <w:ind w:hanging="360" w:start="255"/>
        <w:contextualSpacing/>
        <w:rPr/>
      </w:pPr>
      <w:r>
        <w:rPr>
          <w:sz w:val="17"/>
        </w:rPr>
        <w:t>Prudence sur les données sensibles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un canal très utilisé et accessible localement.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accélère les échanges, les demandes de visite et les renseignements d’admission.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Téléphone, Admissions, Visite, Assistance humaine et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Lien « WhatsApp » » ?</w:t>
      </w:r>
    </w:p>
    <w:p>
      <w:pPr>
        <w:pStyle w:val="Normal"/>
        <w:spacing w:before="0" w:after="30"/>
        <w:ind w:start="227"/>
        <w:rPr/>
      </w:pPr>
      <w:r>
        <w:rPr>
          <w:b/>
          <w:color w:val="D4A017"/>
          <w:sz w:val="16"/>
        </w:rPr>
        <w:t xml:space="preserve">Réponse : </w:t>
      </w:r>
      <w:r>
        <w:rPr>
          <w:color w:val="1F2937"/>
          <w:sz w:val="16"/>
        </w:rPr>
        <w:t>Le bloc « Nous contacter » comporte un lien WhatsApp associé au numéro +243 992 818 280.</w:t>
      </w:r>
    </w:p>
    <w:p>
      <w:pPr>
        <w:pStyle w:val="Normal"/>
        <w:keepNext w:val="true"/>
        <w:keepLines/>
        <w:spacing w:before="30" w:after="0"/>
        <w:ind w:start="28"/>
        <w:rPr/>
      </w:pPr>
      <w:r>
        <w:rPr>
          <w:b/>
          <w:color w:val="0B3D91"/>
          <w:sz w:val="16"/>
        </w:rPr>
        <w:t>Q2. Quelle est l’idée centrale développée sous « Lien « WhatsApp » » ?</w:t>
      </w:r>
    </w:p>
    <w:p>
      <w:pPr>
        <w:pStyle w:val="Normal"/>
        <w:spacing w:before="0" w:after="30"/>
        <w:ind w:start="227"/>
        <w:rPr/>
      </w:pPr>
      <w:r>
        <w:rPr>
          <w:b/>
          <w:color w:val="D4A017"/>
          <w:sz w:val="16"/>
        </w:rPr>
        <w:t xml:space="preserve">Réponse : </w:t>
      </w:r>
      <w:r>
        <w:rPr>
          <w:color w:val="1F2937"/>
          <w:sz w:val="16"/>
        </w:rPr>
        <w:t>Il permet une prise de contact rapide depuis un téléphone ou un navigateur compatible.</w:t>
      </w:r>
    </w:p>
    <w:p>
      <w:pPr>
        <w:pStyle w:val="Normal"/>
        <w:keepNext w:val="true"/>
        <w:keepLines/>
        <w:spacing w:before="30" w:after="0"/>
        <w:ind w:start="28"/>
        <w:rPr/>
      </w:pPr>
      <w:r>
        <w:rPr>
          <w:b/>
          <w:color w:val="0B3D91"/>
          <w:sz w:val="16"/>
        </w:rPr>
        <w:t>Q3. Quels éléments précis sont associés à « Lien « WhatsApp » » ?</w:t>
      </w:r>
    </w:p>
    <w:p>
      <w:pPr>
        <w:pStyle w:val="Normal"/>
        <w:spacing w:before="0" w:after="30"/>
        <w:ind w:start="227"/>
        <w:rPr/>
      </w:pPr>
      <w:r>
        <w:rPr>
          <w:b/>
          <w:color w:val="D4A017"/>
          <w:sz w:val="16"/>
        </w:rPr>
        <w:t xml:space="preserve">Réponse : </w:t>
      </w:r>
      <w:r>
        <w:rPr>
          <w:color w:val="1F2937"/>
          <w:sz w:val="16"/>
        </w:rPr>
        <w:t>Lien wa.me et numéro 243992818280.</w:t>
      </w:r>
    </w:p>
    <w:p>
      <w:pPr>
        <w:pStyle w:val="Normal"/>
        <w:keepNext w:val="true"/>
        <w:keepLines/>
        <w:spacing w:before="30" w:after="0"/>
        <w:ind w:start="28"/>
        <w:rPr/>
      </w:pPr>
      <w:r>
        <w:rPr>
          <w:b/>
          <w:color w:val="0B3D91"/>
          <w:sz w:val="16"/>
        </w:rPr>
        <w:t>Q4. Où « Lien « WhatsApp » » apparaît-il dans le parcours de la page Contact ?</w:t>
      </w:r>
    </w:p>
    <w:p>
      <w:pPr>
        <w:pStyle w:val="Normal"/>
        <w:spacing w:before="0" w:after="30"/>
        <w:ind w:start="227"/>
        <w:rPr/>
      </w:pPr>
      <w:r>
        <w:rPr>
          <w:b/>
          <w:color w:val="D4A017"/>
          <w:sz w:val="16"/>
        </w:rPr>
        <w:t xml:space="preserve">Réponse : </w:t>
      </w:r>
      <w:r>
        <w:rPr>
          <w:color w:val="1F2937"/>
          <w:sz w:val="16"/>
        </w:rPr>
        <w:t>Sous l’adresse, les numéros et l’e-mail officiel.</w:t>
      </w:r>
    </w:p>
    <w:p>
      <w:pPr>
        <w:pStyle w:val="Normal"/>
        <w:keepNext w:val="true"/>
        <w:keepLines/>
        <w:spacing w:before="30" w:after="0"/>
        <w:ind w:start="28"/>
        <w:rPr/>
      </w:pPr>
      <w:r>
        <w:rPr>
          <w:b/>
          <w:color w:val="0B3D91"/>
          <w:sz w:val="16"/>
        </w:rPr>
        <w:t>Q5. À quel public « Lien « WhatsApp » » s’adresse-t-il ?</w:t>
      </w:r>
    </w:p>
    <w:p>
      <w:pPr>
        <w:pStyle w:val="Normal"/>
        <w:spacing w:before="0" w:after="30"/>
        <w:ind w:start="227"/>
        <w:rPr/>
      </w:pPr>
      <w:r>
        <w:rPr>
          <w:b/>
          <w:color w:val="D4A017"/>
          <w:sz w:val="16"/>
        </w:rPr>
        <w:t xml:space="preserve">Réponse : </w:t>
      </w:r>
      <w:r>
        <w:rPr>
          <w:color w:val="1F2937"/>
          <w:sz w:val="16"/>
        </w:rPr>
        <w:t>Familles et visiteurs utilisant WhatsApp.</w:t>
      </w:r>
    </w:p>
    <w:p>
      <w:pPr>
        <w:pStyle w:val="Normal"/>
        <w:keepNext w:val="true"/>
        <w:keepLines/>
        <w:spacing w:before="30" w:after="0"/>
        <w:ind w:start="28"/>
        <w:rPr/>
      </w:pPr>
      <w:r>
        <w:rPr>
          <w:b/>
          <w:color w:val="0B3D91"/>
          <w:sz w:val="16"/>
        </w:rPr>
        <w:t>Q6. Quelle action le visiteur peut-il accomplir à partir de « Lien « WhatsApp » » ?</w:t>
      </w:r>
    </w:p>
    <w:p>
      <w:pPr>
        <w:pStyle w:val="Normal"/>
        <w:spacing w:before="0" w:after="30"/>
        <w:ind w:start="227"/>
        <w:rPr/>
      </w:pPr>
      <w:r>
        <w:rPr>
          <w:b/>
          <w:color w:val="D4A017"/>
          <w:sz w:val="16"/>
        </w:rPr>
        <w:t xml:space="preserve">Réponse : </w:t>
      </w:r>
      <w:r>
        <w:rPr>
          <w:color w:val="1F2937"/>
          <w:sz w:val="16"/>
        </w:rPr>
        <w:t>Ouvrir une conversation avec le numéro institutionnel.</w:t>
      </w:r>
    </w:p>
    <w:p>
      <w:pPr>
        <w:pStyle w:val="Normal"/>
        <w:keepNext w:val="true"/>
        <w:keepLines/>
        <w:spacing w:before="30" w:after="0"/>
        <w:ind w:start="28"/>
        <w:rPr/>
      </w:pPr>
      <w:r>
        <w:rPr>
          <w:b/>
          <w:color w:val="0B3D91"/>
          <w:sz w:val="16"/>
        </w:rPr>
        <w:t>Q7. Quel canal ou moyen de contact est lié à « Lien « WhatsApp » » ?</w:t>
      </w:r>
    </w:p>
    <w:p>
      <w:pPr>
        <w:pStyle w:val="Normal"/>
        <w:spacing w:before="0" w:after="30"/>
        <w:ind w:start="227"/>
        <w:rPr/>
      </w:pPr>
      <w:r>
        <w:rPr>
          <w:b/>
          <w:color w:val="D4A017"/>
          <w:sz w:val="16"/>
        </w:rPr>
        <w:t xml:space="preserve">Réponse : </w:t>
      </w:r>
      <w:r>
        <w:rPr>
          <w:color w:val="1F2937"/>
          <w:sz w:val="16"/>
        </w:rPr>
        <w:t>Messagerie WhatsApp.</w:t>
      </w:r>
    </w:p>
    <w:p>
      <w:pPr>
        <w:pStyle w:val="Normal"/>
        <w:keepNext w:val="true"/>
        <w:keepLines/>
        <w:spacing w:before="30" w:after="0"/>
        <w:ind w:start="28"/>
        <w:rPr/>
      </w:pPr>
      <w:r>
        <w:rPr>
          <w:b/>
          <w:color w:val="0B3D91"/>
          <w:sz w:val="16"/>
        </w:rPr>
        <w:t>Q8. Quel est le statut éditorial ou fonctionnel de « Lien « WhatsApp » » sur le site inspecté ?</w:t>
      </w:r>
    </w:p>
    <w:p>
      <w:pPr>
        <w:pStyle w:val="Normal"/>
        <w:spacing w:before="0" w:after="30"/>
        <w:ind w:start="227"/>
        <w:rPr/>
      </w:pPr>
      <w:r>
        <w:rPr>
          <w:b/>
          <w:color w:val="D4A017"/>
          <w:sz w:val="16"/>
        </w:rPr>
        <w:t xml:space="preserve">Réponse : </w:t>
      </w:r>
      <w:r>
        <w:rPr>
          <w:color w:val="1F2937"/>
          <w:sz w:val="16"/>
        </w:rPr>
        <w:t>Lien fonctionnel publié.</w:t>
      </w:r>
    </w:p>
    <w:p>
      <w:pPr>
        <w:pStyle w:val="Normal"/>
        <w:keepNext w:val="true"/>
        <w:keepLines/>
        <w:spacing w:before="30" w:after="0"/>
        <w:ind w:start="28"/>
        <w:rPr/>
      </w:pPr>
      <w:r>
        <w:rPr>
          <w:b/>
          <w:color w:val="0B3D91"/>
          <w:sz w:val="16"/>
        </w:rPr>
        <w:t>Q9. Quelle limite ou précaution faut-il conserver à propos de « Lien « WhatsApp » » ?</w:t>
      </w:r>
    </w:p>
    <w:p>
      <w:pPr>
        <w:pStyle w:val="Normal"/>
        <w:spacing w:before="0" w:after="30"/>
        <w:ind w:start="227"/>
        <w:rPr/>
      </w:pPr>
      <w:r>
        <w:rPr>
          <w:b/>
          <w:color w:val="D4A017"/>
          <w:sz w:val="16"/>
        </w:rPr>
        <w:t xml:space="preserve">Réponse : </w:t>
      </w:r>
      <w:r>
        <w:rPr>
          <w:color w:val="1F2937"/>
          <w:sz w:val="16"/>
        </w:rPr>
        <w:t>WhatsApp ne doit pas servir à envoyer des mots de passe, données médicales ou informations financières sensibles sans procédure sécurisée.</w:t>
      </w:r>
    </w:p>
    <w:p>
      <w:pPr>
        <w:pStyle w:val="Normal"/>
        <w:keepNext w:val="true"/>
        <w:keepLines/>
        <w:spacing w:before="30" w:after="0"/>
        <w:ind w:start="28"/>
        <w:rPr/>
      </w:pPr>
      <w:r>
        <w:rPr>
          <w:b/>
          <w:color w:val="0B3D91"/>
          <w:sz w:val="16"/>
        </w:rPr>
        <w:t>Q10. Quelle réponse essentielle faut-il retenir au sujet de « Lien « WhatsApp » » ?</w:t>
      </w:r>
    </w:p>
    <w:p>
      <w:pPr>
        <w:pStyle w:val="Normal"/>
        <w:spacing w:before="0" w:after="30"/>
        <w:ind w:start="227"/>
        <w:rPr/>
      </w:pPr>
      <w:r>
        <w:rPr>
          <w:b/>
          <w:color w:val="D4A017"/>
          <w:sz w:val="16"/>
        </w:rPr>
        <w:t xml:space="preserve">Réponse : </w:t>
      </w:r>
      <w:r>
        <w:rPr>
          <w:color w:val="1F2937"/>
          <w:sz w:val="16"/>
        </w:rPr>
        <w:t>Le lien WhatsApp dirige vers le numéro +243 992 818 280.</w:t>
      </w:r>
    </w:p>
    <w:p>
      <w:pPr>
        <w:pStyle w:val="Normal"/>
        <w:rPr/>
      </w:pPr>
      <w:r>
        <w:rPr/>
      </w:r>
      <w:r>
        <w:br w:type="page"/>
      </w:r>
    </w:p>
    <w:p>
      <w:pPr>
        <w:pStyle w:val="Heading1"/>
        <w:spacing w:before="0" w:after="100"/>
        <w:rPr/>
      </w:pPr>
      <w:r>
        <w:rPr/>
        <w:t>Fiche 32 — Lien « Planifier une visite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pied de page présente un lien « Planifier une visite » qui renvoie vers la page Contact.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Lien publié, mais aucune procédure détaillée de rendez-vous n’est encore affichée dans le corps principal.</w:t>
            </w:r>
          </w:p>
        </w:tc>
      </w:tr>
    </w:tbl>
    <w:p>
      <w:pPr>
        <w:pStyle w:val="Normal"/>
        <w:spacing w:before="20" w:after="80"/>
        <w:rPr/>
      </w:pPr>
      <w:r>
        <w:rPr>
          <w:b/>
          <w:color w:val="0B3D91"/>
          <w:sz w:val="15"/>
        </w:rPr>
        <w:t xml:space="preserve">Source contrôlée : </w:t>
      </w:r>
      <w:r>
        <w:rPr>
          <w:color w:val="555555"/>
          <w:sz w:val="15"/>
        </w:rPr>
        <w:t>Bloc Admissions du pied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Découverte du campus</w:t>
      </w:r>
    </w:p>
    <w:p>
      <w:pPr>
        <w:pStyle w:val="ListBullet"/>
        <w:numPr>
          <w:ilvl w:val="0"/>
          <w:numId w:val="1"/>
        </w:numPr>
        <w:spacing w:before="0" w:after="20"/>
        <w:ind w:hanging="360" w:start="255"/>
        <w:contextualSpacing/>
        <w:rPr/>
      </w:pPr>
      <w:r>
        <w:rPr>
          <w:sz w:val="17"/>
        </w:rPr>
        <w:t>Lien vers Contact</w:t>
      </w:r>
    </w:p>
    <w:p>
      <w:pPr>
        <w:pStyle w:val="ListBullet"/>
        <w:numPr>
          <w:ilvl w:val="0"/>
          <w:numId w:val="1"/>
        </w:numPr>
        <w:spacing w:before="0" w:after="20"/>
        <w:ind w:hanging="360" w:start="255"/>
        <w:contextualSpacing/>
        <w:rPr/>
      </w:pPr>
      <w:r>
        <w:rPr>
          <w:sz w:val="17"/>
        </w:rPr>
        <w:t>Prise de rendez-vous</w:t>
      </w:r>
    </w:p>
    <w:p>
      <w:pPr>
        <w:pStyle w:val="ListBullet"/>
        <w:numPr>
          <w:ilvl w:val="0"/>
          <w:numId w:val="1"/>
        </w:numPr>
        <w:spacing w:before="0" w:after="20"/>
        <w:ind w:hanging="360" w:start="255"/>
        <w:contextualSpacing/>
        <w:rPr/>
      </w:pPr>
      <w:r>
        <w:rPr>
          <w:sz w:val="17"/>
        </w:rPr>
        <w:t>Confirmation humaine nécessaire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transforme la visite en action explicite.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La visite aide les familles à comprendre les infrastructures, les programmes et l’environnement éducatif.</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Infrastructures, Santé et sécurité, Adresse et ÉMINA.</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Lien « Planifier une visite » » ?</w:t>
      </w:r>
    </w:p>
    <w:p>
      <w:pPr>
        <w:pStyle w:val="Normal"/>
        <w:spacing w:before="0" w:after="30"/>
        <w:ind w:start="227"/>
        <w:rPr/>
      </w:pPr>
      <w:r>
        <w:rPr>
          <w:b/>
          <w:color w:val="D4A017"/>
          <w:sz w:val="16"/>
        </w:rPr>
        <w:t xml:space="preserve">Réponse : </w:t>
      </w:r>
      <w:r>
        <w:rPr>
          <w:color w:val="1F2937"/>
          <w:sz w:val="16"/>
        </w:rPr>
        <w:t>Le pied de page présente un lien « Planifier une visite » qui renvoie vers la page Contact.</w:t>
      </w:r>
    </w:p>
    <w:p>
      <w:pPr>
        <w:pStyle w:val="Normal"/>
        <w:keepNext w:val="true"/>
        <w:keepLines/>
        <w:spacing w:before="30" w:after="0"/>
        <w:ind w:start="28"/>
        <w:rPr/>
      </w:pPr>
      <w:r>
        <w:rPr>
          <w:b/>
          <w:color w:val="0B3D91"/>
          <w:sz w:val="16"/>
        </w:rPr>
        <w:t>Q2. Quelle est l’idée centrale développée sous « Lien « Planifier une visite » » ?</w:t>
      </w:r>
    </w:p>
    <w:p>
      <w:pPr>
        <w:pStyle w:val="Normal"/>
        <w:spacing w:before="0" w:after="30"/>
        <w:ind w:start="227"/>
        <w:rPr/>
      </w:pPr>
      <w:r>
        <w:rPr>
          <w:b/>
          <w:color w:val="D4A017"/>
          <w:sz w:val="16"/>
        </w:rPr>
        <w:t xml:space="preserve">Réponse : </w:t>
      </w:r>
      <w:r>
        <w:rPr>
          <w:color w:val="1F2937"/>
          <w:sz w:val="16"/>
        </w:rPr>
        <w:t>La visite est intégrée au parcours d’admission et de découverte de l’école.</w:t>
      </w:r>
    </w:p>
    <w:p>
      <w:pPr>
        <w:pStyle w:val="Normal"/>
        <w:keepNext w:val="true"/>
        <w:keepLines/>
        <w:spacing w:before="30" w:after="0"/>
        <w:ind w:start="28"/>
        <w:rPr/>
      </w:pPr>
      <w:r>
        <w:rPr>
          <w:b/>
          <w:color w:val="0B3D91"/>
          <w:sz w:val="16"/>
        </w:rPr>
        <w:t>Q3. Quels éléments précis sont associés à « Lien « Planifier une visite » » ?</w:t>
      </w:r>
    </w:p>
    <w:p>
      <w:pPr>
        <w:pStyle w:val="Normal"/>
        <w:spacing w:before="0" w:after="30"/>
        <w:ind w:start="227"/>
        <w:rPr/>
      </w:pPr>
      <w:r>
        <w:rPr>
          <w:b/>
          <w:color w:val="D4A017"/>
          <w:sz w:val="16"/>
        </w:rPr>
        <w:t xml:space="preserve">Réponse : </w:t>
      </w:r>
      <w:r>
        <w:rPr>
          <w:color w:val="1F2937"/>
          <w:sz w:val="16"/>
        </w:rPr>
        <w:t>Lien de visite dans le bloc Admissions.</w:t>
      </w:r>
    </w:p>
    <w:p>
      <w:pPr>
        <w:pStyle w:val="Normal"/>
        <w:keepNext w:val="true"/>
        <w:keepLines/>
        <w:spacing w:before="30" w:after="0"/>
        <w:ind w:start="28"/>
        <w:rPr/>
      </w:pPr>
      <w:r>
        <w:rPr>
          <w:b/>
          <w:color w:val="0B3D91"/>
          <w:sz w:val="16"/>
        </w:rPr>
        <w:t>Q4. Où « Lien « Planifier une visite » » apparaît-il dans le parcours de la page Contact ?</w:t>
      </w:r>
    </w:p>
    <w:p>
      <w:pPr>
        <w:pStyle w:val="Normal"/>
        <w:spacing w:before="0" w:after="30"/>
        <w:ind w:start="227"/>
        <w:rPr/>
      </w:pPr>
      <w:r>
        <w:rPr>
          <w:b/>
          <w:color w:val="D4A017"/>
          <w:sz w:val="16"/>
        </w:rPr>
        <w:t xml:space="preserve">Réponse : </w:t>
      </w:r>
      <w:r>
        <w:rPr>
          <w:color w:val="1F2937"/>
          <w:sz w:val="16"/>
        </w:rPr>
        <w:t>Dans le pied de page de la page Contact et d’autres pages de l’ancien gabarit.</w:t>
      </w:r>
    </w:p>
    <w:p>
      <w:pPr>
        <w:pStyle w:val="Normal"/>
        <w:keepNext w:val="true"/>
        <w:keepLines/>
        <w:spacing w:before="30" w:after="0"/>
        <w:ind w:start="28"/>
        <w:rPr/>
      </w:pPr>
      <w:r>
        <w:rPr>
          <w:b/>
          <w:color w:val="0B3D91"/>
          <w:sz w:val="16"/>
        </w:rPr>
        <w:t>Q5. À quel public « Lien « Planifier une visite » » s’adresse-t-il ?</w:t>
      </w:r>
    </w:p>
    <w:p>
      <w:pPr>
        <w:pStyle w:val="Normal"/>
        <w:spacing w:before="0" w:after="30"/>
        <w:ind w:start="227"/>
        <w:rPr/>
      </w:pPr>
      <w:r>
        <w:rPr>
          <w:b/>
          <w:color w:val="D4A017"/>
          <w:sz w:val="16"/>
        </w:rPr>
        <w:t xml:space="preserve">Réponse : </w:t>
      </w:r>
      <w:r>
        <w:rPr>
          <w:color w:val="1F2937"/>
          <w:sz w:val="16"/>
        </w:rPr>
        <w:t>Familles intéressées par l’établissement et partenaires souhaitant découvrir le campus.</w:t>
      </w:r>
    </w:p>
    <w:p>
      <w:pPr>
        <w:pStyle w:val="Normal"/>
        <w:keepNext w:val="true"/>
        <w:keepLines/>
        <w:spacing w:before="30" w:after="0"/>
        <w:ind w:start="28"/>
        <w:rPr/>
      </w:pPr>
      <w:r>
        <w:rPr>
          <w:b/>
          <w:color w:val="0B3D91"/>
          <w:sz w:val="16"/>
        </w:rPr>
        <w:t>Q6. Quelle action le visiteur peut-il accomplir à partir de « Lien « Planifier une visite » » ?</w:t>
      </w:r>
    </w:p>
    <w:p>
      <w:pPr>
        <w:pStyle w:val="Normal"/>
        <w:spacing w:before="0" w:after="30"/>
        <w:ind w:start="227"/>
        <w:rPr/>
      </w:pPr>
      <w:r>
        <w:rPr>
          <w:b/>
          <w:color w:val="D4A017"/>
          <w:sz w:val="16"/>
        </w:rPr>
        <w:t xml:space="preserve">Réponse : </w:t>
      </w:r>
      <w:r>
        <w:rPr>
          <w:color w:val="1F2937"/>
          <w:sz w:val="16"/>
        </w:rPr>
        <w:t>Demander un rendez-vous ou utiliser les coordonnées pour convenir d’une visite.</w:t>
      </w:r>
    </w:p>
    <w:p>
      <w:pPr>
        <w:pStyle w:val="Normal"/>
        <w:keepNext w:val="true"/>
        <w:keepLines/>
        <w:spacing w:before="30" w:after="0"/>
        <w:ind w:start="28"/>
        <w:rPr/>
      </w:pPr>
      <w:r>
        <w:rPr>
          <w:b/>
          <w:color w:val="0B3D91"/>
          <w:sz w:val="16"/>
        </w:rPr>
        <w:t>Q7. Quel canal ou moyen de contact est lié à « Lien « Planifier une visite » » ?</w:t>
      </w:r>
    </w:p>
    <w:p>
      <w:pPr>
        <w:pStyle w:val="Normal"/>
        <w:spacing w:before="0" w:after="30"/>
        <w:ind w:start="227"/>
        <w:rPr/>
      </w:pPr>
      <w:r>
        <w:rPr>
          <w:b/>
          <w:color w:val="D4A017"/>
          <w:sz w:val="16"/>
        </w:rPr>
        <w:t xml:space="preserve">Réponse : </w:t>
      </w:r>
      <w:r>
        <w:rPr>
          <w:color w:val="1F2937"/>
          <w:sz w:val="16"/>
        </w:rPr>
        <w:t>Page Contact, téléphone, e-mail, WhatsApp ou accueil humain.</w:t>
      </w:r>
    </w:p>
    <w:p>
      <w:pPr>
        <w:pStyle w:val="Normal"/>
        <w:keepNext w:val="true"/>
        <w:keepLines/>
        <w:spacing w:before="30" w:after="0"/>
        <w:ind w:start="28"/>
        <w:rPr/>
      </w:pPr>
      <w:r>
        <w:rPr>
          <w:b/>
          <w:color w:val="0B3D91"/>
          <w:sz w:val="16"/>
        </w:rPr>
        <w:t>Q8. Quel est le statut éditorial ou fonctionnel de « Lien « Planifier une visite » » sur le site inspecté ?</w:t>
      </w:r>
    </w:p>
    <w:p>
      <w:pPr>
        <w:pStyle w:val="Normal"/>
        <w:spacing w:before="0" w:after="30"/>
        <w:ind w:start="227"/>
        <w:rPr/>
      </w:pPr>
      <w:r>
        <w:rPr>
          <w:b/>
          <w:color w:val="D4A017"/>
          <w:sz w:val="16"/>
        </w:rPr>
        <w:t xml:space="preserve">Réponse : </w:t>
      </w:r>
      <w:r>
        <w:rPr>
          <w:color w:val="1F2937"/>
          <w:sz w:val="16"/>
        </w:rPr>
        <w:t>Lien publié, mais aucune procédure détaillée de rendez-vous n’est encore affichée dans le corps principal.</w:t>
      </w:r>
    </w:p>
    <w:p>
      <w:pPr>
        <w:pStyle w:val="Normal"/>
        <w:keepNext w:val="true"/>
        <w:keepLines/>
        <w:spacing w:before="30" w:after="0"/>
        <w:ind w:start="28"/>
        <w:rPr/>
      </w:pPr>
      <w:r>
        <w:rPr>
          <w:b/>
          <w:color w:val="0B3D91"/>
          <w:sz w:val="16"/>
        </w:rPr>
        <w:t>Q9. Quelle limite ou précaution faut-il conserver à propos de « Lien « Planifier une visite » » ?</w:t>
      </w:r>
    </w:p>
    <w:p>
      <w:pPr>
        <w:pStyle w:val="Normal"/>
        <w:spacing w:before="0" w:after="30"/>
        <w:ind w:start="227"/>
        <w:rPr/>
      </w:pPr>
      <w:r>
        <w:rPr>
          <w:b/>
          <w:color w:val="D4A017"/>
          <w:sz w:val="16"/>
        </w:rPr>
        <w:t xml:space="preserve">Réponse : </w:t>
      </w:r>
      <w:r>
        <w:rPr>
          <w:color w:val="1F2937"/>
          <w:sz w:val="16"/>
        </w:rPr>
        <w:t>La visite doit être confirmée par l’équipe ; le lien seul ne constitue pas un rendez-vous validé.</w:t>
      </w:r>
    </w:p>
    <w:p>
      <w:pPr>
        <w:pStyle w:val="Normal"/>
        <w:keepNext w:val="true"/>
        <w:keepLines/>
        <w:spacing w:before="30" w:after="0"/>
        <w:ind w:start="28"/>
        <w:rPr/>
      </w:pPr>
      <w:r>
        <w:rPr>
          <w:b/>
          <w:color w:val="0B3D91"/>
          <w:sz w:val="16"/>
        </w:rPr>
        <w:t>Q10. Quelle réponse essentielle faut-il retenir au sujet de « Lien « Planifier une visite » » ?</w:t>
      </w:r>
    </w:p>
    <w:p>
      <w:pPr>
        <w:pStyle w:val="Normal"/>
        <w:spacing w:before="0" w:after="30"/>
        <w:ind w:start="227"/>
        <w:rPr/>
      </w:pPr>
      <w:r>
        <w:rPr>
          <w:b/>
          <w:color w:val="D4A017"/>
          <w:sz w:val="16"/>
        </w:rPr>
        <w:t xml:space="preserve">Réponse : </w:t>
      </w:r>
      <w:r>
        <w:rPr>
          <w:color w:val="1F2937"/>
          <w:sz w:val="16"/>
        </w:rPr>
        <w:t>La page Contact sert aussi à organiser une visite du campus.</w:t>
      </w:r>
    </w:p>
    <w:p>
      <w:pPr>
        <w:pStyle w:val="Normal"/>
        <w:rPr/>
      </w:pPr>
      <w:r>
        <w:rPr/>
      </w:r>
      <w:r>
        <w:br w:type="page"/>
      </w:r>
    </w:p>
    <w:p>
      <w:pPr>
        <w:pStyle w:val="Heading1"/>
        <w:spacing w:before="0" w:after="100"/>
        <w:rPr/>
      </w:pPr>
      <w:r>
        <w:rPr/>
        <w:t>Fiche 33 — Lien « Assistance » ou « Assistance humaine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pied de page associe la page Contact à un lien d’assistance, présenté comme « Assistance » sur la page inspectée et « Assistance humaine » sur d’autres pages du site.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Lien de service publié mais libellé non totalement harmonisé.</w:t>
            </w:r>
          </w:p>
        </w:tc>
      </w:tr>
    </w:tbl>
    <w:p>
      <w:pPr>
        <w:pStyle w:val="Normal"/>
        <w:spacing w:before="20" w:after="80"/>
        <w:rPr/>
      </w:pPr>
      <w:r>
        <w:rPr>
          <w:b/>
          <w:color w:val="0B3D91"/>
          <w:sz w:val="15"/>
        </w:rPr>
        <w:t xml:space="preserve">Source contrôlée : </w:t>
      </w:r>
      <w:r>
        <w:rPr>
          <w:color w:val="555555"/>
          <w:sz w:val="15"/>
        </w:rPr>
        <w:t>Pied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Recours humain</w:t>
      </w:r>
    </w:p>
    <w:p>
      <w:pPr>
        <w:pStyle w:val="ListBullet"/>
        <w:numPr>
          <w:ilvl w:val="0"/>
          <w:numId w:val="1"/>
        </w:numPr>
        <w:spacing w:before="0" w:after="20"/>
        <w:ind w:hanging="360" w:start="255"/>
        <w:contextualSpacing/>
        <w:rPr/>
      </w:pPr>
      <w:r>
        <w:rPr>
          <w:sz w:val="17"/>
        </w:rPr>
        <w:t>Orientation</w:t>
      </w:r>
    </w:p>
    <w:p>
      <w:pPr>
        <w:pStyle w:val="ListBullet"/>
        <w:numPr>
          <w:ilvl w:val="0"/>
          <w:numId w:val="1"/>
        </w:numPr>
        <w:spacing w:before="0" w:after="20"/>
        <w:ind w:hanging="360" w:start="255"/>
        <w:contextualSpacing/>
        <w:rPr/>
      </w:pPr>
      <w:r>
        <w:rPr>
          <w:sz w:val="17"/>
        </w:rPr>
        <w:t>Situations sensibles</w:t>
      </w:r>
    </w:p>
    <w:p>
      <w:pPr>
        <w:pStyle w:val="ListBullet"/>
        <w:numPr>
          <w:ilvl w:val="0"/>
          <w:numId w:val="1"/>
        </w:numPr>
        <w:spacing w:before="0" w:after="20"/>
        <w:ind w:hanging="360" w:start="255"/>
        <w:contextualSpacing/>
        <w:rPr/>
      </w:pPr>
      <w:r>
        <w:rPr>
          <w:sz w:val="17"/>
        </w:rPr>
        <w:t>Complément d’ÉMINA</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garantit une possibilité de recours humain.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protège les familles contre l’automatisation excessive et renforce la responsabilité institutionnelle.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ÉMINA, Contact, Admissions, Confidentialité et services compétents.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Lien « Assistance » ou « Assistance humaine » » ?</w:t>
      </w:r>
    </w:p>
    <w:p>
      <w:pPr>
        <w:pStyle w:val="Normal"/>
        <w:spacing w:before="0" w:after="30"/>
        <w:ind w:start="227"/>
        <w:rPr/>
      </w:pPr>
      <w:r>
        <w:rPr>
          <w:b/>
          <w:color w:val="D4A017"/>
          <w:sz w:val="16"/>
        </w:rPr>
        <w:t xml:space="preserve">Réponse : </w:t>
      </w:r>
      <w:r>
        <w:rPr>
          <w:color w:val="1F2937"/>
          <w:sz w:val="16"/>
        </w:rPr>
        <w:t>Le pied de page associe la page Contact à un lien d’assistance, présenté comme « Assistance » sur la page inspectée et « Assistance humaine » sur d’autres pages du site.</w:t>
      </w:r>
    </w:p>
    <w:p>
      <w:pPr>
        <w:pStyle w:val="Normal"/>
        <w:keepNext w:val="true"/>
        <w:keepLines/>
        <w:spacing w:before="30" w:after="0"/>
        <w:ind w:start="28"/>
        <w:rPr/>
      </w:pPr>
      <w:r>
        <w:rPr>
          <w:b/>
          <w:color w:val="0B3D91"/>
          <w:sz w:val="16"/>
        </w:rPr>
        <w:t>Q2. Quelle est l’idée centrale développée sous « Lien « Assistance » ou « Assistance humaine » » ?</w:t>
      </w:r>
    </w:p>
    <w:p>
      <w:pPr>
        <w:pStyle w:val="Normal"/>
        <w:spacing w:before="0" w:after="30"/>
        <w:ind w:start="227"/>
        <w:rPr/>
      </w:pPr>
      <w:r>
        <w:rPr>
          <w:b/>
          <w:color w:val="D4A017"/>
          <w:sz w:val="16"/>
        </w:rPr>
        <w:t xml:space="preserve">Réponse : </w:t>
      </w:r>
      <w:r>
        <w:rPr>
          <w:color w:val="1F2937"/>
          <w:sz w:val="16"/>
        </w:rPr>
        <w:t>Ce lien rappelle qu’un interlocuteur humain doit rester disponible pour les demandes nécessitant une prise en charge réelle.</w:t>
      </w:r>
    </w:p>
    <w:p>
      <w:pPr>
        <w:pStyle w:val="Normal"/>
        <w:keepNext w:val="true"/>
        <w:keepLines/>
        <w:spacing w:before="30" w:after="0"/>
        <w:ind w:start="28"/>
        <w:rPr/>
      </w:pPr>
      <w:r>
        <w:rPr>
          <w:b/>
          <w:color w:val="0B3D91"/>
          <w:sz w:val="16"/>
        </w:rPr>
        <w:t>Q3. Quels éléments précis sont associés à « Lien « Assistance » ou « Assistance humaine » » ?</w:t>
      </w:r>
    </w:p>
    <w:p>
      <w:pPr>
        <w:pStyle w:val="Normal"/>
        <w:spacing w:before="0" w:after="30"/>
        <w:ind w:start="227"/>
        <w:rPr/>
      </w:pPr>
      <w:r>
        <w:rPr>
          <w:b/>
          <w:color w:val="D4A017"/>
          <w:sz w:val="16"/>
        </w:rPr>
        <w:t xml:space="preserve">Réponse : </w:t>
      </w:r>
      <w:r>
        <w:rPr>
          <w:color w:val="1F2937"/>
          <w:sz w:val="16"/>
        </w:rPr>
        <w:t>Assistance, orientation et recours à un membre du personnel.</w:t>
      </w:r>
    </w:p>
    <w:p>
      <w:pPr>
        <w:pStyle w:val="Normal"/>
        <w:keepNext w:val="true"/>
        <w:keepLines/>
        <w:spacing w:before="30" w:after="0"/>
        <w:ind w:start="28"/>
        <w:rPr/>
      </w:pPr>
      <w:r>
        <w:rPr>
          <w:b/>
          <w:color w:val="0B3D91"/>
          <w:sz w:val="16"/>
        </w:rPr>
        <w:t>Q4. Où « Lien « Assistance » ou « Assistance humaine » » apparaît-il dans le parcours de la page Contact ?</w:t>
      </w:r>
    </w:p>
    <w:p>
      <w:pPr>
        <w:pStyle w:val="Normal"/>
        <w:spacing w:before="0" w:after="30"/>
        <w:ind w:start="227"/>
        <w:rPr/>
      </w:pPr>
      <w:r>
        <w:rPr>
          <w:b/>
          <w:color w:val="D4A017"/>
          <w:sz w:val="16"/>
        </w:rPr>
        <w:t xml:space="preserve">Réponse : </w:t>
      </w:r>
      <w:r>
        <w:rPr>
          <w:color w:val="1F2937"/>
          <w:sz w:val="16"/>
        </w:rPr>
        <w:t>À côté du lien Confidentialité dans le pied de page.</w:t>
      </w:r>
    </w:p>
    <w:p>
      <w:pPr>
        <w:pStyle w:val="Normal"/>
        <w:keepNext w:val="true"/>
        <w:keepLines/>
        <w:spacing w:before="30" w:after="0"/>
        <w:ind w:start="28"/>
        <w:rPr/>
      </w:pPr>
      <w:r>
        <w:rPr>
          <w:b/>
          <w:color w:val="0B3D91"/>
          <w:sz w:val="16"/>
        </w:rPr>
        <w:t>Q5. À quel public « Lien « Assistance » ou « Assistance humaine » » s’adresse-t-il ?</w:t>
      </w:r>
    </w:p>
    <w:p>
      <w:pPr>
        <w:pStyle w:val="Normal"/>
        <w:spacing w:before="0" w:after="30"/>
        <w:ind w:start="227"/>
        <w:rPr/>
      </w:pPr>
      <w:r>
        <w:rPr>
          <w:b/>
          <w:color w:val="D4A017"/>
          <w:sz w:val="16"/>
        </w:rPr>
        <w:t xml:space="preserve">Réponse : </w:t>
      </w:r>
      <w:r>
        <w:rPr>
          <w:color w:val="1F2937"/>
          <w:sz w:val="16"/>
        </w:rPr>
        <w:t>Visiteurs qui ne trouvent pas la réponse, rencontrent une difficulté ou ont une demande sensible.</w:t>
      </w:r>
    </w:p>
    <w:p>
      <w:pPr>
        <w:pStyle w:val="Normal"/>
        <w:keepNext w:val="true"/>
        <w:keepLines/>
        <w:spacing w:before="30" w:after="0"/>
        <w:ind w:start="28"/>
        <w:rPr/>
      </w:pPr>
      <w:r>
        <w:rPr>
          <w:b/>
          <w:color w:val="0B3D91"/>
          <w:sz w:val="16"/>
        </w:rPr>
        <w:t>Q6. Quelle action le visiteur peut-il accomplir à partir de « Lien « Assistance » ou « Assistance humaine » » ?</w:t>
      </w:r>
    </w:p>
    <w:p>
      <w:pPr>
        <w:pStyle w:val="Normal"/>
        <w:spacing w:before="0" w:after="30"/>
        <w:ind w:start="227"/>
        <w:rPr/>
      </w:pPr>
      <w:r>
        <w:rPr>
          <w:b/>
          <w:color w:val="D4A017"/>
          <w:sz w:val="16"/>
        </w:rPr>
        <w:t xml:space="preserve">Réponse : </w:t>
      </w:r>
      <w:r>
        <w:rPr>
          <w:color w:val="1F2937"/>
          <w:sz w:val="16"/>
        </w:rPr>
        <w:t>Solliciter un agent compétent.</w:t>
      </w:r>
    </w:p>
    <w:p>
      <w:pPr>
        <w:pStyle w:val="Normal"/>
        <w:keepNext w:val="true"/>
        <w:keepLines/>
        <w:spacing w:before="30" w:after="0"/>
        <w:ind w:start="28"/>
        <w:rPr/>
      </w:pPr>
      <w:r>
        <w:rPr>
          <w:b/>
          <w:color w:val="0B3D91"/>
          <w:sz w:val="16"/>
        </w:rPr>
        <w:t>Q7. Quel canal ou moyen de contact est lié à « Lien « Assistance » ou « Assistance humaine » » ?</w:t>
      </w:r>
    </w:p>
    <w:p>
      <w:pPr>
        <w:pStyle w:val="Normal"/>
        <w:spacing w:before="0" w:after="30"/>
        <w:ind w:start="227"/>
        <w:rPr/>
      </w:pPr>
      <w:r>
        <w:rPr>
          <w:b/>
          <w:color w:val="D4A017"/>
          <w:sz w:val="16"/>
        </w:rPr>
        <w:t xml:space="preserve">Réponse : </w:t>
      </w:r>
      <w:r>
        <w:rPr>
          <w:color w:val="1F2937"/>
          <w:sz w:val="16"/>
        </w:rPr>
        <w:t>Téléphone, e-mail, WhatsApp, accueil ou service concerné.</w:t>
      </w:r>
    </w:p>
    <w:p>
      <w:pPr>
        <w:pStyle w:val="Normal"/>
        <w:keepNext w:val="true"/>
        <w:keepLines/>
        <w:spacing w:before="30" w:after="0"/>
        <w:ind w:start="28"/>
        <w:rPr/>
      </w:pPr>
      <w:r>
        <w:rPr>
          <w:b/>
          <w:color w:val="0B3D91"/>
          <w:sz w:val="16"/>
        </w:rPr>
        <w:t>Q8. Quel est le statut éditorial ou fonctionnel de « Lien « Assistance » ou « Assistance humaine » » sur le site inspecté ?</w:t>
      </w:r>
    </w:p>
    <w:p>
      <w:pPr>
        <w:pStyle w:val="Normal"/>
        <w:spacing w:before="0" w:after="30"/>
        <w:ind w:start="227"/>
        <w:rPr/>
      </w:pPr>
      <w:r>
        <w:rPr>
          <w:b/>
          <w:color w:val="D4A017"/>
          <w:sz w:val="16"/>
        </w:rPr>
        <w:t xml:space="preserve">Réponse : </w:t>
      </w:r>
      <w:r>
        <w:rPr>
          <w:color w:val="1F2937"/>
          <w:sz w:val="16"/>
        </w:rPr>
        <w:t>Lien de service publié mais libellé non totalement harmonisé.</w:t>
      </w:r>
    </w:p>
    <w:p>
      <w:pPr>
        <w:pStyle w:val="Normal"/>
        <w:keepNext w:val="true"/>
        <w:keepLines/>
        <w:spacing w:before="30" w:after="0"/>
        <w:ind w:start="28"/>
        <w:rPr/>
      </w:pPr>
      <w:r>
        <w:rPr>
          <w:b/>
          <w:color w:val="0B3D91"/>
          <w:sz w:val="16"/>
        </w:rPr>
        <w:t>Q9. Quelle limite ou précaution faut-il conserver à propos de « Lien « Assistance » ou « Assistance humaine » » ?</w:t>
      </w:r>
    </w:p>
    <w:p>
      <w:pPr>
        <w:pStyle w:val="Normal"/>
        <w:spacing w:before="0" w:after="30"/>
        <w:ind w:start="227"/>
        <w:rPr/>
      </w:pPr>
      <w:r>
        <w:rPr>
          <w:b/>
          <w:color w:val="D4A017"/>
          <w:sz w:val="16"/>
        </w:rPr>
        <w:t xml:space="preserve">Réponse : </w:t>
      </w:r>
      <w:r>
        <w:rPr>
          <w:color w:val="1F2937"/>
          <w:sz w:val="16"/>
        </w:rPr>
        <w:t>ÉMINA ne remplace pas le personnel habilité et les décisions sensibles doivent rester humaines.</w:t>
      </w:r>
    </w:p>
    <w:p>
      <w:pPr>
        <w:pStyle w:val="Normal"/>
        <w:keepNext w:val="true"/>
        <w:keepLines/>
        <w:spacing w:before="30" w:after="0"/>
        <w:ind w:start="28"/>
        <w:rPr/>
      </w:pPr>
      <w:r>
        <w:rPr>
          <w:b/>
          <w:color w:val="0B3D91"/>
          <w:sz w:val="16"/>
        </w:rPr>
        <w:t>Q10. Quelle réponse essentielle faut-il retenir au sujet de « Lien « Assistance » ou « Assistance humaine » » ?</w:t>
      </w:r>
    </w:p>
    <w:p>
      <w:pPr>
        <w:pStyle w:val="Normal"/>
        <w:spacing w:before="0" w:after="30"/>
        <w:ind w:start="227"/>
        <w:rPr/>
      </w:pPr>
      <w:r>
        <w:rPr>
          <w:b/>
          <w:color w:val="D4A017"/>
          <w:sz w:val="16"/>
        </w:rPr>
        <w:t xml:space="preserve">Réponse : </w:t>
      </w:r>
      <w:r>
        <w:rPr>
          <w:color w:val="1F2937"/>
          <w:sz w:val="16"/>
        </w:rPr>
        <w:t>L’assistance humaine complète les outils numériques et prend en charge les situations nécessitant jugement ou validation.</w:t>
      </w:r>
    </w:p>
    <w:p>
      <w:pPr>
        <w:pStyle w:val="Normal"/>
        <w:rPr/>
      </w:pPr>
      <w:r>
        <w:rPr/>
      </w:r>
      <w:r>
        <w:br w:type="page"/>
      </w:r>
    </w:p>
    <w:p>
      <w:pPr>
        <w:pStyle w:val="Heading1"/>
        <w:spacing w:before="0" w:after="100"/>
        <w:rPr/>
      </w:pPr>
      <w:r>
        <w:rPr/>
        <w:t>Fiche 34 — Accès « Espace Parents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Un accès « Espace Parents » est visible dans l’en-tête et dans les services essentiels de certaines pages.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Accès publié ; le portail complet est annoncé comme devant être relié au serveur central GSE.</w:t>
            </w:r>
          </w:p>
        </w:tc>
      </w:tr>
    </w:tbl>
    <w:p>
      <w:pPr>
        <w:pStyle w:val="Normal"/>
        <w:spacing w:before="20" w:after="80"/>
        <w:rPr/>
      </w:pPr>
      <w:r>
        <w:rPr>
          <w:b/>
          <w:color w:val="0B3D91"/>
          <w:sz w:val="15"/>
        </w:rPr>
        <w:t xml:space="preserve">Source contrôlée : </w:t>
      </w:r>
      <w:r>
        <w:rPr>
          <w:color w:val="555555"/>
          <w:sz w:val="15"/>
        </w:rPr>
        <w:t>En-tête et navigation — https://test.gsleseminents.com/espace-parents/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Portail réservé</w:t>
      </w:r>
    </w:p>
    <w:p>
      <w:pPr>
        <w:pStyle w:val="ListBullet"/>
        <w:numPr>
          <w:ilvl w:val="0"/>
          <w:numId w:val="1"/>
        </w:numPr>
        <w:spacing w:before="0" w:after="20"/>
        <w:ind w:hanging="360" w:start="255"/>
        <w:contextualSpacing/>
        <w:rPr/>
      </w:pPr>
      <w:r>
        <w:rPr>
          <w:sz w:val="17"/>
        </w:rPr>
        <w:t>Suivi des enfants</w:t>
      </w:r>
    </w:p>
    <w:p>
      <w:pPr>
        <w:pStyle w:val="ListBullet"/>
        <w:numPr>
          <w:ilvl w:val="0"/>
          <w:numId w:val="1"/>
        </w:numPr>
        <w:spacing w:before="0" w:after="20"/>
        <w:ind w:hanging="360" w:start="255"/>
        <w:contextualSpacing/>
        <w:rPr/>
      </w:pPr>
      <w:r>
        <w:rPr>
          <w:sz w:val="17"/>
        </w:rPr>
        <w:t>Informations autorisées</w:t>
      </w:r>
    </w:p>
    <w:p>
      <w:pPr>
        <w:pStyle w:val="ListBullet"/>
        <w:numPr>
          <w:ilvl w:val="0"/>
          <w:numId w:val="1"/>
        </w:numPr>
        <w:spacing w:before="0" w:after="20"/>
        <w:ind w:hanging="360" w:start="255"/>
        <w:contextualSpacing/>
        <w:rPr/>
      </w:pPr>
      <w:r>
        <w:rPr>
          <w:sz w:val="17"/>
        </w:rPr>
        <w:t>Activation progressive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distingue le contact général du suivi sécurisé des familles.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réduit les déplacements inutiles et renforce la communication école-famille.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Contact, Admissions, ÉMINA, Finances, Santé et Confidentialité.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Accès « Espace Parents » » ?</w:t>
      </w:r>
    </w:p>
    <w:p>
      <w:pPr>
        <w:pStyle w:val="Normal"/>
        <w:spacing w:before="0" w:after="30"/>
        <w:ind w:start="227"/>
        <w:rPr/>
      </w:pPr>
      <w:r>
        <w:rPr>
          <w:b/>
          <w:color w:val="D4A017"/>
          <w:sz w:val="16"/>
        </w:rPr>
        <w:t xml:space="preserve">Réponse : </w:t>
      </w:r>
      <w:r>
        <w:rPr>
          <w:color w:val="1F2937"/>
          <w:sz w:val="16"/>
        </w:rPr>
        <w:t>Un accès « Espace Parents » est visible dans l’en-tête et dans les services essentiels de certaines pages.</w:t>
      </w:r>
    </w:p>
    <w:p>
      <w:pPr>
        <w:pStyle w:val="Normal"/>
        <w:keepNext w:val="true"/>
        <w:keepLines/>
        <w:spacing w:before="30" w:after="0"/>
        <w:ind w:start="28"/>
        <w:rPr/>
      </w:pPr>
      <w:r>
        <w:rPr>
          <w:b/>
          <w:color w:val="0B3D91"/>
          <w:sz w:val="16"/>
        </w:rPr>
        <w:t>Q2. Quelle est l’idée centrale développée sous « Accès « Espace Parents » » ?</w:t>
      </w:r>
    </w:p>
    <w:p>
      <w:pPr>
        <w:pStyle w:val="Normal"/>
        <w:spacing w:before="0" w:after="30"/>
        <w:ind w:start="227"/>
        <w:rPr/>
      </w:pPr>
      <w:r>
        <w:rPr>
          <w:b/>
          <w:color w:val="D4A017"/>
          <w:sz w:val="16"/>
        </w:rPr>
        <w:t xml:space="preserve">Réponse : </w:t>
      </w:r>
      <w:r>
        <w:rPr>
          <w:color w:val="1F2937"/>
          <w:sz w:val="16"/>
        </w:rPr>
        <w:t>Il oriente les familles déjà liées à l’école vers un espace numérique dédié.</w:t>
      </w:r>
    </w:p>
    <w:p>
      <w:pPr>
        <w:pStyle w:val="Normal"/>
        <w:keepNext w:val="true"/>
        <w:keepLines/>
        <w:spacing w:before="30" w:after="0"/>
        <w:ind w:start="28"/>
        <w:rPr/>
      </w:pPr>
      <w:r>
        <w:rPr>
          <w:b/>
          <w:color w:val="0B3D91"/>
          <w:sz w:val="16"/>
        </w:rPr>
        <w:t>Q3. Quels éléments précis sont associés à « Accès « Espace Parents » » ?</w:t>
      </w:r>
    </w:p>
    <w:p>
      <w:pPr>
        <w:pStyle w:val="Normal"/>
        <w:spacing w:before="0" w:after="30"/>
        <w:ind w:start="227"/>
        <w:rPr/>
      </w:pPr>
      <w:r>
        <w:rPr>
          <w:b/>
          <w:color w:val="D4A017"/>
          <w:sz w:val="16"/>
        </w:rPr>
        <w:t xml:space="preserve">Réponse : </w:t>
      </w:r>
      <w:r>
        <w:rPr>
          <w:color w:val="1F2937"/>
          <w:sz w:val="16"/>
        </w:rPr>
        <w:t>Informations, présences, devoirs, paiements, notifications et sortie sécurisée selon les habilitations.</w:t>
      </w:r>
    </w:p>
    <w:p>
      <w:pPr>
        <w:pStyle w:val="Normal"/>
        <w:keepNext w:val="true"/>
        <w:keepLines/>
        <w:spacing w:before="30" w:after="0"/>
        <w:ind w:start="28"/>
        <w:rPr/>
      </w:pPr>
      <w:r>
        <w:rPr>
          <w:b/>
          <w:color w:val="0B3D91"/>
          <w:sz w:val="16"/>
        </w:rPr>
        <w:t>Q4. Où « Accès « Espace Parents » » apparaît-il dans le parcours de la page Contact ?</w:t>
      </w:r>
    </w:p>
    <w:p>
      <w:pPr>
        <w:pStyle w:val="Normal"/>
        <w:spacing w:before="0" w:after="30"/>
        <w:ind w:start="227"/>
        <w:rPr/>
      </w:pPr>
      <w:r>
        <w:rPr>
          <w:b/>
          <w:color w:val="D4A017"/>
          <w:sz w:val="16"/>
        </w:rPr>
        <w:t xml:space="preserve">Réponse : </w:t>
      </w:r>
      <w:r>
        <w:rPr>
          <w:color w:val="1F2937"/>
          <w:sz w:val="16"/>
        </w:rPr>
        <w:t>Dans l’en-tête du site et les services essentiels du pied de page.</w:t>
      </w:r>
    </w:p>
    <w:p>
      <w:pPr>
        <w:pStyle w:val="Normal"/>
        <w:keepNext w:val="true"/>
        <w:keepLines/>
        <w:spacing w:before="30" w:after="0"/>
        <w:ind w:start="28"/>
        <w:rPr/>
      </w:pPr>
      <w:r>
        <w:rPr>
          <w:b/>
          <w:color w:val="0B3D91"/>
          <w:sz w:val="16"/>
        </w:rPr>
        <w:t>Q5. À quel public « Accès « Espace Parents » » s’adresse-t-il ?</w:t>
      </w:r>
    </w:p>
    <w:p>
      <w:pPr>
        <w:pStyle w:val="Normal"/>
        <w:spacing w:before="0" w:after="30"/>
        <w:ind w:start="227"/>
        <w:rPr/>
      </w:pPr>
      <w:r>
        <w:rPr>
          <w:b/>
          <w:color w:val="D4A017"/>
          <w:sz w:val="16"/>
        </w:rPr>
        <w:t xml:space="preserve">Réponse : </w:t>
      </w:r>
      <w:r>
        <w:rPr>
          <w:color w:val="1F2937"/>
          <w:sz w:val="16"/>
        </w:rPr>
        <w:t>Parents et responsables légaux.</w:t>
      </w:r>
    </w:p>
    <w:p>
      <w:pPr>
        <w:pStyle w:val="Normal"/>
        <w:keepNext w:val="true"/>
        <w:keepLines/>
        <w:spacing w:before="30" w:after="0"/>
        <w:ind w:start="28"/>
        <w:rPr/>
      </w:pPr>
      <w:r>
        <w:rPr>
          <w:b/>
          <w:color w:val="0B3D91"/>
          <w:sz w:val="16"/>
        </w:rPr>
        <w:t>Q6. Quelle action le visiteur peut-il accomplir à partir de « Accès « Espace Parents » » ?</w:t>
      </w:r>
    </w:p>
    <w:p>
      <w:pPr>
        <w:pStyle w:val="Normal"/>
        <w:spacing w:before="0" w:after="30"/>
        <w:ind w:start="227"/>
        <w:rPr/>
      </w:pPr>
      <w:r>
        <w:rPr>
          <w:b/>
          <w:color w:val="D4A017"/>
          <w:sz w:val="16"/>
        </w:rPr>
        <w:t xml:space="preserve">Réponse : </w:t>
      </w:r>
      <w:r>
        <w:rPr>
          <w:color w:val="1F2937"/>
          <w:sz w:val="16"/>
        </w:rPr>
        <w:t>Accéder aux informations autorisées de leurs propres enfants lorsque le portail est activé.</w:t>
      </w:r>
    </w:p>
    <w:p>
      <w:pPr>
        <w:pStyle w:val="Normal"/>
        <w:keepNext w:val="true"/>
        <w:keepLines/>
        <w:spacing w:before="30" w:after="0"/>
        <w:ind w:start="28"/>
        <w:rPr/>
      </w:pPr>
      <w:r>
        <w:rPr>
          <w:b/>
          <w:color w:val="0B3D91"/>
          <w:sz w:val="16"/>
        </w:rPr>
        <w:t>Q7. Quel canal ou moyen de contact est lié à « Accès « Espace Parents » » ?</w:t>
      </w:r>
    </w:p>
    <w:p>
      <w:pPr>
        <w:pStyle w:val="Normal"/>
        <w:spacing w:before="0" w:after="30"/>
        <w:ind w:start="227"/>
        <w:rPr/>
      </w:pPr>
      <w:r>
        <w:rPr>
          <w:b/>
          <w:color w:val="D4A017"/>
          <w:sz w:val="16"/>
        </w:rPr>
        <w:t xml:space="preserve">Réponse : </w:t>
      </w:r>
      <w:r>
        <w:rPr>
          <w:color w:val="1F2937"/>
          <w:sz w:val="16"/>
        </w:rPr>
        <w:t>Portail Parents et canaux officiels de l’école.</w:t>
      </w:r>
    </w:p>
    <w:p>
      <w:pPr>
        <w:pStyle w:val="Normal"/>
        <w:keepNext w:val="true"/>
        <w:keepLines/>
        <w:spacing w:before="30" w:after="0"/>
        <w:ind w:start="28"/>
        <w:rPr/>
      </w:pPr>
      <w:r>
        <w:rPr>
          <w:b/>
          <w:color w:val="0B3D91"/>
          <w:sz w:val="16"/>
        </w:rPr>
        <w:t>Q8. Quel est le statut éditorial ou fonctionnel de « Accès « Espace Parents » » sur le site inspecté ?</w:t>
      </w:r>
    </w:p>
    <w:p>
      <w:pPr>
        <w:pStyle w:val="Normal"/>
        <w:spacing w:before="0" w:after="30"/>
        <w:ind w:start="227"/>
        <w:rPr/>
      </w:pPr>
      <w:r>
        <w:rPr>
          <w:b/>
          <w:color w:val="D4A017"/>
          <w:sz w:val="16"/>
        </w:rPr>
        <w:t xml:space="preserve">Réponse : </w:t>
      </w:r>
      <w:r>
        <w:rPr>
          <w:color w:val="1F2937"/>
          <w:sz w:val="16"/>
        </w:rPr>
        <w:t>Accès publié ; le portail complet est annoncé comme devant être relié au serveur central GSE.</w:t>
      </w:r>
    </w:p>
    <w:p>
      <w:pPr>
        <w:pStyle w:val="Normal"/>
        <w:keepNext w:val="true"/>
        <w:keepLines/>
        <w:spacing w:before="30" w:after="0"/>
        <w:ind w:start="28"/>
        <w:rPr/>
      </w:pPr>
      <w:r>
        <w:rPr>
          <w:b/>
          <w:color w:val="0B3D91"/>
          <w:sz w:val="16"/>
        </w:rPr>
        <w:t>Q9. Quelle limite ou précaution faut-il conserver à propos de « Accès « Espace Parents » » ?</w:t>
      </w:r>
    </w:p>
    <w:p>
      <w:pPr>
        <w:pStyle w:val="Normal"/>
        <w:spacing w:before="0" w:after="30"/>
        <w:ind w:start="227"/>
        <w:rPr/>
      </w:pPr>
      <w:r>
        <w:rPr>
          <w:b/>
          <w:color w:val="D4A017"/>
          <w:sz w:val="16"/>
        </w:rPr>
        <w:t xml:space="preserve">Réponse : </w:t>
      </w:r>
      <w:r>
        <w:rPr>
          <w:color w:val="1F2937"/>
          <w:sz w:val="16"/>
        </w:rPr>
        <w:t>Les parents doivent utiliser les canaux officiels jusqu’à l’activation publique complète.</w:t>
      </w:r>
    </w:p>
    <w:p>
      <w:pPr>
        <w:pStyle w:val="Normal"/>
        <w:keepNext w:val="true"/>
        <w:keepLines/>
        <w:spacing w:before="30" w:after="0"/>
        <w:ind w:start="28"/>
        <w:rPr/>
      </w:pPr>
      <w:r>
        <w:rPr>
          <w:b/>
          <w:color w:val="0B3D91"/>
          <w:sz w:val="16"/>
        </w:rPr>
        <w:t>Q10. Quelle réponse essentielle faut-il retenir au sujet de « Accès « Espace Parents » » ?</w:t>
      </w:r>
    </w:p>
    <w:p>
      <w:pPr>
        <w:pStyle w:val="Normal"/>
        <w:spacing w:before="0" w:after="30"/>
        <w:ind w:start="227"/>
        <w:rPr/>
      </w:pPr>
      <w:r>
        <w:rPr>
          <w:b/>
          <w:color w:val="D4A017"/>
          <w:sz w:val="16"/>
        </w:rPr>
        <w:t xml:space="preserve">Réponse : </w:t>
      </w:r>
      <w:r>
        <w:rPr>
          <w:color w:val="1F2937"/>
          <w:sz w:val="16"/>
        </w:rPr>
        <w:t>L’Espace Parents est le canal numérique réservé aux familles pour le suivi autorisé.</w:t>
      </w:r>
    </w:p>
    <w:p>
      <w:pPr>
        <w:pStyle w:val="Normal"/>
        <w:rPr/>
      </w:pPr>
      <w:r>
        <w:rPr/>
      </w:r>
      <w:r>
        <w:br w:type="page"/>
      </w:r>
    </w:p>
    <w:p>
      <w:pPr>
        <w:pStyle w:val="Heading1"/>
        <w:spacing w:before="0" w:after="100"/>
        <w:rPr/>
      </w:pPr>
      <w:r>
        <w:rPr/>
        <w:t>Fiche 35 — Accès « Préinscrire » ou « Préinscrire mon enfant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page et l’en-tête donnent accès à la préinscription, qui permet à une famille de manifester son intérêt et de demander l’accompagnement de l’équipe.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Accès actif ; la préinscription ne constitue pas une admission définitive.</w:t>
            </w:r>
          </w:p>
        </w:tc>
      </w:tr>
    </w:tbl>
    <w:p>
      <w:pPr>
        <w:pStyle w:val="Normal"/>
        <w:spacing w:before="20" w:after="80"/>
        <w:rPr/>
      </w:pPr>
      <w:r>
        <w:rPr>
          <w:b/>
          <w:color w:val="0B3D91"/>
          <w:sz w:val="15"/>
        </w:rPr>
        <w:t xml:space="preserve">Source contrôlée : </w:t>
      </w:r>
      <w:r>
        <w:rPr>
          <w:color w:val="555555"/>
          <w:sz w:val="15"/>
        </w:rPr>
        <w:t>En-tête et appels à l’action — https://test.gsleseminents.com/preinscription/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Manifestation d’intérêt</w:t>
      </w:r>
    </w:p>
    <w:p>
      <w:pPr>
        <w:pStyle w:val="ListBullet"/>
        <w:numPr>
          <w:ilvl w:val="0"/>
          <w:numId w:val="1"/>
        </w:numPr>
        <w:spacing w:before="0" w:after="20"/>
        <w:ind w:hanging="360" w:start="255"/>
        <w:contextualSpacing/>
        <w:rPr/>
      </w:pPr>
      <w:r>
        <w:rPr>
          <w:sz w:val="17"/>
        </w:rPr>
        <w:t>Demande de contact</w:t>
      </w:r>
    </w:p>
    <w:p>
      <w:pPr>
        <w:pStyle w:val="ListBullet"/>
        <w:numPr>
          <w:ilvl w:val="0"/>
          <w:numId w:val="1"/>
        </w:numPr>
        <w:spacing w:before="0" w:after="20"/>
        <w:ind w:hanging="360" w:start="255"/>
        <w:contextualSpacing/>
        <w:rPr/>
      </w:pPr>
      <w:r>
        <w:rPr>
          <w:sz w:val="17"/>
        </w:rPr>
        <w:t>Suivi par Admissions</w:t>
      </w:r>
    </w:p>
    <w:p>
      <w:pPr>
        <w:pStyle w:val="ListBullet"/>
        <w:numPr>
          <w:ilvl w:val="0"/>
          <w:numId w:val="1"/>
        </w:numPr>
        <w:spacing w:before="0" w:after="20"/>
        <w:ind w:hanging="360" w:start="255"/>
        <w:contextualSpacing/>
        <w:rPr/>
      </w:pPr>
      <w:r>
        <w:rPr>
          <w:sz w:val="17"/>
        </w:rPr>
        <w:t>Pas encore admission définitive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offre une action précise aux familles prêtes à avancer.</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relie la communication générale au processus administratif d’admission.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Contact, Visite, Admissions, Pièces à fournir et Inscription définitive.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Accès « Préinscrire » ou « Préinscrire mon enfant » » ?</w:t>
      </w:r>
    </w:p>
    <w:p>
      <w:pPr>
        <w:pStyle w:val="Normal"/>
        <w:spacing w:before="0" w:after="30"/>
        <w:ind w:start="227"/>
        <w:rPr/>
      </w:pPr>
      <w:r>
        <w:rPr>
          <w:b/>
          <w:color w:val="D4A017"/>
          <w:sz w:val="16"/>
        </w:rPr>
        <w:t xml:space="preserve">Réponse : </w:t>
      </w:r>
      <w:r>
        <w:rPr>
          <w:color w:val="1F2937"/>
          <w:sz w:val="16"/>
        </w:rPr>
        <w:t>La page et l’en-tête donnent accès à la préinscription, qui permet à une famille de manifester son intérêt et de demander l’accompagnement de l’équipe.</w:t>
      </w:r>
    </w:p>
    <w:p>
      <w:pPr>
        <w:pStyle w:val="Normal"/>
        <w:keepNext w:val="true"/>
        <w:keepLines/>
        <w:spacing w:before="30" w:after="0"/>
        <w:ind w:start="28"/>
        <w:rPr/>
      </w:pPr>
      <w:r>
        <w:rPr>
          <w:b/>
          <w:color w:val="0B3D91"/>
          <w:sz w:val="16"/>
        </w:rPr>
        <w:t>Q2. Quelle est l’idée centrale développée sous « Accès « Préinscrire » ou « Préinscrire mon enfant » » ?</w:t>
      </w:r>
    </w:p>
    <w:p>
      <w:pPr>
        <w:pStyle w:val="Normal"/>
        <w:spacing w:before="0" w:after="30"/>
        <w:ind w:start="227"/>
        <w:rPr/>
      </w:pPr>
      <w:r>
        <w:rPr>
          <w:b/>
          <w:color w:val="D4A017"/>
          <w:sz w:val="16"/>
        </w:rPr>
        <w:t xml:space="preserve">Réponse : </w:t>
      </w:r>
      <w:r>
        <w:rPr>
          <w:color w:val="1F2937"/>
          <w:sz w:val="16"/>
        </w:rPr>
        <w:t>Le contact peut se transformer en première étape du parcours d’admission.</w:t>
      </w:r>
    </w:p>
    <w:p>
      <w:pPr>
        <w:pStyle w:val="Normal"/>
        <w:keepNext w:val="true"/>
        <w:keepLines/>
        <w:spacing w:before="30" w:after="0"/>
        <w:ind w:start="28"/>
        <w:rPr/>
      </w:pPr>
      <w:r>
        <w:rPr>
          <w:b/>
          <w:color w:val="0B3D91"/>
          <w:sz w:val="16"/>
        </w:rPr>
        <w:t>Q3. Quels éléments précis sont associés à « Accès « Préinscrire » ou « Préinscrire mon enfant » » ?</w:t>
      </w:r>
    </w:p>
    <w:p>
      <w:pPr>
        <w:pStyle w:val="Normal"/>
        <w:spacing w:before="0" w:after="30"/>
        <w:ind w:start="227"/>
        <w:rPr/>
      </w:pPr>
      <w:r>
        <w:rPr>
          <w:b/>
          <w:color w:val="D4A017"/>
          <w:sz w:val="16"/>
        </w:rPr>
        <w:t xml:space="preserve">Réponse : </w:t>
      </w:r>
      <w:r>
        <w:rPr>
          <w:color w:val="1F2937"/>
          <w:sz w:val="16"/>
        </w:rPr>
        <w:t>Demande de contact, niveau demandé, coordonnées, visite et prochaines étapes.</w:t>
      </w:r>
    </w:p>
    <w:p>
      <w:pPr>
        <w:pStyle w:val="Normal"/>
        <w:keepNext w:val="true"/>
        <w:keepLines/>
        <w:spacing w:before="30" w:after="0"/>
        <w:ind w:start="28"/>
        <w:rPr/>
      </w:pPr>
      <w:r>
        <w:rPr>
          <w:b/>
          <w:color w:val="0B3D91"/>
          <w:sz w:val="16"/>
        </w:rPr>
        <w:t>Q4. Où « Accès « Préinscrire » ou « Préinscrire mon enfant » » apparaît-il dans le parcours de la page Contact ?</w:t>
      </w:r>
    </w:p>
    <w:p>
      <w:pPr>
        <w:pStyle w:val="Normal"/>
        <w:spacing w:before="0" w:after="30"/>
        <w:ind w:start="227"/>
        <w:rPr/>
      </w:pPr>
      <w:r>
        <w:rPr>
          <w:b/>
          <w:color w:val="D4A017"/>
          <w:sz w:val="16"/>
        </w:rPr>
        <w:t xml:space="preserve">Réponse : </w:t>
      </w:r>
      <w:r>
        <w:rPr>
          <w:color w:val="1F2937"/>
          <w:sz w:val="16"/>
        </w:rPr>
        <w:t>Dans l’en-tête, le pied de page et les parcours Admissions.</w:t>
      </w:r>
    </w:p>
    <w:p>
      <w:pPr>
        <w:pStyle w:val="Normal"/>
        <w:keepNext w:val="true"/>
        <w:keepLines/>
        <w:spacing w:before="30" w:after="0"/>
        <w:ind w:start="28"/>
        <w:rPr/>
      </w:pPr>
      <w:r>
        <w:rPr>
          <w:b/>
          <w:color w:val="0B3D91"/>
          <w:sz w:val="16"/>
        </w:rPr>
        <w:t>Q5. À quel public « Accès « Préinscrire » ou « Préinscrire mon enfant » » s’adresse-t-il ?</w:t>
      </w:r>
    </w:p>
    <w:p>
      <w:pPr>
        <w:pStyle w:val="Normal"/>
        <w:spacing w:before="0" w:after="30"/>
        <w:ind w:start="227"/>
        <w:rPr/>
      </w:pPr>
      <w:r>
        <w:rPr>
          <w:b/>
          <w:color w:val="D4A017"/>
          <w:sz w:val="16"/>
        </w:rPr>
        <w:t xml:space="preserve">Réponse : </w:t>
      </w:r>
      <w:r>
        <w:rPr>
          <w:color w:val="1F2937"/>
          <w:sz w:val="16"/>
        </w:rPr>
        <w:t>Parents ou responsables intéressés par une place en Maternelle ou au Primaire.</w:t>
      </w:r>
    </w:p>
    <w:p>
      <w:pPr>
        <w:pStyle w:val="Normal"/>
        <w:keepNext w:val="true"/>
        <w:keepLines/>
        <w:spacing w:before="30" w:after="0"/>
        <w:ind w:start="28"/>
        <w:rPr/>
      </w:pPr>
      <w:r>
        <w:rPr>
          <w:b/>
          <w:color w:val="0B3D91"/>
          <w:sz w:val="16"/>
        </w:rPr>
        <w:t>Q6. Quelle action le visiteur peut-il accomplir à partir de « Accès « Préinscrire » ou « Préinscrire mon enfant » » ?</w:t>
      </w:r>
    </w:p>
    <w:p>
      <w:pPr>
        <w:pStyle w:val="Normal"/>
        <w:spacing w:before="0" w:after="30"/>
        <w:ind w:start="227"/>
        <w:rPr/>
      </w:pPr>
      <w:r>
        <w:rPr>
          <w:b/>
          <w:color w:val="D4A017"/>
          <w:sz w:val="16"/>
        </w:rPr>
        <w:t xml:space="preserve">Réponse : </w:t>
      </w:r>
      <w:r>
        <w:rPr>
          <w:color w:val="1F2937"/>
          <w:sz w:val="16"/>
        </w:rPr>
        <w:t>Remplir la demande de préinscription.</w:t>
      </w:r>
    </w:p>
    <w:p>
      <w:pPr>
        <w:pStyle w:val="Normal"/>
        <w:keepNext w:val="true"/>
        <w:keepLines/>
        <w:spacing w:before="30" w:after="0"/>
        <w:ind w:start="28"/>
        <w:rPr/>
      </w:pPr>
      <w:r>
        <w:rPr>
          <w:b/>
          <w:color w:val="0B3D91"/>
          <w:sz w:val="16"/>
        </w:rPr>
        <w:t>Q7. Quel canal ou moyen de contact est lié à « Accès « Préinscrire » ou « Préinscrire mon enfant » » ?</w:t>
      </w:r>
    </w:p>
    <w:p>
      <w:pPr>
        <w:pStyle w:val="Normal"/>
        <w:spacing w:before="0" w:after="30"/>
        <w:ind w:start="227"/>
        <w:rPr/>
      </w:pPr>
      <w:r>
        <w:rPr>
          <w:b/>
          <w:color w:val="D4A017"/>
          <w:sz w:val="16"/>
        </w:rPr>
        <w:t xml:space="preserve">Réponse : </w:t>
      </w:r>
      <w:r>
        <w:rPr>
          <w:color w:val="1F2937"/>
          <w:sz w:val="16"/>
        </w:rPr>
        <w:t>Formulaire de préinscription et suivi par un agent Admissions.</w:t>
      </w:r>
    </w:p>
    <w:p>
      <w:pPr>
        <w:pStyle w:val="Normal"/>
        <w:keepNext w:val="true"/>
        <w:keepLines/>
        <w:spacing w:before="30" w:after="0"/>
        <w:ind w:start="28"/>
        <w:rPr/>
      </w:pPr>
      <w:r>
        <w:rPr>
          <w:b/>
          <w:color w:val="0B3D91"/>
          <w:sz w:val="16"/>
        </w:rPr>
        <w:t>Q8. Quel est le statut éditorial ou fonctionnel de « Accès « Préinscrire » ou « Préinscrire mon enfant » » sur le site inspecté ?</w:t>
      </w:r>
    </w:p>
    <w:p>
      <w:pPr>
        <w:pStyle w:val="Normal"/>
        <w:spacing w:before="0" w:after="30"/>
        <w:ind w:start="227"/>
        <w:rPr/>
      </w:pPr>
      <w:r>
        <w:rPr>
          <w:b/>
          <w:color w:val="D4A017"/>
          <w:sz w:val="16"/>
        </w:rPr>
        <w:t xml:space="preserve">Réponse : </w:t>
      </w:r>
      <w:r>
        <w:rPr>
          <w:color w:val="1F2937"/>
          <w:sz w:val="16"/>
        </w:rPr>
        <w:t>Accès actif ; la préinscription ne constitue pas une admission définitive.</w:t>
      </w:r>
    </w:p>
    <w:p>
      <w:pPr>
        <w:pStyle w:val="Normal"/>
        <w:keepNext w:val="true"/>
        <w:keepLines/>
        <w:spacing w:before="30" w:after="0"/>
        <w:ind w:start="28"/>
        <w:rPr/>
      </w:pPr>
      <w:r>
        <w:rPr>
          <w:b/>
          <w:color w:val="0B3D91"/>
          <w:sz w:val="16"/>
        </w:rPr>
        <w:t>Q9. Quelle limite ou précaution faut-il conserver à propos de « Accès « Préinscrire » ou « Préinscrire mon enfant » » ?</w:t>
      </w:r>
    </w:p>
    <w:p>
      <w:pPr>
        <w:pStyle w:val="Normal"/>
        <w:spacing w:before="0" w:after="30"/>
        <w:ind w:start="227"/>
        <w:rPr/>
      </w:pPr>
      <w:r>
        <w:rPr>
          <w:b/>
          <w:color w:val="D4A017"/>
          <w:sz w:val="16"/>
        </w:rPr>
        <w:t xml:space="preserve">Réponse : </w:t>
      </w:r>
      <w:r>
        <w:rPr>
          <w:color w:val="1F2937"/>
          <w:sz w:val="16"/>
        </w:rPr>
        <w:t>L’admission reste soumise à l’étude du dossier et à la disponibilité des places.</w:t>
      </w:r>
    </w:p>
    <w:p>
      <w:pPr>
        <w:pStyle w:val="Normal"/>
        <w:keepNext w:val="true"/>
        <w:keepLines/>
        <w:spacing w:before="30" w:after="0"/>
        <w:ind w:start="28"/>
        <w:rPr/>
      </w:pPr>
      <w:r>
        <w:rPr>
          <w:b/>
          <w:color w:val="0B3D91"/>
          <w:sz w:val="16"/>
        </w:rPr>
        <w:t>Q10. Quelle réponse essentielle faut-il retenir au sujet de « Accès « Préinscrire » ou « Préinscrire mon enfant » » ?</w:t>
      </w:r>
    </w:p>
    <w:p>
      <w:pPr>
        <w:pStyle w:val="Normal"/>
        <w:spacing w:before="0" w:after="30"/>
        <w:ind w:start="227"/>
        <w:rPr/>
      </w:pPr>
      <w:r>
        <w:rPr>
          <w:b/>
          <w:color w:val="D4A017"/>
          <w:sz w:val="16"/>
        </w:rPr>
        <w:t xml:space="preserve">Réponse : </w:t>
      </w:r>
      <w:r>
        <w:rPr>
          <w:color w:val="1F2937"/>
          <w:sz w:val="16"/>
        </w:rPr>
        <w:t>La préinscription est une demande de contact encadrée, suivie par l’équipe Admissions.</w:t>
      </w:r>
    </w:p>
    <w:p>
      <w:pPr>
        <w:pStyle w:val="Normal"/>
        <w:rPr/>
      </w:pPr>
      <w:r>
        <w:rPr/>
      </w:r>
      <w:r>
        <w:br w:type="page"/>
      </w:r>
    </w:p>
    <w:p>
      <w:pPr>
        <w:pStyle w:val="Normal"/>
        <w:spacing w:before="0" w:after="40"/>
        <w:jc w:val="center"/>
        <w:rPr/>
      </w:pPr>
      <w:r>
        <w:rPr>
          <w:b/>
          <w:color w:val="0B3D91"/>
          <w:sz w:val="34"/>
        </w:rPr>
        <w:t>PARTIE IV — ÉMINA, CONFIDENTIALITÉ ET ÉLÉMENTS DE PIED DE PAGE</w:t>
      </w:r>
    </w:p>
    <w:p>
      <w:pPr>
        <w:pStyle w:val="Normal"/>
        <w:jc w:val="center"/>
        <w:rPr/>
      </w:pPr>
      <w:r>
        <w:rPr>
          <w:i/>
          <w:color w:val="D4A017"/>
          <w:sz w:val="20"/>
        </w:rPr>
        <w:t>Fiches thématiques et questions-réponses de référence</w:t>
      </w:r>
    </w:p>
    <w:p>
      <w:pPr>
        <w:pStyle w:val="Normal"/>
        <w:rPr/>
      </w:pPr>
      <w:r>
        <w:rPr/>
      </w:r>
      <w:r>
        <w:br w:type="page"/>
      </w:r>
    </w:p>
    <w:p>
      <w:pPr>
        <w:pStyle w:val="Heading1"/>
        <w:spacing w:before="0" w:after="100"/>
        <w:rPr/>
      </w:pPr>
      <w:r>
        <w:rPr/>
        <w:t>Fiche 36 — « ÉMINA — Assistante institutionnelle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La page Contact affiche ÉMINA comme « Assistante institutionnelle » et propose une zone de conversation.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Service public actif avec limites affichées.</w:t>
            </w:r>
          </w:p>
        </w:tc>
      </w:tr>
    </w:tbl>
    <w:p>
      <w:pPr>
        <w:pStyle w:val="Normal"/>
        <w:spacing w:before="20" w:after="80"/>
        <w:rPr/>
      </w:pPr>
      <w:r>
        <w:rPr>
          <w:b/>
          <w:color w:val="0B3D91"/>
          <w:sz w:val="15"/>
        </w:rPr>
        <w:t xml:space="preserve">Source contrôlée : </w:t>
      </w:r>
      <w:r>
        <w:rPr>
          <w:color w:val="555555"/>
          <w:sz w:val="15"/>
        </w:rPr>
        <w:t>Widget conversationnel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Assistante institutionnelle</w:t>
      </w:r>
    </w:p>
    <w:p>
      <w:pPr>
        <w:pStyle w:val="ListBullet"/>
        <w:numPr>
          <w:ilvl w:val="0"/>
          <w:numId w:val="1"/>
        </w:numPr>
        <w:spacing w:before="0" w:after="20"/>
        <w:ind w:hanging="360" w:start="255"/>
        <w:contextualSpacing/>
        <w:rPr/>
      </w:pPr>
      <w:r>
        <w:rPr>
          <w:sz w:val="17"/>
        </w:rPr>
        <w:t>Questions générales</w:t>
      </w:r>
    </w:p>
    <w:p>
      <w:pPr>
        <w:pStyle w:val="ListBullet"/>
        <w:numPr>
          <w:ilvl w:val="0"/>
          <w:numId w:val="1"/>
        </w:numPr>
        <w:spacing w:before="0" w:after="20"/>
        <w:ind w:hanging="360" w:start="255"/>
        <w:contextualSpacing/>
        <w:rPr/>
      </w:pPr>
      <w:r>
        <w:rPr>
          <w:sz w:val="17"/>
        </w:rPr>
        <w:t>Suggestions rapides</w:t>
      </w:r>
    </w:p>
    <w:p>
      <w:pPr>
        <w:pStyle w:val="ListBullet"/>
        <w:numPr>
          <w:ilvl w:val="0"/>
          <w:numId w:val="1"/>
        </w:numPr>
        <w:spacing w:before="0" w:after="20"/>
        <w:ind w:hanging="360" w:start="255"/>
        <w:contextualSpacing/>
        <w:rPr/>
      </w:pPr>
      <w:r>
        <w:rPr>
          <w:sz w:val="17"/>
        </w:rPr>
        <w:t>Limites de rôle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identifie clairement l’assistante et évite une confusion avec un agent humain.</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Elle améliore la disponibilité de l’information tout en maintenant l’escalade humaine.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Contact, Admissions, Programmes, Agrément, Visite, Confidentialité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 ÉMINA — Assistante institutionnelle » » ?</w:t>
      </w:r>
    </w:p>
    <w:p>
      <w:pPr>
        <w:pStyle w:val="Normal"/>
        <w:spacing w:before="0" w:after="30"/>
        <w:ind w:start="227"/>
        <w:rPr/>
      </w:pPr>
      <w:r>
        <w:rPr>
          <w:b/>
          <w:color w:val="D4A017"/>
          <w:sz w:val="16"/>
        </w:rPr>
        <w:t xml:space="preserve">Réponse : </w:t>
      </w:r>
      <w:r>
        <w:rPr>
          <w:color w:val="1F2937"/>
          <w:sz w:val="16"/>
        </w:rPr>
        <w:t>La page Contact affiche ÉMINA comme « Assistante institutionnelle » et propose une zone de conversation.</w:t>
      </w:r>
    </w:p>
    <w:p>
      <w:pPr>
        <w:pStyle w:val="Normal"/>
        <w:keepNext w:val="true"/>
        <w:keepLines/>
        <w:spacing w:before="30" w:after="0"/>
        <w:ind w:start="28"/>
        <w:rPr/>
      </w:pPr>
      <w:r>
        <w:rPr>
          <w:b/>
          <w:color w:val="0B3D91"/>
          <w:sz w:val="16"/>
        </w:rPr>
        <w:t>Q2. Quelle est l’idée centrale développée sous « « ÉMINA — Assistante institutionnelle » » ?</w:t>
      </w:r>
    </w:p>
    <w:p>
      <w:pPr>
        <w:pStyle w:val="Normal"/>
        <w:spacing w:before="0" w:after="30"/>
        <w:ind w:start="227"/>
        <w:rPr/>
      </w:pPr>
      <w:r>
        <w:rPr>
          <w:b/>
          <w:color w:val="D4A017"/>
          <w:sz w:val="16"/>
        </w:rPr>
        <w:t xml:space="preserve">Réponse : </w:t>
      </w:r>
      <w:r>
        <w:rPr>
          <w:color w:val="1F2937"/>
          <w:sz w:val="16"/>
        </w:rPr>
        <w:t>ÉMINA guide le visiteur vers des informations institutionnelles générales et les bons parcours.</w:t>
      </w:r>
    </w:p>
    <w:p>
      <w:pPr>
        <w:pStyle w:val="Normal"/>
        <w:keepNext w:val="true"/>
        <w:keepLines/>
        <w:spacing w:before="30" w:after="0"/>
        <w:ind w:start="28"/>
        <w:rPr/>
      </w:pPr>
      <w:r>
        <w:rPr>
          <w:b/>
          <w:color w:val="0B3D91"/>
          <w:sz w:val="16"/>
        </w:rPr>
        <w:t>Q3. Quels éléments précis sont associés à « « ÉMINA — Assistante institutionnelle » » ?</w:t>
      </w:r>
    </w:p>
    <w:p>
      <w:pPr>
        <w:pStyle w:val="Normal"/>
        <w:spacing w:before="0" w:after="30"/>
        <w:ind w:start="227"/>
        <w:rPr/>
      </w:pPr>
      <w:r>
        <w:rPr>
          <w:b/>
          <w:color w:val="D4A017"/>
          <w:sz w:val="16"/>
        </w:rPr>
        <w:t xml:space="preserve">Réponse : </w:t>
      </w:r>
      <w:r>
        <w:rPr>
          <w:color w:val="1F2937"/>
          <w:sz w:val="16"/>
        </w:rPr>
        <w:t>Message d’accueil, suggestions rapides, champ de question et bouton Envoyer.</w:t>
      </w:r>
    </w:p>
    <w:p>
      <w:pPr>
        <w:pStyle w:val="Normal"/>
        <w:keepNext w:val="true"/>
        <w:keepLines/>
        <w:spacing w:before="30" w:after="0"/>
        <w:ind w:start="28"/>
        <w:rPr/>
      </w:pPr>
      <w:r>
        <w:rPr>
          <w:b/>
          <w:color w:val="0B3D91"/>
          <w:sz w:val="16"/>
        </w:rPr>
        <w:t>Q4. Où « « ÉMINA — Assistante institutionnelle » » apparaît-il dans le parcours de la page Contact ?</w:t>
      </w:r>
    </w:p>
    <w:p>
      <w:pPr>
        <w:pStyle w:val="Normal"/>
        <w:spacing w:before="0" w:after="30"/>
        <w:ind w:start="227"/>
        <w:rPr/>
      </w:pPr>
      <w:r>
        <w:rPr>
          <w:b/>
          <w:color w:val="D4A017"/>
          <w:sz w:val="16"/>
        </w:rPr>
        <w:t xml:space="preserve">Réponse : </w:t>
      </w:r>
      <w:r>
        <w:rPr>
          <w:color w:val="1F2937"/>
          <w:sz w:val="16"/>
        </w:rPr>
        <w:t>Dans le widget flottant accessible sur la page.</w:t>
      </w:r>
    </w:p>
    <w:p>
      <w:pPr>
        <w:pStyle w:val="Normal"/>
        <w:keepNext w:val="true"/>
        <w:keepLines/>
        <w:spacing w:before="30" w:after="0"/>
        <w:ind w:start="28"/>
        <w:rPr/>
      </w:pPr>
      <w:r>
        <w:rPr>
          <w:b/>
          <w:color w:val="0B3D91"/>
          <w:sz w:val="16"/>
        </w:rPr>
        <w:t>Q5. À quel public « « ÉMINA — Assistante institutionnelle » » s’adresse-t-il ?</w:t>
      </w:r>
    </w:p>
    <w:p>
      <w:pPr>
        <w:pStyle w:val="Normal"/>
        <w:spacing w:before="0" w:after="30"/>
        <w:ind w:start="227"/>
        <w:rPr/>
      </w:pPr>
      <w:r>
        <w:rPr>
          <w:b/>
          <w:color w:val="D4A017"/>
          <w:sz w:val="16"/>
        </w:rPr>
        <w:t xml:space="preserve">Réponse : </w:t>
      </w:r>
      <w:r>
        <w:rPr>
          <w:color w:val="1F2937"/>
          <w:sz w:val="16"/>
        </w:rPr>
        <w:t>Visiteurs, parents, candidats et partenaires.</w:t>
      </w:r>
    </w:p>
    <w:p>
      <w:pPr>
        <w:pStyle w:val="Normal"/>
        <w:keepNext w:val="true"/>
        <w:keepLines/>
        <w:spacing w:before="30" w:after="0"/>
        <w:ind w:start="28"/>
        <w:rPr/>
      </w:pPr>
      <w:r>
        <w:rPr>
          <w:b/>
          <w:color w:val="0B3D91"/>
          <w:sz w:val="16"/>
        </w:rPr>
        <w:t>Q6. Quelle action le visiteur peut-il accomplir à partir de « « ÉMINA — Assistante institutionnelle » » ?</w:t>
      </w:r>
    </w:p>
    <w:p>
      <w:pPr>
        <w:pStyle w:val="Normal"/>
        <w:spacing w:before="0" w:after="30"/>
        <w:ind w:start="227"/>
        <w:rPr/>
      </w:pPr>
      <w:r>
        <w:rPr>
          <w:b/>
          <w:color w:val="D4A017"/>
          <w:sz w:val="16"/>
        </w:rPr>
        <w:t xml:space="preserve">Réponse : </w:t>
      </w:r>
      <w:r>
        <w:rPr>
          <w:color w:val="1F2937"/>
          <w:sz w:val="16"/>
        </w:rPr>
        <w:t>Poser une question sur les programmes, l’agrément, la préinscription ou la visite.</w:t>
      </w:r>
    </w:p>
    <w:p>
      <w:pPr>
        <w:pStyle w:val="Normal"/>
        <w:keepNext w:val="true"/>
        <w:keepLines/>
        <w:spacing w:before="30" w:after="0"/>
        <w:ind w:start="28"/>
        <w:rPr/>
      </w:pPr>
      <w:r>
        <w:rPr>
          <w:b/>
          <w:color w:val="0B3D91"/>
          <w:sz w:val="16"/>
        </w:rPr>
        <w:t>Q7. Quel canal ou moyen de contact est lié à « « ÉMINA — Assistante institutionnelle » » ?</w:t>
      </w:r>
    </w:p>
    <w:p>
      <w:pPr>
        <w:pStyle w:val="Normal"/>
        <w:spacing w:before="0" w:after="30"/>
        <w:ind w:start="227"/>
        <w:rPr/>
      </w:pPr>
      <w:r>
        <w:rPr>
          <w:b/>
          <w:color w:val="D4A017"/>
          <w:sz w:val="16"/>
        </w:rPr>
        <w:t xml:space="preserve">Réponse : </w:t>
      </w:r>
      <w:r>
        <w:rPr>
          <w:color w:val="1F2937"/>
          <w:sz w:val="16"/>
        </w:rPr>
        <w:t>Conversation web avec l’assistante institutionnelle.</w:t>
      </w:r>
    </w:p>
    <w:p>
      <w:pPr>
        <w:pStyle w:val="Normal"/>
        <w:keepNext w:val="true"/>
        <w:keepLines/>
        <w:spacing w:before="30" w:after="0"/>
        <w:ind w:start="28"/>
        <w:rPr/>
      </w:pPr>
      <w:r>
        <w:rPr>
          <w:b/>
          <w:color w:val="0B3D91"/>
          <w:sz w:val="16"/>
        </w:rPr>
        <w:t>Q8. Quel est le statut éditorial ou fonctionnel de « « ÉMINA — Assistante institutionnelle » » sur le site inspecté ?</w:t>
      </w:r>
    </w:p>
    <w:p>
      <w:pPr>
        <w:pStyle w:val="Normal"/>
        <w:spacing w:before="0" w:after="30"/>
        <w:ind w:start="227"/>
        <w:rPr/>
      </w:pPr>
      <w:r>
        <w:rPr>
          <w:b/>
          <w:color w:val="D4A017"/>
          <w:sz w:val="16"/>
        </w:rPr>
        <w:t xml:space="preserve">Réponse : </w:t>
      </w:r>
      <w:r>
        <w:rPr>
          <w:color w:val="1F2937"/>
          <w:sz w:val="16"/>
        </w:rPr>
        <w:t>Service public actif avec limites affichées.</w:t>
      </w:r>
    </w:p>
    <w:p>
      <w:pPr>
        <w:pStyle w:val="Normal"/>
        <w:keepNext w:val="true"/>
        <w:keepLines/>
        <w:spacing w:before="30" w:after="0"/>
        <w:ind w:start="28"/>
        <w:rPr/>
      </w:pPr>
      <w:r>
        <w:rPr>
          <w:b/>
          <w:color w:val="0B3D91"/>
          <w:sz w:val="16"/>
        </w:rPr>
        <w:t>Q9. Quelle limite ou précaution faut-il conserver à propos de « « ÉMINA — Assistante institutionnelle » » ?</w:t>
      </w:r>
    </w:p>
    <w:p>
      <w:pPr>
        <w:pStyle w:val="Normal"/>
        <w:spacing w:before="0" w:after="30"/>
        <w:ind w:start="227"/>
        <w:rPr/>
      </w:pPr>
      <w:r>
        <w:rPr>
          <w:b/>
          <w:color w:val="D4A017"/>
          <w:sz w:val="16"/>
        </w:rPr>
        <w:t xml:space="preserve">Réponse : </w:t>
      </w:r>
      <w:r>
        <w:rPr>
          <w:color w:val="1F2937"/>
          <w:sz w:val="16"/>
        </w:rPr>
        <w:t>ÉMINA ne doit pas prendre de décision à la place du personnel habilité ni recevoir des données sensibles.</w:t>
      </w:r>
    </w:p>
    <w:p>
      <w:pPr>
        <w:pStyle w:val="Normal"/>
        <w:keepNext w:val="true"/>
        <w:keepLines/>
        <w:spacing w:before="30" w:after="0"/>
        <w:ind w:start="28"/>
        <w:rPr/>
      </w:pPr>
      <w:r>
        <w:rPr>
          <w:b/>
          <w:color w:val="0B3D91"/>
          <w:sz w:val="16"/>
        </w:rPr>
        <w:t>Q10. Quelle réponse essentielle faut-il retenir au sujet de « « ÉMINA — Assistante institutionnelle » » ?</w:t>
      </w:r>
    </w:p>
    <w:p>
      <w:pPr>
        <w:pStyle w:val="Normal"/>
        <w:spacing w:before="0" w:after="30"/>
        <w:ind w:start="227"/>
        <w:rPr/>
      </w:pPr>
      <w:r>
        <w:rPr>
          <w:b/>
          <w:color w:val="D4A017"/>
          <w:sz w:val="16"/>
        </w:rPr>
        <w:t xml:space="preserve">Réponse : </w:t>
      </w:r>
      <w:r>
        <w:rPr>
          <w:color w:val="1F2937"/>
          <w:sz w:val="16"/>
        </w:rPr>
        <w:t>ÉMINA fournit une orientation institutionnelle générale et complète les canaux humains.</w:t>
      </w:r>
    </w:p>
    <w:p>
      <w:pPr>
        <w:pStyle w:val="Normal"/>
        <w:rPr/>
      </w:pPr>
      <w:r>
        <w:rPr/>
      </w:r>
      <w:r>
        <w:br w:type="page"/>
      </w:r>
    </w:p>
    <w:p>
      <w:pPr>
        <w:pStyle w:val="Heading1"/>
        <w:spacing w:before="0" w:after="100"/>
        <w:rPr/>
      </w:pPr>
      <w:r>
        <w:rPr/>
        <w:t>Fiche 37 — Message d’accueil d’ÉMINA</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ÉMINA accueille le visiteur par la phrase « Bonjour, je suis ÉMINA. Comment puis-je vous guider aujourd’hui ?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Message actif en français.</w:t>
            </w:r>
          </w:p>
        </w:tc>
      </w:tr>
    </w:tbl>
    <w:p>
      <w:pPr>
        <w:pStyle w:val="Normal"/>
        <w:spacing w:before="20" w:after="80"/>
        <w:rPr/>
      </w:pPr>
      <w:r>
        <w:rPr>
          <w:b/>
          <w:color w:val="0B3D91"/>
          <w:sz w:val="15"/>
        </w:rPr>
        <w:t xml:space="preserve">Source contrôlée : </w:t>
      </w:r>
      <w:r>
        <w:rPr>
          <w:color w:val="555555"/>
          <w:sz w:val="15"/>
        </w:rPr>
        <w:t>Widget conversationnel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Bonjour</w:t>
      </w:r>
    </w:p>
    <w:p>
      <w:pPr>
        <w:pStyle w:val="ListBullet"/>
        <w:numPr>
          <w:ilvl w:val="0"/>
          <w:numId w:val="1"/>
        </w:numPr>
        <w:spacing w:before="0" w:after="20"/>
        <w:ind w:hanging="360" w:start="255"/>
        <w:contextualSpacing/>
        <w:rPr/>
      </w:pPr>
      <w:r>
        <w:rPr>
          <w:sz w:val="17"/>
        </w:rPr>
        <w:t>Identité ÉMINA</w:t>
      </w:r>
    </w:p>
    <w:p>
      <w:pPr>
        <w:pStyle w:val="ListBullet"/>
        <w:numPr>
          <w:ilvl w:val="0"/>
          <w:numId w:val="1"/>
        </w:numPr>
        <w:spacing w:before="0" w:after="20"/>
        <w:ind w:hanging="360" w:start="255"/>
        <w:contextualSpacing/>
        <w:rPr/>
      </w:pPr>
      <w:r>
        <w:rPr>
          <w:sz w:val="17"/>
        </w:rPr>
        <w:t>Guidage</w:t>
      </w:r>
    </w:p>
    <w:p>
      <w:pPr>
        <w:pStyle w:val="ListBullet"/>
        <w:numPr>
          <w:ilvl w:val="0"/>
          <w:numId w:val="1"/>
        </w:numPr>
        <w:spacing w:before="0" w:after="20"/>
        <w:ind w:hanging="360" w:start="255"/>
        <w:contextualSpacing/>
        <w:rPr/>
      </w:pPr>
      <w:r>
        <w:rPr>
          <w:sz w:val="17"/>
        </w:rPr>
        <w:t>Invitation à poser une question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établit une interaction accueillante et directe.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réduit l’effort nécessaire pour trouver une information de contact.</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suggestions rapides, champ de question, Envoyer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Message d’accueil d’ÉMINA » ?</w:t>
      </w:r>
    </w:p>
    <w:p>
      <w:pPr>
        <w:pStyle w:val="Normal"/>
        <w:spacing w:before="0" w:after="30"/>
        <w:ind w:start="227"/>
        <w:rPr/>
      </w:pPr>
      <w:r>
        <w:rPr>
          <w:b/>
          <w:color w:val="D4A017"/>
          <w:sz w:val="16"/>
        </w:rPr>
        <w:t xml:space="preserve">Réponse : </w:t>
      </w:r>
      <w:r>
        <w:rPr>
          <w:color w:val="1F2937"/>
          <w:sz w:val="16"/>
        </w:rPr>
        <w:t>ÉMINA accueille le visiteur par la phrase « Bonjour, je suis ÉMINA. Comment puis-je vous guider aujourd’hui ? ».</w:t>
      </w:r>
    </w:p>
    <w:p>
      <w:pPr>
        <w:pStyle w:val="Normal"/>
        <w:keepNext w:val="true"/>
        <w:keepLines/>
        <w:spacing w:before="30" w:after="0"/>
        <w:ind w:start="28"/>
        <w:rPr/>
      </w:pPr>
      <w:r>
        <w:rPr>
          <w:b/>
          <w:color w:val="0B3D91"/>
          <w:sz w:val="16"/>
        </w:rPr>
        <w:t>Q2. Quelle est l’idée centrale développée sous « Message d’accueil d’ÉMINA » ?</w:t>
      </w:r>
    </w:p>
    <w:p>
      <w:pPr>
        <w:pStyle w:val="Normal"/>
        <w:spacing w:before="0" w:after="30"/>
        <w:ind w:start="227"/>
        <w:rPr/>
      </w:pPr>
      <w:r>
        <w:rPr>
          <w:b/>
          <w:color w:val="D4A017"/>
          <w:sz w:val="16"/>
        </w:rPr>
        <w:t xml:space="preserve">Réponse : </w:t>
      </w:r>
      <w:r>
        <w:rPr>
          <w:color w:val="1F2937"/>
          <w:sz w:val="16"/>
        </w:rPr>
        <w:t>Le message invite à formuler une question et présente ÉMINA comme guide.</w:t>
      </w:r>
    </w:p>
    <w:p>
      <w:pPr>
        <w:pStyle w:val="Normal"/>
        <w:keepNext w:val="true"/>
        <w:keepLines/>
        <w:spacing w:before="30" w:after="0"/>
        <w:ind w:start="28"/>
        <w:rPr/>
      </w:pPr>
      <w:r>
        <w:rPr>
          <w:b/>
          <w:color w:val="0B3D91"/>
          <w:sz w:val="16"/>
        </w:rPr>
        <w:t>Q3. Quels éléments précis sont associés à « Message d’accueil d’ÉMINA » ?</w:t>
      </w:r>
    </w:p>
    <w:p>
      <w:pPr>
        <w:pStyle w:val="Normal"/>
        <w:spacing w:before="0" w:after="30"/>
        <w:ind w:start="227"/>
        <w:rPr/>
      </w:pPr>
      <w:r>
        <w:rPr>
          <w:b/>
          <w:color w:val="D4A017"/>
          <w:sz w:val="16"/>
        </w:rPr>
        <w:t xml:space="preserve">Réponse : </w:t>
      </w:r>
      <w:r>
        <w:rPr>
          <w:color w:val="1F2937"/>
          <w:sz w:val="16"/>
        </w:rPr>
        <w:t>Salutation, identité d’ÉMINA et invitation à être guidé.</w:t>
      </w:r>
    </w:p>
    <w:p>
      <w:pPr>
        <w:pStyle w:val="Normal"/>
        <w:keepNext w:val="true"/>
        <w:keepLines/>
        <w:spacing w:before="30" w:after="0"/>
        <w:ind w:start="28"/>
        <w:rPr/>
      </w:pPr>
      <w:r>
        <w:rPr>
          <w:b/>
          <w:color w:val="0B3D91"/>
          <w:sz w:val="16"/>
        </w:rPr>
        <w:t>Q4. Où « Message d’accueil d’ÉMINA » apparaît-il dans le parcours de la page Contact ?</w:t>
      </w:r>
    </w:p>
    <w:p>
      <w:pPr>
        <w:pStyle w:val="Normal"/>
        <w:spacing w:before="0" w:after="30"/>
        <w:ind w:start="227"/>
        <w:rPr/>
      </w:pPr>
      <w:r>
        <w:rPr>
          <w:b/>
          <w:color w:val="D4A017"/>
          <w:sz w:val="16"/>
        </w:rPr>
        <w:t xml:space="preserve">Réponse : </w:t>
      </w:r>
      <w:r>
        <w:rPr>
          <w:color w:val="1F2937"/>
          <w:sz w:val="16"/>
        </w:rPr>
        <w:t>À l’ouverture du widget conversationnel.</w:t>
      </w:r>
    </w:p>
    <w:p>
      <w:pPr>
        <w:pStyle w:val="Normal"/>
        <w:keepNext w:val="true"/>
        <w:keepLines/>
        <w:spacing w:before="30" w:after="0"/>
        <w:ind w:start="28"/>
        <w:rPr/>
      </w:pPr>
      <w:r>
        <w:rPr>
          <w:b/>
          <w:color w:val="0B3D91"/>
          <w:sz w:val="16"/>
        </w:rPr>
        <w:t>Q5. À quel public « Message d’accueil d’ÉMINA » s’adresse-t-il ?</w:t>
      </w:r>
    </w:p>
    <w:p>
      <w:pPr>
        <w:pStyle w:val="Normal"/>
        <w:spacing w:before="0" w:after="30"/>
        <w:ind w:start="227"/>
        <w:rPr/>
      </w:pPr>
      <w:r>
        <w:rPr>
          <w:b/>
          <w:color w:val="D4A017"/>
          <w:sz w:val="16"/>
        </w:rPr>
        <w:t xml:space="preserve">Réponse : </w:t>
      </w:r>
      <w:r>
        <w:rPr>
          <w:color w:val="1F2937"/>
          <w:sz w:val="16"/>
        </w:rPr>
        <w:t>Tout visiteur de la page.</w:t>
      </w:r>
    </w:p>
    <w:p>
      <w:pPr>
        <w:pStyle w:val="Normal"/>
        <w:keepNext w:val="true"/>
        <w:keepLines/>
        <w:spacing w:before="30" w:after="0"/>
        <w:ind w:start="28"/>
        <w:rPr/>
      </w:pPr>
      <w:r>
        <w:rPr>
          <w:b/>
          <w:color w:val="0B3D91"/>
          <w:sz w:val="16"/>
        </w:rPr>
        <w:t>Q6. Quelle action le visiteur peut-il accomplir à partir de « Message d’accueil d’ÉMINA » ?</w:t>
      </w:r>
    </w:p>
    <w:p>
      <w:pPr>
        <w:pStyle w:val="Normal"/>
        <w:spacing w:before="0" w:after="30"/>
        <w:ind w:start="227"/>
        <w:rPr/>
      </w:pPr>
      <w:r>
        <w:rPr>
          <w:b/>
          <w:color w:val="D4A017"/>
          <w:sz w:val="16"/>
        </w:rPr>
        <w:t xml:space="preserve">Réponse : </w:t>
      </w:r>
      <w:r>
        <w:rPr>
          <w:color w:val="1F2937"/>
          <w:sz w:val="16"/>
        </w:rPr>
        <w:t>Poser une question dans le champ prévu.</w:t>
      </w:r>
    </w:p>
    <w:p>
      <w:pPr>
        <w:pStyle w:val="Normal"/>
        <w:keepNext w:val="true"/>
        <w:keepLines/>
        <w:spacing w:before="30" w:after="0"/>
        <w:ind w:start="28"/>
        <w:rPr/>
      </w:pPr>
      <w:r>
        <w:rPr>
          <w:b/>
          <w:color w:val="0B3D91"/>
          <w:sz w:val="16"/>
        </w:rPr>
        <w:t>Q7. Quel canal ou moyen de contact est lié à « Message d’accueil d’ÉMINA » ?</w:t>
      </w:r>
    </w:p>
    <w:p>
      <w:pPr>
        <w:pStyle w:val="Normal"/>
        <w:spacing w:before="0" w:after="30"/>
        <w:ind w:start="227"/>
        <w:rPr/>
      </w:pPr>
      <w:r>
        <w:rPr>
          <w:b/>
          <w:color w:val="D4A017"/>
          <w:sz w:val="16"/>
        </w:rPr>
        <w:t xml:space="preserve">Réponse : </w:t>
      </w:r>
      <w:r>
        <w:rPr>
          <w:color w:val="1F2937"/>
          <w:sz w:val="16"/>
        </w:rPr>
        <w:t>Conversation web.</w:t>
      </w:r>
    </w:p>
    <w:p>
      <w:pPr>
        <w:pStyle w:val="Normal"/>
        <w:keepNext w:val="true"/>
        <w:keepLines/>
        <w:spacing w:before="30" w:after="0"/>
        <w:ind w:start="28"/>
        <w:rPr/>
      </w:pPr>
      <w:r>
        <w:rPr>
          <w:b/>
          <w:color w:val="0B3D91"/>
          <w:sz w:val="16"/>
        </w:rPr>
        <w:t>Q8. Quel est le statut éditorial ou fonctionnel de « Message d’accueil d’ÉMINA » sur le site inspecté ?</w:t>
      </w:r>
    </w:p>
    <w:p>
      <w:pPr>
        <w:pStyle w:val="Normal"/>
        <w:spacing w:before="0" w:after="30"/>
        <w:ind w:start="227"/>
        <w:rPr/>
      </w:pPr>
      <w:r>
        <w:rPr>
          <w:b/>
          <w:color w:val="D4A017"/>
          <w:sz w:val="16"/>
        </w:rPr>
        <w:t xml:space="preserve">Réponse : </w:t>
      </w:r>
      <w:r>
        <w:rPr>
          <w:color w:val="1F2937"/>
          <w:sz w:val="16"/>
        </w:rPr>
        <w:t>Message actif en français.</w:t>
      </w:r>
    </w:p>
    <w:p>
      <w:pPr>
        <w:pStyle w:val="Normal"/>
        <w:keepNext w:val="true"/>
        <w:keepLines/>
        <w:spacing w:before="30" w:after="0"/>
        <w:ind w:start="28"/>
        <w:rPr/>
      </w:pPr>
      <w:r>
        <w:rPr>
          <w:b/>
          <w:color w:val="0B3D91"/>
          <w:sz w:val="16"/>
        </w:rPr>
        <w:t>Q9. Quelle limite ou précaution faut-il conserver à propos de « Message d’accueil d’ÉMINA » ?</w:t>
      </w:r>
    </w:p>
    <w:p>
      <w:pPr>
        <w:pStyle w:val="Normal"/>
        <w:spacing w:before="0" w:after="30"/>
        <w:ind w:start="227"/>
        <w:rPr/>
      </w:pPr>
      <w:r>
        <w:rPr>
          <w:b/>
          <w:color w:val="D4A017"/>
          <w:sz w:val="16"/>
        </w:rPr>
        <w:t xml:space="preserve">Réponse : </w:t>
      </w:r>
      <w:r>
        <w:rPr>
          <w:color w:val="1F2937"/>
          <w:sz w:val="16"/>
        </w:rPr>
        <w:t>La réponse fournie doit rester fondée sur les informations publiques validées.</w:t>
      </w:r>
    </w:p>
    <w:p>
      <w:pPr>
        <w:pStyle w:val="Normal"/>
        <w:keepNext w:val="true"/>
        <w:keepLines/>
        <w:spacing w:before="30" w:after="0"/>
        <w:ind w:start="28"/>
        <w:rPr/>
      </w:pPr>
      <w:r>
        <w:rPr>
          <w:b/>
          <w:color w:val="0B3D91"/>
          <w:sz w:val="16"/>
        </w:rPr>
        <w:t>Q10. Quelle réponse essentielle faut-il retenir au sujet de « Message d’accueil d’ÉMINA » ?</w:t>
      </w:r>
    </w:p>
    <w:p>
      <w:pPr>
        <w:pStyle w:val="Normal"/>
        <w:spacing w:before="0" w:after="30"/>
        <w:ind w:start="227"/>
        <w:rPr/>
      </w:pPr>
      <w:r>
        <w:rPr>
          <w:b/>
          <w:color w:val="D4A017"/>
          <w:sz w:val="16"/>
        </w:rPr>
        <w:t xml:space="preserve">Réponse : </w:t>
      </w:r>
      <w:r>
        <w:rPr>
          <w:color w:val="1F2937"/>
          <w:sz w:val="16"/>
        </w:rPr>
        <w:t>ÉMINA se présente et propose de guider le visiteur.</w:t>
      </w:r>
    </w:p>
    <w:p>
      <w:pPr>
        <w:pStyle w:val="Normal"/>
        <w:rPr/>
      </w:pPr>
      <w:r>
        <w:rPr/>
      </w:r>
      <w:r>
        <w:br w:type="page"/>
      </w:r>
    </w:p>
    <w:p>
      <w:pPr>
        <w:pStyle w:val="Heading1"/>
        <w:spacing w:before="0" w:after="100"/>
        <w:rPr/>
      </w:pPr>
      <w:r>
        <w:rPr/>
        <w:t>Fiche 38 — Suggestions rapides « Préinscription, Programmes, Agrément, Visiter l’école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widget de la page Contact propose quatre raccourcis : Préinscription, Programmes, Agrément et Visiter l’école.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Suggestions visibles sur la page Contact.</w:t>
            </w:r>
          </w:p>
        </w:tc>
      </w:tr>
    </w:tbl>
    <w:p>
      <w:pPr>
        <w:pStyle w:val="Normal"/>
        <w:spacing w:before="20" w:after="80"/>
        <w:rPr/>
      </w:pPr>
      <w:r>
        <w:rPr>
          <w:b/>
          <w:color w:val="0B3D91"/>
          <w:sz w:val="15"/>
        </w:rPr>
        <w:t xml:space="preserve">Source contrôlée : </w:t>
      </w:r>
      <w:r>
        <w:rPr>
          <w:color w:val="555555"/>
          <w:sz w:val="15"/>
        </w:rPr>
        <w:t>Widget conversationnel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Préinscription</w:t>
      </w:r>
    </w:p>
    <w:p>
      <w:pPr>
        <w:pStyle w:val="ListBullet"/>
        <w:numPr>
          <w:ilvl w:val="0"/>
          <w:numId w:val="1"/>
        </w:numPr>
        <w:spacing w:before="0" w:after="20"/>
        <w:ind w:hanging="360" w:start="255"/>
        <w:contextualSpacing/>
        <w:rPr/>
      </w:pPr>
      <w:r>
        <w:rPr>
          <w:sz w:val="17"/>
        </w:rPr>
        <w:t>Programmes</w:t>
      </w:r>
    </w:p>
    <w:p>
      <w:pPr>
        <w:pStyle w:val="ListBullet"/>
        <w:numPr>
          <w:ilvl w:val="0"/>
          <w:numId w:val="1"/>
        </w:numPr>
        <w:spacing w:before="0" w:after="20"/>
        <w:ind w:hanging="360" w:start="255"/>
        <w:contextualSpacing/>
        <w:rPr/>
      </w:pPr>
      <w:r>
        <w:rPr>
          <w:sz w:val="17"/>
        </w:rPr>
        <w:t>Agrément</w:t>
      </w:r>
    </w:p>
    <w:p>
      <w:pPr>
        <w:pStyle w:val="ListBullet"/>
        <w:numPr>
          <w:ilvl w:val="0"/>
          <w:numId w:val="1"/>
        </w:numPr>
        <w:spacing w:before="0" w:after="20"/>
        <w:ind w:hanging="360" w:start="255"/>
        <w:contextualSpacing/>
        <w:rPr/>
      </w:pPr>
      <w:r>
        <w:rPr>
          <w:sz w:val="17"/>
        </w:rPr>
        <w:t>Visiter l’école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regroupe les besoins les plus probables dans ce contexte.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l’efficacité de la recherche d’information et la conversion vers les services.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Programmes, À propos/Agrément et Contact/Visite.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Le widget de la page Contact propose quatre raccourcis : Préinscription, Programmes, Agrément et Visiter l’école.</w:t>
      </w:r>
    </w:p>
    <w:p>
      <w:pPr>
        <w:pStyle w:val="Normal"/>
        <w:keepNext w:val="true"/>
        <w:keepLines/>
        <w:spacing w:before="30" w:after="0"/>
        <w:ind w:start="28"/>
        <w:rPr/>
      </w:pPr>
      <w:r>
        <w:rPr>
          <w:b/>
          <w:color w:val="0B3D91"/>
          <w:sz w:val="16"/>
        </w:rPr>
        <w:t>Q2. Quelle est l’idée centrale développée sous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Ces choix couvrent les demandes fréquentes des visiteurs de la page Contact.</w:t>
      </w:r>
    </w:p>
    <w:p>
      <w:pPr>
        <w:pStyle w:val="Normal"/>
        <w:keepNext w:val="true"/>
        <w:keepLines/>
        <w:spacing w:before="30" w:after="0"/>
        <w:ind w:start="28"/>
        <w:rPr/>
      </w:pPr>
      <w:r>
        <w:rPr>
          <w:b/>
          <w:color w:val="0B3D91"/>
          <w:sz w:val="16"/>
        </w:rPr>
        <w:t>Q3. Quels éléments précis sont associés à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Quatre thèmes cliquables ou suggérés.</w:t>
      </w:r>
    </w:p>
    <w:p>
      <w:pPr>
        <w:pStyle w:val="Normal"/>
        <w:keepNext w:val="true"/>
        <w:keepLines/>
        <w:spacing w:before="30" w:after="0"/>
        <w:ind w:start="28"/>
        <w:rPr/>
      </w:pPr>
      <w:r>
        <w:rPr>
          <w:b/>
          <w:color w:val="0B3D91"/>
          <w:sz w:val="16"/>
        </w:rPr>
        <w:t>Q4. Où « Suggestions rapides « Préinscription, Programmes, Agrément, Visiter l’école » » apparaît-il dans le parcours de la page Contact ?</w:t>
      </w:r>
    </w:p>
    <w:p>
      <w:pPr>
        <w:pStyle w:val="Normal"/>
        <w:spacing w:before="0" w:after="30"/>
        <w:ind w:start="227"/>
        <w:rPr/>
      </w:pPr>
      <w:r>
        <w:rPr>
          <w:b/>
          <w:color w:val="D4A017"/>
          <w:sz w:val="16"/>
        </w:rPr>
        <w:t xml:space="preserve">Réponse : </w:t>
      </w:r>
      <w:r>
        <w:rPr>
          <w:color w:val="1F2937"/>
          <w:sz w:val="16"/>
        </w:rPr>
        <w:t>Sous le message d’accueil d’ÉMINA.</w:t>
      </w:r>
    </w:p>
    <w:p>
      <w:pPr>
        <w:pStyle w:val="Normal"/>
        <w:keepNext w:val="true"/>
        <w:keepLines/>
        <w:spacing w:before="30" w:after="0"/>
        <w:ind w:start="28"/>
        <w:rPr/>
      </w:pPr>
      <w:r>
        <w:rPr>
          <w:b/>
          <w:color w:val="0B3D91"/>
          <w:sz w:val="16"/>
        </w:rPr>
        <w:t>Q5. À quel public « Suggestions rapides « Préinscription, Programmes, Agrément, Visiter l’école » » s’adresse-t-il ?</w:t>
      </w:r>
    </w:p>
    <w:p>
      <w:pPr>
        <w:pStyle w:val="Normal"/>
        <w:spacing w:before="0" w:after="30"/>
        <w:ind w:start="227"/>
        <w:rPr/>
      </w:pPr>
      <w:r>
        <w:rPr>
          <w:b/>
          <w:color w:val="D4A017"/>
          <w:sz w:val="16"/>
        </w:rPr>
        <w:t xml:space="preserve">Réponse : </w:t>
      </w:r>
      <w:r>
        <w:rPr>
          <w:color w:val="1F2937"/>
          <w:sz w:val="16"/>
        </w:rPr>
        <w:t>Familles et visiteurs recherchant rapidement une information.</w:t>
      </w:r>
    </w:p>
    <w:p>
      <w:pPr>
        <w:pStyle w:val="Normal"/>
        <w:keepNext w:val="true"/>
        <w:keepLines/>
        <w:spacing w:before="30" w:after="0"/>
        <w:ind w:start="28"/>
        <w:rPr/>
      </w:pPr>
      <w:r>
        <w:rPr>
          <w:b/>
          <w:color w:val="0B3D91"/>
          <w:sz w:val="16"/>
        </w:rPr>
        <w:t>Q6. Quelle action le visiteur peut-il accomplir à partir de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Sélectionner un thème ou poser une question libre.</w:t>
      </w:r>
    </w:p>
    <w:p>
      <w:pPr>
        <w:pStyle w:val="Normal"/>
        <w:keepNext w:val="true"/>
        <w:keepLines/>
        <w:spacing w:before="30" w:after="0"/>
        <w:ind w:start="28"/>
        <w:rPr/>
      </w:pPr>
      <w:r>
        <w:rPr>
          <w:b/>
          <w:color w:val="0B3D91"/>
          <w:sz w:val="16"/>
        </w:rPr>
        <w:t>Q7. Quel canal ou moyen de contact est lié à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Conversation ÉMINA et liens vers les pages correspondantes.</w:t>
      </w:r>
    </w:p>
    <w:p>
      <w:pPr>
        <w:pStyle w:val="Normal"/>
        <w:keepNext w:val="true"/>
        <w:keepLines/>
        <w:spacing w:before="30" w:after="0"/>
        <w:ind w:start="28"/>
        <w:rPr/>
      </w:pPr>
      <w:r>
        <w:rPr>
          <w:b/>
          <w:color w:val="0B3D91"/>
          <w:sz w:val="16"/>
        </w:rPr>
        <w:t>Q8. Quel est le statut éditorial ou fonctionnel de « Suggestions rapides « Préinscription, Programmes, Agrément, Visiter l’école » » sur le site inspecté ?</w:t>
      </w:r>
    </w:p>
    <w:p>
      <w:pPr>
        <w:pStyle w:val="Normal"/>
        <w:spacing w:before="0" w:after="30"/>
        <w:ind w:start="227"/>
        <w:rPr/>
      </w:pPr>
      <w:r>
        <w:rPr>
          <w:b/>
          <w:color w:val="D4A017"/>
          <w:sz w:val="16"/>
        </w:rPr>
        <w:t xml:space="preserve">Réponse : </w:t>
      </w:r>
      <w:r>
        <w:rPr>
          <w:color w:val="1F2937"/>
          <w:sz w:val="16"/>
        </w:rPr>
        <w:t>Suggestions visibles sur la page Contact.</w:t>
      </w:r>
    </w:p>
    <w:p>
      <w:pPr>
        <w:pStyle w:val="Normal"/>
        <w:keepNext w:val="true"/>
        <w:keepLines/>
        <w:spacing w:before="30" w:after="0"/>
        <w:ind w:start="28"/>
        <w:rPr/>
      </w:pPr>
      <w:r>
        <w:rPr>
          <w:b/>
          <w:color w:val="0B3D91"/>
          <w:sz w:val="16"/>
        </w:rPr>
        <w:t>Q9. Quelle limite ou précaution faut-il conserver à propos de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Les réponses doivent refléter les contenus publiés et signaler lorsqu’une validation humaine est nécessaire.</w:t>
      </w:r>
    </w:p>
    <w:p>
      <w:pPr>
        <w:pStyle w:val="Normal"/>
        <w:keepNext w:val="true"/>
        <w:keepLines/>
        <w:spacing w:before="30" w:after="0"/>
        <w:ind w:start="28"/>
        <w:rPr/>
      </w:pPr>
      <w:r>
        <w:rPr>
          <w:b/>
          <w:color w:val="0B3D91"/>
          <w:sz w:val="16"/>
        </w:rPr>
        <w:t>Q10. Quelle réponse essentielle faut-il retenir au sujet de « Suggestions rapides « Préinscription, Programmes, Agrément, Visiter l’école » » ?</w:t>
      </w:r>
    </w:p>
    <w:p>
      <w:pPr>
        <w:pStyle w:val="Normal"/>
        <w:spacing w:before="0" w:after="30"/>
        <w:ind w:start="227"/>
        <w:rPr/>
      </w:pPr>
      <w:r>
        <w:rPr>
          <w:b/>
          <w:color w:val="D4A017"/>
          <w:sz w:val="16"/>
        </w:rPr>
        <w:t xml:space="preserve">Réponse : </w:t>
      </w:r>
      <w:r>
        <w:rPr>
          <w:color w:val="1F2937"/>
          <w:sz w:val="16"/>
        </w:rPr>
        <w:t>ÉMINA oriente rapidement vers la préinscription, les programmes, l’agrément ou la visite.</w:t>
      </w:r>
    </w:p>
    <w:p>
      <w:pPr>
        <w:pStyle w:val="Normal"/>
        <w:rPr/>
      </w:pPr>
      <w:r>
        <w:rPr/>
      </w:r>
      <w:r>
        <w:br w:type="page"/>
      </w:r>
    </w:p>
    <w:p>
      <w:pPr>
        <w:pStyle w:val="Heading1"/>
        <w:spacing w:before="0" w:after="100"/>
        <w:rPr/>
      </w:pPr>
      <w:r>
        <w:rPr/>
        <w:t>Fiche 39 — Champ « Votre question » et bouton « Envoyer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widget comprend un champ « Votre question » et un bouton « Envoyer ».</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Fonction publique active.</w:t>
            </w:r>
          </w:p>
        </w:tc>
      </w:tr>
    </w:tbl>
    <w:p>
      <w:pPr>
        <w:pStyle w:val="Normal"/>
        <w:spacing w:before="20" w:after="80"/>
        <w:rPr/>
      </w:pPr>
      <w:r>
        <w:rPr>
          <w:b/>
          <w:color w:val="0B3D91"/>
          <w:sz w:val="15"/>
        </w:rPr>
        <w:t xml:space="preserve">Source contrôlée : </w:t>
      </w:r>
      <w:r>
        <w:rPr>
          <w:color w:val="555555"/>
          <w:sz w:val="15"/>
        </w:rPr>
        <w:t>Widget conversationnel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Question libre</w:t>
      </w:r>
    </w:p>
    <w:p>
      <w:pPr>
        <w:pStyle w:val="ListBullet"/>
        <w:numPr>
          <w:ilvl w:val="0"/>
          <w:numId w:val="1"/>
        </w:numPr>
        <w:spacing w:before="0" w:after="20"/>
        <w:ind w:hanging="360" w:start="255"/>
        <w:contextualSpacing/>
        <w:rPr/>
      </w:pPr>
      <w:r>
        <w:rPr>
          <w:sz w:val="17"/>
        </w:rPr>
        <w:t>Bouton Envoyer</w:t>
      </w:r>
    </w:p>
    <w:p>
      <w:pPr>
        <w:pStyle w:val="ListBullet"/>
        <w:numPr>
          <w:ilvl w:val="0"/>
          <w:numId w:val="1"/>
        </w:numPr>
        <w:spacing w:before="0" w:after="20"/>
        <w:ind w:hanging="360" w:start="255"/>
        <w:contextualSpacing/>
        <w:rPr/>
      </w:pPr>
      <w:r>
        <w:rPr>
          <w:sz w:val="17"/>
        </w:rPr>
        <w:t>Conversation</w:t>
      </w:r>
    </w:p>
    <w:p>
      <w:pPr>
        <w:pStyle w:val="ListBullet"/>
        <w:numPr>
          <w:ilvl w:val="0"/>
          <w:numId w:val="1"/>
        </w:numPr>
        <w:spacing w:before="0" w:after="20"/>
        <w:ind w:hanging="360" w:start="255"/>
        <w:contextualSpacing/>
        <w:rPr/>
      </w:pPr>
      <w:r>
        <w:rPr>
          <w:sz w:val="17"/>
        </w:rPr>
        <w:t>Pas de données sensibles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décrit l’action principale du widget.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facilite l’accès immédiat à l’information institutionnelle.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message d’accueil, suggestions rapides, limites d’ÉMINA et Assistance humaine.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Champ « Votre question » et bouton « Envoyer » » ?</w:t>
      </w:r>
    </w:p>
    <w:p>
      <w:pPr>
        <w:pStyle w:val="Normal"/>
        <w:spacing w:before="0" w:after="30"/>
        <w:ind w:start="227"/>
        <w:rPr/>
      </w:pPr>
      <w:r>
        <w:rPr>
          <w:b/>
          <w:color w:val="D4A017"/>
          <w:sz w:val="16"/>
        </w:rPr>
        <w:t xml:space="preserve">Réponse : </w:t>
      </w:r>
      <w:r>
        <w:rPr>
          <w:color w:val="1F2937"/>
          <w:sz w:val="16"/>
        </w:rPr>
        <w:t>Le widget comprend un champ « Votre question » et un bouton « Envoyer ».</w:t>
      </w:r>
    </w:p>
    <w:p>
      <w:pPr>
        <w:pStyle w:val="Normal"/>
        <w:keepNext w:val="true"/>
        <w:keepLines/>
        <w:spacing w:before="30" w:after="0"/>
        <w:ind w:start="28"/>
        <w:rPr/>
      </w:pPr>
      <w:r>
        <w:rPr>
          <w:b/>
          <w:color w:val="0B3D91"/>
          <w:sz w:val="16"/>
        </w:rPr>
        <w:t>Q2. Quelle est l’idée centrale développée sous « Champ « Votre question » et bouton « Envoyer » » ?</w:t>
      </w:r>
    </w:p>
    <w:p>
      <w:pPr>
        <w:pStyle w:val="Normal"/>
        <w:spacing w:before="0" w:after="30"/>
        <w:ind w:start="227"/>
        <w:rPr/>
      </w:pPr>
      <w:r>
        <w:rPr>
          <w:b/>
          <w:color w:val="D4A017"/>
          <w:sz w:val="16"/>
        </w:rPr>
        <w:t xml:space="preserve">Réponse : </w:t>
      </w:r>
      <w:r>
        <w:rPr>
          <w:color w:val="1F2937"/>
          <w:sz w:val="16"/>
        </w:rPr>
        <w:t>Le visiteur peut saisir une demande libre et la transmettre à ÉMINA.</w:t>
      </w:r>
    </w:p>
    <w:p>
      <w:pPr>
        <w:pStyle w:val="Normal"/>
        <w:keepNext w:val="true"/>
        <w:keepLines/>
        <w:spacing w:before="30" w:after="0"/>
        <w:ind w:start="28"/>
        <w:rPr/>
      </w:pPr>
      <w:r>
        <w:rPr>
          <w:b/>
          <w:color w:val="0B3D91"/>
          <w:sz w:val="16"/>
        </w:rPr>
        <w:t>Q3. Quels éléments précis sont associés à « Champ « Votre question » et bouton « Envoyer » » ?</w:t>
      </w:r>
    </w:p>
    <w:p>
      <w:pPr>
        <w:pStyle w:val="Normal"/>
        <w:spacing w:before="0" w:after="30"/>
        <w:ind w:start="227"/>
        <w:rPr/>
      </w:pPr>
      <w:r>
        <w:rPr>
          <w:b/>
          <w:color w:val="D4A017"/>
          <w:sz w:val="16"/>
        </w:rPr>
        <w:t xml:space="preserve">Réponse : </w:t>
      </w:r>
      <w:r>
        <w:rPr>
          <w:color w:val="1F2937"/>
          <w:sz w:val="16"/>
        </w:rPr>
        <w:t>Zone de saisie et action d’envoi.</w:t>
      </w:r>
    </w:p>
    <w:p>
      <w:pPr>
        <w:pStyle w:val="Normal"/>
        <w:keepNext w:val="true"/>
        <w:keepLines/>
        <w:spacing w:before="30" w:after="0"/>
        <w:ind w:start="28"/>
        <w:rPr/>
      </w:pPr>
      <w:r>
        <w:rPr>
          <w:b/>
          <w:color w:val="0B3D91"/>
          <w:sz w:val="16"/>
        </w:rPr>
        <w:t>Q4. Où « Champ « Votre question » et bouton « Envoyer » » apparaît-il dans le parcours de la page Contact ?</w:t>
      </w:r>
    </w:p>
    <w:p>
      <w:pPr>
        <w:pStyle w:val="Normal"/>
        <w:spacing w:before="0" w:after="30"/>
        <w:ind w:start="227"/>
        <w:rPr/>
      </w:pPr>
      <w:r>
        <w:rPr>
          <w:b/>
          <w:color w:val="D4A017"/>
          <w:sz w:val="16"/>
        </w:rPr>
        <w:t xml:space="preserve">Réponse : </w:t>
      </w:r>
      <w:r>
        <w:rPr>
          <w:color w:val="1F2937"/>
          <w:sz w:val="16"/>
        </w:rPr>
        <w:t>Dans la fenêtre de conversation ÉMINA.</w:t>
      </w:r>
    </w:p>
    <w:p>
      <w:pPr>
        <w:pStyle w:val="Normal"/>
        <w:keepNext w:val="true"/>
        <w:keepLines/>
        <w:spacing w:before="30" w:after="0"/>
        <w:ind w:start="28"/>
        <w:rPr/>
      </w:pPr>
      <w:r>
        <w:rPr>
          <w:b/>
          <w:color w:val="0B3D91"/>
          <w:sz w:val="16"/>
        </w:rPr>
        <w:t>Q5. À quel public « Champ « Votre question » et bouton « Envoyer » » s’adresse-t-il ?</w:t>
      </w:r>
    </w:p>
    <w:p>
      <w:pPr>
        <w:pStyle w:val="Normal"/>
        <w:spacing w:before="0" w:after="30"/>
        <w:ind w:start="227"/>
        <w:rPr/>
      </w:pPr>
      <w:r>
        <w:rPr>
          <w:b/>
          <w:color w:val="D4A017"/>
          <w:sz w:val="16"/>
        </w:rPr>
        <w:t xml:space="preserve">Réponse : </w:t>
      </w:r>
      <w:r>
        <w:rPr>
          <w:color w:val="1F2937"/>
          <w:sz w:val="16"/>
        </w:rPr>
        <w:t>Tout utilisateur du site.</w:t>
      </w:r>
    </w:p>
    <w:p>
      <w:pPr>
        <w:pStyle w:val="Normal"/>
        <w:keepNext w:val="true"/>
        <w:keepLines/>
        <w:spacing w:before="30" w:after="0"/>
        <w:ind w:start="28"/>
        <w:rPr/>
      </w:pPr>
      <w:r>
        <w:rPr>
          <w:b/>
          <w:color w:val="0B3D91"/>
          <w:sz w:val="16"/>
        </w:rPr>
        <w:t>Q6. Quelle action le visiteur peut-il accomplir à partir de « Champ « Votre question » et bouton « Envoyer » » ?</w:t>
      </w:r>
    </w:p>
    <w:p>
      <w:pPr>
        <w:pStyle w:val="Normal"/>
        <w:spacing w:before="0" w:after="30"/>
        <w:ind w:start="227"/>
        <w:rPr/>
      </w:pPr>
      <w:r>
        <w:rPr>
          <w:b/>
          <w:color w:val="D4A017"/>
          <w:sz w:val="16"/>
        </w:rPr>
        <w:t xml:space="preserve">Réponse : </w:t>
      </w:r>
      <w:r>
        <w:rPr>
          <w:color w:val="1F2937"/>
          <w:sz w:val="16"/>
        </w:rPr>
        <w:t>Écrire une question puis l’envoyer.</w:t>
      </w:r>
    </w:p>
    <w:p>
      <w:pPr>
        <w:pStyle w:val="Normal"/>
        <w:keepNext w:val="true"/>
        <w:keepLines/>
        <w:spacing w:before="30" w:after="0"/>
        <w:ind w:start="28"/>
        <w:rPr/>
      </w:pPr>
      <w:r>
        <w:rPr>
          <w:b/>
          <w:color w:val="0B3D91"/>
          <w:sz w:val="16"/>
        </w:rPr>
        <w:t>Q7. Quel canal ou moyen de contact est lié à « Champ « Votre question » et bouton « Envoyer » » ?</w:t>
      </w:r>
    </w:p>
    <w:p>
      <w:pPr>
        <w:pStyle w:val="Normal"/>
        <w:spacing w:before="0" w:after="30"/>
        <w:ind w:start="227"/>
        <w:rPr/>
      </w:pPr>
      <w:r>
        <w:rPr>
          <w:b/>
          <w:color w:val="D4A017"/>
          <w:sz w:val="16"/>
        </w:rPr>
        <w:t xml:space="preserve">Réponse : </w:t>
      </w:r>
      <w:r>
        <w:rPr>
          <w:color w:val="1F2937"/>
          <w:sz w:val="16"/>
        </w:rPr>
        <w:t>Interface conversationnelle web.</w:t>
      </w:r>
    </w:p>
    <w:p>
      <w:pPr>
        <w:pStyle w:val="Normal"/>
        <w:keepNext w:val="true"/>
        <w:keepLines/>
        <w:spacing w:before="30" w:after="0"/>
        <w:ind w:start="28"/>
        <w:rPr/>
      </w:pPr>
      <w:r>
        <w:rPr>
          <w:b/>
          <w:color w:val="0B3D91"/>
          <w:sz w:val="16"/>
        </w:rPr>
        <w:t>Q8. Quel est le statut éditorial ou fonctionnel de « Champ « Votre question » et bouton « Envoyer » » sur le site inspecté ?</w:t>
      </w:r>
    </w:p>
    <w:p>
      <w:pPr>
        <w:pStyle w:val="Normal"/>
        <w:spacing w:before="0" w:after="30"/>
        <w:ind w:start="227"/>
        <w:rPr/>
      </w:pPr>
      <w:r>
        <w:rPr>
          <w:b/>
          <w:color w:val="D4A017"/>
          <w:sz w:val="16"/>
        </w:rPr>
        <w:t xml:space="preserve">Réponse : </w:t>
      </w:r>
      <w:r>
        <w:rPr>
          <w:color w:val="1F2937"/>
          <w:sz w:val="16"/>
        </w:rPr>
        <w:t>Fonction publique active.</w:t>
      </w:r>
    </w:p>
    <w:p>
      <w:pPr>
        <w:pStyle w:val="Normal"/>
        <w:keepNext w:val="true"/>
        <w:keepLines/>
        <w:spacing w:before="30" w:after="0"/>
        <w:ind w:start="28"/>
        <w:rPr/>
      </w:pPr>
      <w:r>
        <w:rPr>
          <w:b/>
          <w:color w:val="0B3D91"/>
          <w:sz w:val="16"/>
        </w:rPr>
        <w:t>Q9. Quelle limite ou précaution faut-il conserver à propos de « Champ « Votre question » et bouton « Envoyer » » ?</w:t>
      </w:r>
    </w:p>
    <w:p>
      <w:pPr>
        <w:pStyle w:val="Normal"/>
        <w:spacing w:before="0" w:after="30"/>
        <w:ind w:start="227"/>
        <w:rPr/>
      </w:pPr>
      <w:r>
        <w:rPr>
          <w:b/>
          <w:color w:val="D4A017"/>
          <w:sz w:val="16"/>
        </w:rPr>
        <w:t xml:space="preserve">Réponse : </w:t>
      </w:r>
      <w:r>
        <w:rPr>
          <w:color w:val="1F2937"/>
          <w:sz w:val="16"/>
        </w:rPr>
        <w:t>Aucune donnée sensible ne doit être saisie dans ce champ public.</w:t>
      </w:r>
    </w:p>
    <w:p>
      <w:pPr>
        <w:pStyle w:val="Normal"/>
        <w:keepNext w:val="true"/>
        <w:keepLines/>
        <w:spacing w:before="30" w:after="0"/>
        <w:ind w:start="28"/>
        <w:rPr/>
      </w:pPr>
      <w:r>
        <w:rPr>
          <w:b/>
          <w:color w:val="0B3D91"/>
          <w:sz w:val="16"/>
        </w:rPr>
        <w:t>Q10. Quelle réponse essentielle faut-il retenir au sujet de « Champ « Votre question » et bouton « Envoyer » » ?</w:t>
      </w:r>
    </w:p>
    <w:p>
      <w:pPr>
        <w:pStyle w:val="Normal"/>
        <w:spacing w:before="0" w:after="30"/>
        <w:ind w:start="227"/>
        <w:rPr/>
      </w:pPr>
      <w:r>
        <w:rPr>
          <w:b/>
          <w:color w:val="D4A017"/>
          <w:sz w:val="16"/>
        </w:rPr>
        <w:t xml:space="preserve">Réponse : </w:t>
      </w:r>
      <w:r>
        <w:rPr>
          <w:color w:val="1F2937"/>
          <w:sz w:val="16"/>
        </w:rPr>
        <w:t>Le champ et le bouton permettent d’interroger ÉMINA.</w:t>
      </w:r>
    </w:p>
    <w:p>
      <w:pPr>
        <w:pStyle w:val="Normal"/>
        <w:rPr/>
      </w:pPr>
      <w:r>
        <w:rPr/>
      </w:r>
      <w:r>
        <w:br w:type="page"/>
      </w:r>
    </w:p>
    <w:p>
      <w:pPr>
        <w:pStyle w:val="Heading1"/>
        <w:spacing w:before="0" w:after="100"/>
        <w:rPr/>
      </w:pPr>
      <w:r>
        <w:rPr/>
        <w:t>Fiche 40 — Avertissement sur les données sensibles et les limites d’ÉMINA</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site indique de ne pas transmettre de données médicales, financières, mots de passe ou informations sensibles et précise qu’ÉMINA ne prend aucune décision à la place du personnel habilité.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Règle de sécurité publiée.</w:t>
            </w:r>
          </w:p>
        </w:tc>
      </w:tr>
    </w:tbl>
    <w:p>
      <w:pPr>
        <w:pStyle w:val="Normal"/>
        <w:spacing w:before="20" w:after="80"/>
        <w:rPr/>
      </w:pPr>
      <w:r>
        <w:rPr>
          <w:b/>
          <w:color w:val="0B3D91"/>
          <w:sz w:val="15"/>
        </w:rPr>
        <w:t xml:space="preserve">Source contrôlée : </w:t>
      </w:r>
      <w:r>
        <w:rPr>
          <w:color w:val="555555"/>
          <w:sz w:val="15"/>
        </w:rPr>
        <w:t>Widget et politique de confidentialité — https://test.gsleseminents.com/politique-de-confidentialite/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Pas de données médicales</w:t>
      </w:r>
    </w:p>
    <w:p>
      <w:pPr>
        <w:pStyle w:val="ListBullet"/>
        <w:numPr>
          <w:ilvl w:val="0"/>
          <w:numId w:val="1"/>
        </w:numPr>
        <w:spacing w:before="0" w:after="20"/>
        <w:ind w:hanging="360" w:start="255"/>
        <w:contextualSpacing/>
        <w:rPr/>
      </w:pPr>
      <w:r>
        <w:rPr>
          <w:sz w:val="17"/>
        </w:rPr>
        <w:t>Pas de données financières</w:t>
      </w:r>
    </w:p>
    <w:p>
      <w:pPr>
        <w:pStyle w:val="ListBullet"/>
        <w:numPr>
          <w:ilvl w:val="0"/>
          <w:numId w:val="1"/>
        </w:numPr>
        <w:spacing w:before="0" w:after="20"/>
        <w:ind w:hanging="360" w:start="255"/>
        <w:contextualSpacing/>
        <w:rPr/>
      </w:pPr>
      <w:r>
        <w:rPr>
          <w:sz w:val="17"/>
        </w:rPr>
        <w:t>Pas de mots de passe</w:t>
      </w:r>
    </w:p>
    <w:p>
      <w:pPr>
        <w:pStyle w:val="ListBullet"/>
        <w:numPr>
          <w:ilvl w:val="0"/>
          <w:numId w:val="1"/>
        </w:numPr>
        <w:spacing w:before="0" w:after="20"/>
        <w:ind w:hanging="360" w:start="255"/>
        <w:contextualSpacing/>
        <w:rPr/>
      </w:pPr>
      <w:r>
        <w:rPr>
          <w:sz w:val="17"/>
        </w:rPr>
        <w:t>Décision humaine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formalise les limites nécessaires à un usage responsable.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protège les enfants, les familles, l’école et la conformité des traitements.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Confidentialité, Espace Parents, Assistance humaine, Admissions et Santé.</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Avertissement sur les données sensibles et les limites d’ÉMINA » ?</w:t>
      </w:r>
    </w:p>
    <w:p>
      <w:pPr>
        <w:pStyle w:val="Normal"/>
        <w:spacing w:before="0" w:after="30"/>
        <w:ind w:start="227"/>
        <w:rPr/>
      </w:pPr>
      <w:r>
        <w:rPr>
          <w:b/>
          <w:color w:val="D4A017"/>
          <w:sz w:val="16"/>
        </w:rPr>
        <w:t xml:space="preserve">Réponse : </w:t>
      </w:r>
      <w:r>
        <w:rPr>
          <w:color w:val="1F2937"/>
          <w:sz w:val="16"/>
        </w:rPr>
        <w:t>Le site indique de ne pas transmettre de données médicales, financières, mots de passe ou informations sensibles et précise qu’ÉMINA ne prend aucune décision à la place du personnel habilité.</w:t>
      </w:r>
    </w:p>
    <w:p>
      <w:pPr>
        <w:pStyle w:val="Normal"/>
        <w:keepNext w:val="true"/>
        <w:keepLines/>
        <w:spacing w:before="30" w:after="0"/>
        <w:ind w:start="28"/>
        <w:rPr/>
      </w:pPr>
      <w:r>
        <w:rPr>
          <w:b/>
          <w:color w:val="0B3D91"/>
          <w:sz w:val="16"/>
        </w:rPr>
        <w:t>Q2. Quelle est l’idée centrale développée sous « Avertissement sur les données sensibles et les limites d’ÉMINA » ?</w:t>
      </w:r>
    </w:p>
    <w:p>
      <w:pPr>
        <w:pStyle w:val="Normal"/>
        <w:spacing w:before="0" w:after="30"/>
        <w:ind w:start="227"/>
        <w:rPr/>
      </w:pPr>
      <w:r>
        <w:rPr>
          <w:b/>
          <w:color w:val="D4A017"/>
          <w:sz w:val="16"/>
        </w:rPr>
        <w:t xml:space="preserve">Réponse : </w:t>
      </w:r>
      <w:r>
        <w:rPr>
          <w:color w:val="1F2937"/>
          <w:sz w:val="16"/>
        </w:rPr>
        <w:t>La protection des données et la limitation du rôle de l’assistante sont prioritaires.</w:t>
      </w:r>
    </w:p>
    <w:p>
      <w:pPr>
        <w:pStyle w:val="Normal"/>
        <w:keepNext w:val="true"/>
        <w:keepLines/>
        <w:spacing w:before="30" w:after="0"/>
        <w:ind w:start="28"/>
        <w:rPr/>
      </w:pPr>
      <w:r>
        <w:rPr>
          <w:b/>
          <w:color w:val="0B3D91"/>
          <w:sz w:val="16"/>
        </w:rPr>
        <w:t>Q3. Quels éléments précis sont associés à « Avertissement sur les données sensibles et les limites d’ÉMINA » ?</w:t>
      </w:r>
    </w:p>
    <w:p>
      <w:pPr>
        <w:pStyle w:val="Normal"/>
        <w:spacing w:before="0" w:after="30"/>
        <w:ind w:start="227"/>
        <w:rPr/>
      </w:pPr>
      <w:r>
        <w:rPr>
          <w:b/>
          <w:color w:val="D4A017"/>
          <w:sz w:val="16"/>
        </w:rPr>
        <w:t xml:space="preserve">Réponse : </w:t>
      </w:r>
      <w:r>
        <w:rPr>
          <w:color w:val="1F2937"/>
          <w:sz w:val="16"/>
        </w:rPr>
        <w:t>Données médicales, financières, mots de passe, informations sensibles, informations publiques et décision humaine.</w:t>
      </w:r>
    </w:p>
    <w:p>
      <w:pPr>
        <w:pStyle w:val="Normal"/>
        <w:keepNext w:val="true"/>
        <w:keepLines/>
        <w:spacing w:before="30" w:after="0"/>
        <w:ind w:start="28"/>
        <w:rPr/>
      </w:pPr>
      <w:r>
        <w:rPr>
          <w:b/>
          <w:color w:val="0B3D91"/>
          <w:sz w:val="16"/>
        </w:rPr>
        <w:t>Q4. Où « Avertissement sur les données sensibles et les limites d’ÉMINA » apparaît-il dans le parcours de la page Contact ?</w:t>
      </w:r>
    </w:p>
    <w:p>
      <w:pPr>
        <w:pStyle w:val="Normal"/>
        <w:spacing w:before="0" w:after="30"/>
        <w:ind w:start="227"/>
        <w:rPr/>
      </w:pPr>
      <w:r>
        <w:rPr>
          <w:b/>
          <w:color w:val="D4A017"/>
          <w:sz w:val="16"/>
        </w:rPr>
        <w:t xml:space="preserve">Réponse : </w:t>
      </w:r>
      <w:r>
        <w:rPr>
          <w:color w:val="1F2937"/>
          <w:sz w:val="16"/>
        </w:rPr>
        <w:t>Dans le widget ÉMINA et dans la politique de confidentialité du site.</w:t>
      </w:r>
    </w:p>
    <w:p>
      <w:pPr>
        <w:pStyle w:val="Normal"/>
        <w:keepNext w:val="true"/>
        <w:keepLines/>
        <w:spacing w:before="30" w:after="0"/>
        <w:ind w:start="28"/>
        <w:rPr/>
      </w:pPr>
      <w:r>
        <w:rPr>
          <w:b/>
          <w:color w:val="0B3D91"/>
          <w:sz w:val="16"/>
        </w:rPr>
        <w:t>Q5. À quel public « Avertissement sur les données sensibles et les limites d’ÉMINA » s’adresse-t-il ?</w:t>
      </w:r>
    </w:p>
    <w:p>
      <w:pPr>
        <w:pStyle w:val="Normal"/>
        <w:spacing w:before="0" w:after="30"/>
        <w:ind w:start="227"/>
        <w:rPr/>
      </w:pPr>
      <w:r>
        <w:rPr>
          <w:b/>
          <w:color w:val="D4A017"/>
          <w:sz w:val="16"/>
        </w:rPr>
        <w:t xml:space="preserve">Réponse : </w:t>
      </w:r>
      <w:r>
        <w:rPr>
          <w:color w:val="1F2937"/>
          <w:sz w:val="16"/>
        </w:rPr>
        <w:t>Tous les utilisateurs, notamment les familles.</w:t>
      </w:r>
    </w:p>
    <w:p>
      <w:pPr>
        <w:pStyle w:val="Normal"/>
        <w:keepNext w:val="true"/>
        <w:keepLines/>
        <w:spacing w:before="30" w:after="0"/>
        <w:ind w:start="28"/>
        <w:rPr/>
      </w:pPr>
      <w:r>
        <w:rPr>
          <w:b/>
          <w:color w:val="0B3D91"/>
          <w:sz w:val="16"/>
        </w:rPr>
        <w:t>Q6. Quelle action le visiteur peut-il accomplir à partir de « Avertissement sur les données sensibles et les limites d’ÉMINA » ?</w:t>
      </w:r>
    </w:p>
    <w:p>
      <w:pPr>
        <w:pStyle w:val="Normal"/>
        <w:spacing w:before="0" w:after="30"/>
        <w:ind w:start="227"/>
        <w:rPr/>
      </w:pPr>
      <w:r>
        <w:rPr>
          <w:b/>
          <w:color w:val="D4A017"/>
          <w:sz w:val="16"/>
        </w:rPr>
        <w:t xml:space="preserve">Réponse : </w:t>
      </w:r>
      <w:r>
        <w:rPr>
          <w:color w:val="1F2937"/>
          <w:sz w:val="16"/>
        </w:rPr>
        <w:t>Limiter la question aux informations institutionnelles générales et contacter un agent pour les cas sensibles.</w:t>
      </w:r>
    </w:p>
    <w:p>
      <w:pPr>
        <w:pStyle w:val="Normal"/>
        <w:keepNext w:val="true"/>
        <w:keepLines/>
        <w:spacing w:before="30" w:after="0"/>
        <w:ind w:start="28"/>
        <w:rPr/>
      </w:pPr>
      <w:r>
        <w:rPr>
          <w:b/>
          <w:color w:val="0B3D91"/>
          <w:sz w:val="16"/>
        </w:rPr>
        <w:t>Q7. Quel canal ou moyen de contact est lié à « Avertissement sur les données sensibles et les limites d’ÉMINA » ?</w:t>
      </w:r>
    </w:p>
    <w:p>
      <w:pPr>
        <w:pStyle w:val="Normal"/>
        <w:spacing w:before="0" w:after="30"/>
        <w:ind w:start="227"/>
        <w:rPr/>
      </w:pPr>
      <w:r>
        <w:rPr>
          <w:b/>
          <w:color w:val="D4A017"/>
          <w:sz w:val="16"/>
        </w:rPr>
        <w:t xml:space="preserve">Réponse : </w:t>
      </w:r>
      <w:r>
        <w:rPr>
          <w:color w:val="1F2937"/>
          <w:sz w:val="16"/>
        </w:rPr>
        <w:t>ÉMINA, e-mail, téléphone, WhatsApp et espace sécurisé selon le cas.</w:t>
      </w:r>
    </w:p>
    <w:p>
      <w:pPr>
        <w:pStyle w:val="Normal"/>
        <w:keepNext w:val="true"/>
        <w:keepLines/>
        <w:spacing w:before="30" w:after="0"/>
        <w:ind w:start="28"/>
        <w:rPr/>
      </w:pPr>
      <w:r>
        <w:rPr>
          <w:b/>
          <w:color w:val="0B3D91"/>
          <w:sz w:val="16"/>
        </w:rPr>
        <w:t>Q8. Quel est le statut éditorial ou fonctionnel de « Avertissement sur les données sensibles et les limites d’ÉMINA » sur le site inspecté ?</w:t>
      </w:r>
    </w:p>
    <w:p>
      <w:pPr>
        <w:pStyle w:val="Normal"/>
        <w:spacing w:before="0" w:after="30"/>
        <w:ind w:start="227"/>
        <w:rPr/>
      </w:pPr>
      <w:r>
        <w:rPr>
          <w:b/>
          <w:color w:val="D4A017"/>
          <w:sz w:val="16"/>
        </w:rPr>
        <w:t xml:space="preserve">Réponse : </w:t>
      </w:r>
      <w:r>
        <w:rPr>
          <w:color w:val="1F2937"/>
          <w:sz w:val="16"/>
        </w:rPr>
        <w:t>Règle de sécurité publiée.</w:t>
      </w:r>
    </w:p>
    <w:p>
      <w:pPr>
        <w:pStyle w:val="Normal"/>
        <w:keepNext w:val="true"/>
        <w:keepLines/>
        <w:spacing w:before="30" w:after="0"/>
        <w:ind w:start="28"/>
        <w:rPr/>
      </w:pPr>
      <w:r>
        <w:rPr>
          <w:b/>
          <w:color w:val="0B3D91"/>
          <w:sz w:val="16"/>
        </w:rPr>
        <w:t>Q9. Quelle limite ou précaution faut-il conserver à propos de « Avertissement sur les données sensibles et les limites d’ÉMINA » ?</w:t>
      </w:r>
    </w:p>
    <w:p>
      <w:pPr>
        <w:pStyle w:val="Normal"/>
        <w:spacing w:before="0" w:after="30"/>
        <w:ind w:start="227"/>
        <w:rPr/>
      </w:pPr>
      <w:r>
        <w:rPr>
          <w:b/>
          <w:color w:val="D4A017"/>
          <w:sz w:val="16"/>
        </w:rPr>
        <w:t xml:space="preserve">Réponse : </w:t>
      </w:r>
      <w:r>
        <w:rPr>
          <w:color w:val="1F2937"/>
          <w:sz w:val="16"/>
        </w:rPr>
        <w:t>Une conversation publique ne remplace pas un espace sécurisé ni un professionnel habilité.</w:t>
      </w:r>
    </w:p>
    <w:p>
      <w:pPr>
        <w:pStyle w:val="Normal"/>
        <w:keepNext w:val="true"/>
        <w:keepLines/>
        <w:spacing w:before="30" w:after="0"/>
        <w:ind w:start="28"/>
        <w:rPr/>
      </w:pPr>
      <w:r>
        <w:rPr>
          <w:b/>
          <w:color w:val="0B3D91"/>
          <w:sz w:val="16"/>
        </w:rPr>
        <w:t>Q10. Quelle réponse essentielle faut-il retenir au sujet de « Avertissement sur les données sensibles et les limites d’ÉMINA » ?</w:t>
      </w:r>
    </w:p>
    <w:p>
      <w:pPr>
        <w:pStyle w:val="Normal"/>
        <w:spacing w:before="0" w:after="30"/>
        <w:ind w:start="227"/>
        <w:rPr/>
      </w:pPr>
      <w:r>
        <w:rPr>
          <w:b/>
          <w:color w:val="D4A017"/>
          <w:sz w:val="16"/>
        </w:rPr>
        <w:t xml:space="preserve">Réponse : </w:t>
      </w:r>
      <w:r>
        <w:rPr>
          <w:color w:val="1F2937"/>
          <w:sz w:val="16"/>
        </w:rPr>
        <w:t>ÉMINA informe et oriente, mais ne reçoit pas de données sensibles et ne décide pas à la place du personnel.</w:t>
      </w:r>
    </w:p>
    <w:p>
      <w:pPr>
        <w:pStyle w:val="Normal"/>
        <w:rPr/>
      </w:pPr>
      <w:r>
        <w:rPr/>
      </w:r>
      <w:r>
        <w:br w:type="page"/>
      </w:r>
    </w:p>
    <w:p>
      <w:pPr>
        <w:pStyle w:val="Heading1"/>
        <w:spacing w:before="0" w:after="100"/>
        <w:rPr/>
      </w:pPr>
      <w:r>
        <w:rPr/>
        <w:t>Fiche 41 — Lien « Confidentialité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pied de page comporte un lien vers la Politique de confidentialité.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Lien actif et page publiée.</w:t>
            </w:r>
          </w:p>
        </w:tc>
      </w:tr>
    </w:tbl>
    <w:p>
      <w:pPr>
        <w:pStyle w:val="Normal"/>
        <w:spacing w:before="20" w:after="80"/>
        <w:rPr/>
      </w:pPr>
      <w:r>
        <w:rPr>
          <w:b/>
          <w:color w:val="0B3D91"/>
          <w:sz w:val="15"/>
        </w:rPr>
        <w:t xml:space="preserve">Source contrôlée : </w:t>
      </w:r>
      <w:r>
        <w:rPr>
          <w:color w:val="555555"/>
          <w:sz w:val="15"/>
        </w:rPr>
        <w:t>Pied de page — https://test.gsleseminents.com/politique-de-confidentialite/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Protection des données</w:t>
      </w:r>
    </w:p>
    <w:p>
      <w:pPr>
        <w:pStyle w:val="ListBullet"/>
        <w:numPr>
          <w:ilvl w:val="0"/>
          <w:numId w:val="1"/>
        </w:numPr>
        <w:spacing w:before="0" w:after="20"/>
        <w:ind w:hanging="360" w:start="255"/>
        <w:contextualSpacing/>
        <w:rPr/>
      </w:pPr>
      <w:r>
        <w:rPr>
          <w:sz w:val="17"/>
        </w:rPr>
        <w:t>Droit à l’image</w:t>
      </w:r>
    </w:p>
    <w:p>
      <w:pPr>
        <w:pStyle w:val="ListBullet"/>
        <w:numPr>
          <w:ilvl w:val="0"/>
          <w:numId w:val="1"/>
        </w:numPr>
        <w:spacing w:before="0" w:after="20"/>
        <w:ind w:hanging="360" w:start="255"/>
        <w:contextualSpacing/>
        <w:rPr/>
      </w:pPr>
      <w:r>
        <w:rPr>
          <w:sz w:val="17"/>
        </w:rPr>
        <w:t>Accès autorisé</w:t>
      </w:r>
    </w:p>
    <w:p>
      <w:pPr>
        <w:pStyle w:val="ListBullet"/>
        <w:numPr>
          <w:ilvl w:val="0"/>
          <w:numId w:val="1"/>
        </w:numPr>
        <w:spacing w:before="0" w:after="20"/>
        <w:ind w:hanging="360" w:start="255"/>
        <w:contextualSpacing/>
        <w:rPr/>
      </w:pPr>
      <w:r>
        <w:rPr>
          <w:sz w:val="17"/>
        </w:rPr>
        <w:t>Minimisation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donne accès aux règles de protection applicables aux formulaires et outils numériques.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soutient la confiance, la transparence et la responsabilité institutionnelle.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Formulaire, ÉMINA, Espace Parents, Admissions et données sensibles.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Lien « Confidentialité » » ?</w:t>
      </w:r>
    </w:p>
    <w:p>
      <w:pPr>
        <w:pStyle w:val="Normal"/>
        <w:spacing w:before="0" w:after="30"/>
        <w:ind w:start="227"/>
        <w:rPr/>
      </w:pPr>
      <w:r>
        <w:rPr>
          <w:b/>
          <w:color w:val="D4A017"/>
          <w:sz w:val="16"/>
        </w:rPr>
        <w:t xml:space="preserve">Réponse : </w:t>
      </w:r>
      <w:r>
        <w:rPr>
          <w:color w:val="1F2937"/>
          <w:sz w:val="16"/>
        </w:rPr>
        <w:t>Le pied de page comporte un lien vers la Politique de confidentialité.</w:t>
      </w:r>
    </w:p>
    <w:p>
      <w:pPr>
        <w:pStyle w:val="Normal"/>
        <w:keepNext w:val="true"/>
        <w:keepLines/>
        <w:spacing w:before="30" w:after="0"/>
        <w:ind w:start="28"/>
        <w:rPr/>
      </w:pPr>
      <w:r>
        <w:rPr>
          <w:b/>
          <w:color w:val="0B3D91"/>
          <w:sz w:val="16"/>
        </w:rPr>
        <w:t>Q2. Quelle est l’idée centrale développée sous « Lien « Confidentialité » » ?</w:t>
      </w:r>
    </w:p>
    <w:p>
      <w:pPr>
        <w:pStyle w:val="Normal"/>
        <w:spacing w:before="0" w:after="30"/>
        <w:ind w:start="227"/>
        <w:rPr/>
      </w:pPr>
      <w:r>
        <w:rPr>
          <w:b/>
          <w:color w:val="D4A017"/>
          <w:sz w:val="16"/>
        </w:rPr>
        <w:t xml:space="preserve">Réponse : </w:t>
      </w:r>
      <w:r>
        <w:rPr>
          <w:color w:val="1F2937"/>
          <w:sz w:val="16"/>
        </w:rPr>
        <w:t>Il permet au visiteur de comprendre comment l’école protège les données personnelles et les informations sensibles.</w:t>
      </w:r>
    </w:p>
    <w:p>
      <w:pPr>
        <w:pStyle w:val="Normal"/>
        <w:keepNext w:val="true"/>
        <w:keepLines/>
        <w:spacing w:before="30" w:after="0"/>
        <w:ind w:start="28"/>
        <w:rPr/>
      </w:pPr>
      <w:r>
        <w:rPr>
          <w:b/>
          <w:color w:val="0B3D91"/>
          <w:sz w:val="16"/>
        </w:rPr>
        <w:t>Q3. Quels éléments précis sont associés à « Lien « Confidentialité » » ?</w:t>
      </w:r>
    </w:p>
    <w:p>
      <w:pPr>
        <w:pStyle w:val="Normal"/>
        <w:spacing w:before="0" w:after="30"/>
        <w:ind w:start="227"/>
        <w:rPr/>
      </w:pPr>
      <w:r>
        <w:rPr>
          <w:b/>
          <w:color w:val="D4A017"/>
          <w:sz w:val="16"/>
        </w:rPr>
        <w:t xml:space="preserve">Réponse : </w:t>
      </w:r>
      <w:r>
        <w:rPr>
          <w:color w:val="1F2937"/>
          <w:sz w:val="16"/>
        </w:rPr>
        <w:t>Collecte limitée, accès autorisé, droit à l’image, santé, outils numériques et minimisation.</w:t>
      </w:r>
    </w:p>
    <w:p>
      <w:pPr>
        <w:pStyle w:val="Normal"/>
        <w:keepNext w:val="true"/>
        <w:keepLines/>
        <w:spacing w:before="30" w:after="0"/>
        <w:ind w:start="28"/>
        <w:rPr/>
      </w:pPr>
      <w:r>
        <w:rPr>
          <w:b/>
          <w:color w:val="0B3D91"/>
          <w:sz w:val="16"/>
        </w:rPr>
        <w:t>Q4. Où « Lien « Confidentialité » » apparaît-il dans le parcours de la page Contact ?</w:t>
      </w:r>
    </w:p>
    <w:p>
      <w:pPr>
        <w:pStyle w:val="Normal"/>
        <w:spacing w:before="0" w:after="30"/>
        <w:ind w:start="227"/>
        <w:rPr/>
      </w:pPr>
      <w:r>
        <w:rPr>
          <w:b/>
          <w:color w:val="D4A017"/>
          <w:sz w:val="16"/>
        </w:rPr>
        <w:t xml:space="preserve">Réponse : </w:t>
      </w:r>
      <w:r>
        <w:rPr>
          <w:color w:val="1F2937"/>
          <w:sz w:val="16"/>
        </w:rPr>
        <w:t>Dans le pied de page, à côté du lien Assistance.</w:t>
      </w:r>
    </w:p>
    <w:p>
      <w:pPr>
        <w:pStyle w:val="Normal"/>
        <w:keepNext w:val="true"/>
        <w:keepLines/>
        <w:spacing w:before="30" w:after="0"/>
        <w:ind w:start="28"/>
        <w:rPr/>
      </w:pPr>
      <w:r>
        <w:rPr>
          <w:b/>
          <w:color w:val="0B3D91"/>
          <w:sz w:val="16"/>
        </w:rPr>
        <w:t>Q5. À quel public « Lien « Confidentialité » » s’adresse-t-il ?</w:t>
      </w:r>
    </w:p>
    <w:p>
      <w:pPr>
        <w:pStyle w:val="Normal"/>
        <w:spacing w:before="0" w:after="30"/>
        <w:ind w:start="227"/>
        <w:rPr/>
      </w:pPr>
      <w:r>
        <w:rPr>
          <w:b/>
          <w:color w:val="D4A017"/>
          <w:sz w:val="16"/>
        </w:rPr>
        <w:t xml:space="preserve">Réponse : </w:t>
      </w:r>
      <w:r>
        <w:rPr>
          <w:color w:val="1F2937"/>
          <w:sz w:val="16"/>
        </w:rPr>
        <w:t>Familles, utilisateurs du formulaire, visiteurs et usagers d’ÉMINA.</w:t>
      </w:r>
    </w:p>
    <w:p>
      <w:pPr>
        <w:pStyle w:val="Normal"/>
        <w:keepNext w:val="true"/>
        <w:keepLines/>
        <w:spacing w:before="30" w:after="0"/>
        <w:ind w:start="28"/>
        <w:rPr/>
      </w:pPr>
      <w:r>
        <w:rPr>
          <w:b/>
          <w:color w:val="0B3D91"/>
          <w:sz w:val="16"/>
        </w:rPr>
        <w:t>Q6. Quelle action le visiteur peut-il accomplir à partir de « Lien « Confidentialité » » ?</w:t>
      </w:r>
    </w:p>
    <w:p>
      <w:pPr>
        <w:pStyle w:val="Normal"/>
        <w:spacing w:before="0" w:after="30"/>
        <w:ind w:start="227"/>
        <w:rPr/>
      </w:pPr>
      <w:r>
        <w:rPr>
          <w:b/>
          <w:color w:val="D4A017"/>
          <w:sz w:val="16"/>
        </w:rPr>
        <w:t xml:space="preserve">Réponse : </w:t>
      </w:r>
      <w:r>
        <w:rPr>
          <w:color w:val="1F2937"/>
          <w:sz w:val="16"/>
        </w:rPr>
        <w:t>Consulter les principes de protection avant de transmettre des informations.</w:t>
      </w:r>
    </w:p>
    <w:p>
      <w:pPr>
        <w:pStyle w:val="Normal"/>
        <w:keepNext w:val="true"/>
        <w:keepLines/>
        <w:spacing w:before="30" w:after="0"/>
        <w:ind w:start="28"/>
        <w:rPr/>
      </w:pPr>
      <w:r>
        <w:rPr>
          <w:b/>
          <w:color w:val="0B3D91"/>
          <w:sz w:val="16"/>
        </w:rPr>
        <w:t>Q7. Quel canal ou moyen de contact est lié à « Lien « Confidentialité » » ?</w:t>
      </w:r>
    </w:p>
    <w:p>
      <w:pPr>
        <w:pStyle w:val="Normal"/>
        <w:spacing w:before="0" w:after="30"/>
        <w:ind w:start="227"/>
        <w:rPr/>
      </w:pPr>
      <w:r>
        <w:rPr>
          <w:b/>
          <w:color w:val="D4A017"/>
          <w:sz w:val="16"/>
        </w:rPr>
        <w:t xml:space="preserve">Réponse : </w:t>
      </w:r>
      <w:r>
        <w:rPr>
          <w:color w:val="1F2937"/>
          <w:sz w:val="16"/>
        </w:rPr>
        <w:t>Page de politique de confidentialité.</w:t>
      </w:r>
    </w:p>
    <w:p>
      <w:pPr>
        <w:pStyle w:val="Normal"/>
        <w:keepNext w:val="true"/>
        <w:keepLines/>
        <w:spacing w:before="30" w:after="0"/>
        <w:ind w:start="28"/>
        <w:rPr/>
      </w:pPr>
      <w:r>
        <w:rPr>
          <w:b/>
          <w:color w:val="0B3D91"/>
          <w:sz w:val="16"/>
        </w:rPr>
        <w:t>Q8. Quel est le statut éditorial ou fonctionnel de « Lien « Confidentialité » » sur le site inspecté ?</w:t>
      </w:r>
    </w:p>
    <w:p>
      <w:pPr>
        <w:pStyle w:val="Normal"/>
        <w:spacing w:before="0" w:after="30"/>
        <w:ind w:start="227"/>
        <w:rPr/>
      </w:pPr>
      <w:r>
        <w:rPr>
          <w:b/>
          <w:color w:val="D4A017"/>
          <w:sz w:val="16"/>
        </w:rPr>
        <w:t xml:space="preserve">Réponse : </w:t>
      </w:r>
      <w:r>
        <w:rPr>
          <w:color w:val="1F2937"/>
          <w:sz w:val="16"/>
        </w:rPr>
        <w:t>Lien actif et page publiée.</w:t>
      </w:r>
    </w:p>
    <w:p>
      <w:pPr>
        <w:pStyle w:val="Normal"/>
        <w:keepNext w:val="true"/>
        <w:keepLines/>
        <w:spacing w:before="30" w:after="0"/>
        <w:ind w:start="28"/>
        <w:rPr/>
      </w:pPr>
      <w:r>
        <w:rPr>
          <w:b/>
          <w:color w:val="0B3D91"/>
          <w:sz w:val="16"/>
        </w:rPr>
        <w:t>Q9. Quelle limite ou précaution faut-il conserver à propos de « Lien « Confidentialité » » ?</w:t>
      </w:r>
    </w:p>
    <w:p>
      <w:pPr>
        <w:pStyle w:val="Normal"/>
        <w:spacing w:before="0" w:after="30"/>
        <w:ind w:start="227"/>
        <w:rPr/>
      </w:pPr>
      <w:r>
        <w:rPr>
          <w:b/>
          <w:color w:val="D4A017"/>
          <w:sz w:val="16"/>
        </w:rPr>
        <w:t xml:space="preserve">Réponse : </w:t>
      </w:r>
      <w:r>
        <w:rPr>
          <w:color w:val="1F2937"/>
          <w:sz w:val="16"/>
        </w:rPr>
        <w:t>La page Contact devrait aussi afficher une mention de consentement et un lien près du bouton d’envoi du formulaire.</w:t>
      </w:r>
    </w:p>
    <w:p>
      <w:pPr>
        <w:pStyle w:val="Normal"/>
        <w:keepNext w:val="true"/>
        <w:keepLines/>
        <w:spacing w:before="30" w:after="0"/>
        <w:ind w:start="28"/>
        <w:rPr/>
      </w:pPr>
      <w:r>
        <w:rPr>
          <w:b/>
          <w:color w:val="0B3D91"/>
          <w:sz w:val="16"/>
        </w:rPr>
        <w:t>Q10. Quelle réponse essentielle faut-il retenir au sujet de « Lien « Confidentialité » » ?</w:t>
      </w:r>
    </w:p>
    <w:p>
      <w:pPr>
        <w:pStyle w:val="Normal"/>
        <w:spacing w:before="0" w:after="30"/>
        <w:ind w:start="227"/>
        <w:rPr/>
      </w:pPr>
      <w:r>
        <w:rPr>
          <w:b/>
          <w:color w:val="D4A017"/>
          <w:sz w:val="16"/>
        </w:rPr>
        <w:t xml:space="preserve">Réponse : </w:t>
      </w:r>
      <w:r>
        <w:rPr>
          <w:color w:val="1F2937"/>
          <w:sz w:val="16"/>
        </w:rPr>
        <w:t>La Politique de confidentialité encadre la collecte et l’utilisation des données.</w:t>
      </w:r>
    </w:p>
    <w:p>
      <w:pPr>
        <w:pStyle w:val="Normal"/>
        <w:rPr/>
      </w:pPr>
      <w:r>
        <w:rPr/>
      </w:r>
      <w:r>
        <w:br w:type="page"/>
      </w:r>
    </w:p>
    <w:p>
      <w:pPr>
        <w:pStyle w:val="Heading1"/>
        <w:spacing w:before="0" w:after="100"/>
        <w:rPr/>
      </w:pPr>
      <w:r>
        <w:rPr/>
        <w:t>Fiche 42 — Bandeau supérieur de contact</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bandeau supérieur de la page Contact affiche « Inscriptions 2026-2027 ouvertes » ainsi que +243 992 818 280 et promotion@gsleseminents.com.</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Bandeau publié, mais différent de celui de la page d’accueil qui affiche d’autres numéros.</w:t>
            </w:r>
          </w:p>
        </w:tc>
      </w:tr>
    </w:tbl>
    <w:p>
      <w:pPr>
        <w:pStyle w:val="Normal"/>
        <w:spacing w:before="20" w:after="80"/>
        <w:rPr/>
      </w:pPr>
      <w:r>
        <w:rPr>
          <w:b/>
          <w:color w:val="0B3D91"/>
          <w:sz w:val="15"/>
        </w:rPr>
        <w:t xml:space="preserve">Source contrôlée : </w:t>
      </w:r>
      <w:r>
        <w:rPr>
          <w:color w:val="555555"/>
          <w:sz w:val="15"/>
        </w:rPr>
        <w:t>En-tête de la page Contact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Inscriptions ouvertes</w:t>
      </w:r>
    </w:p>
    <w:p>
      <w:pPr>
        <w:pStyle w:val="ListBullet"/>
        <w:numPr>
          <w:ilvl w:val="0"/>
          <w:numId w:val="1"/>
        </w:numPr>
        <w:spacing w:before="0" w:after="20"/>
        <w:ind w:hanging="360" w:start="255"/>
        <w:contextualSpacing/>
        <w:rPr/>
      </w:pPr>
      <w:r>
        <w:rPr>
          <w:sz w:val="17"/>
        </w:rPr>
        <w:t>Téléphone visible</w:t>
      </w:r>
    </w:p>
    <w:p>
      <w:pPr>
        <w:pStyle w:val="ListBullet"/>
        <w:numPr>
          <w:ilvl w:val="0"/>
          <w:numId w:val="1"/>
        </w:numPr>
        <w:spacing w:before="0" w:after="20"/>
        <w:ind w:hanging="360" w:start="255"/>
        <w:contextualSpacing/>
        <w:rPr/>
      </w:pPr>
      <w:r>
        <w:rPr>
          <w:sz w:val="17"/>
        </w:rPr>
        <w:t>E-mail visible</w:t>
      </w:r>
    </w:p>
    <w:p>
      <w:pPr>
        <w:pStyle w:val="ListBullet"/>
        <w:numPr>
          <w:ilvl w:val="0"/>
          <w:numId w:val="1"/>
        </w:numPr>
        <w:spacing w:before="0" w:after="20"/>
        <w:ind w:hanging="360" w:start="255"/>
        <w:contextualSpacing/>
        <w:rPr/>
      </w:pPr>
      <w:r>
        <w:rPr>
          <w:sz w:val="17"/>
        </w:rPr>
        <w:t>Harmonisation requise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attire l’attention sur le premier point de contact visible.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la conversion et l’accès rapide aux coordonnées sur mobile.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Admissions, Préinscription, Téléphones, E-mail et page d’accueil.</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Bandeau supérieur de contact » ?</w:t>
      </w:r>
    </w:p>
    <w:p>
      <w:pPr>
        <w:pStyle w:val="Normal"/>
        <w:spacing w:before="0" w:after="30"/>
        <w:ind w:start="227"/>
        <w:rPr/>
      </w:pPr>
      <w:r>
        <w:rPr>
          <w:b/>
          <w:color w:val="D4A017"/>
          <w:sz w:val="16"/>
        </w:rPr>
        <w:t xml:space="preserve">Réponse : </w:t>
      </w:r>
      <w:r>
        <w:rPr>
          <w:color w:val="1F2937"/>
          <w:sz w:val="16"/>
        </w:rPr>
        <w:t>Le bandeau supérieur de la page Contact affiche « Inscriptions 2026-2027 ouvertes » ainsi que +243 992 818 280 et promotion@gsleseminents.com.</w:t>
      </w:r>
    </w:p>
    <w:p>
      <w:pPr>
        <w:pStyle w:val="Normal"/>
        <w:keepNext w:val="true"/>
        <w:keepLines/>
        <w:spacing w:before="30" w:after="0"/>
        <w:ind w:start="28"/>
        <w:rPr/>
      </w:pPr>
      <w:r>
        <w:rPr>
          <w:b/>
          <w:color w:val="0B3D91"/>
          <w:sz w:val="16"/>
        </w:rPr>
        <w:t>Q2. Quelle est l’idée centrale développée sous « Bandeau supérieur de contact » ?</w:t>
      </w:r>
    </w:p>
    <w:p>
      <w:pPr>
        <w:pStyle w:val="Normal"/>
        <w:spacing w:before="0" w:after="30"/>
        <w:ind w:start="227"/>
        <w:rPr/>
      </w:pPr>
      <w:r>
        <w:rPr>
          <w:b/>
          <w:color w:val="D4A017"/>
          <w:sz w:val="16"/>
        </w:rPr>
        <w:t xml:space="preserve">Réponse : </w:t>
      </w:r>
      <w:r>
        <w:rPr>
          <w:color w:val="1F2937"/>
          <w:sz w:val="16"/>
        </w:rPr>
        <w:t>Il rend immédiatement visibles une information d’admission et deux coordonnées.</w:t>
      </w:r>
    </w:p>
    <w:p>
      <w:pPr>
        <w:pStyle w:val="Normal"/>
        <w:keepNext w:val="true"/>
        <w:keepLines/>
        <w:spacing w:before="30" w:after="0"/>
        <w:ind w:start="28"/>
        <w:rPr/>
      </w:pPr>
      <w:r>
        <w:rPr>
          <w:b/>
          <w:color w:val="0B3D91"/>
          <w:sz w:val="16"/>
        </w:rPr>
        <w:t>Q3. Quels éléments précis sont associés à « Bandeau supérieur de contact » ?</w:t>
      </w:r>
    </w:p>
    <w:p>
      <w:pPr>
        <w:pStyle w:val="Normal"/>
        <w:spacing w:before="0" w:after="30"/>
        <w:ind w:start="227"/>
        <w:rPr/>
      </w:pPr>
      <w:r>
        <w:rPr>
          <w:b/>
          <w:color w:val="D4A017"/>
          <w:sz w:val="16"/>
        </w:rPr>
        <w:t xml:space="preserve">Réponse : </w:t>
      </w:r>
      <w:r>
        <w:rPr>
          <w:color w:val="1F2937"/>
          <w:sz w:val="16"/>
        </w:rPr>
        <w:t>Année 2026-2027, niveaux ouverts, téléphone et e-mail.</w:t>
      </w:r>
    </w:p>
    <w:p>
      <w:pPr>
        <w:pStyle w:val="Normal"/>
        <w:keepNext w:val="true"/>
        <w:keepLines/>
        <w:spacing w:before="30" w:after="0"/>
        <w:ind w:start="28"/>
        <w:rPr/>
      </w:pPr>
      <w:r>
        <w:rPr>
          <w:b/>
          <w:color w:val="0B3D91"/>
          <w:sz w:val="16"/>
        </w:rPr>
        <w:t>Q4. Où « Bandeau supérieur de contact » apparaît-il dans le parcours de la page Contact ?</w:t>
      </w:r>
    </w:p>
    <w:p>
      <w:pPr>
        <w:pStyle w:val="Normal"/>
        <w:spacing w:before="0" w:after="30"/>
        <w:ind w:start="227"/>
        <w:rPr/>
      </w:pPr>
      <w:r>
        <w:rPr>
          <w:b/>
          <w:color w:val="D4A017"/>
          <w:sz w:val="16"/>
        </w:rPr>
        <w:t xml:space="preserve">Réponse : </w:t>
      </w:r>
      <w:r>
        <w:rPr>
          <w:color w:val="1F2937"/>
          <w:sz w:val="16"/>
        </w:rPr>
        <w:t>Tout en haut de la page, avant le logo et le menu.</w:t>
      </w:r>
    </w:p>
    <w:p>
      <w:pPr>
        <w:pStyle w:val="Normal"/>
        <w:keepNext w:val="true"/>
        <w:keepLines/>
        <w:spacing w:before="30" w:after="0"/>
        <w:ind w:start="28"/>
        <w:rPr/>
      </w:pPr>
      <w:r>
        <w:rPr>
          <w:b/>
          <w:color w:val="0B3D91"/>
          <w:sz w:val="16"/>
        </w:rPr>
        <w:t>Q5. À quel public « Bandeau supérieur de contact » s’adresse-t-il ?</w:t>
      </w:r>
    </w:p>
    <w:p>
      <w:pPr>
        <w:pStyle w:val="Normal"/>
        <w:spacing w:before="0" w:after="30"/>
        <w:ind w:start="227"/>
        <w:rPr/>
      </w:pPr>
      <w:r>
        <w:rPr>
          <w:b/>
          <w:color w:val="D4A017"/>
          <w:sz w:val="16"/>
        </w:rPr>
        <w:t xml:space="preserve">Réponse : </w:t>
      </w:r>
      <w:r>
        <w:rPr>
          <w:color w:val="1F2937"/>
          <w:sz w:val="16"/>
        </w:rPr>
        <w:t>Familles intéressées par les inscriptions.</w:t>
      </w:r>
    </w:p>
    <w:p>
      <w:pPr>
        <w:pStyle w:val="Normal"/>
        <w:keepNext w:val="true"/>
        <w:keepLines/>
        <w:spacing w:before="30" w:after="0"/>
        <w:ind w:start="28"/>
        <w:rPr/>
      </w:pPr>
      <w:r>
        <w:rPr>
          <w:b/>
          <w:color w:val="0B3D91"/>
          <w:sz w:val="16"/>
        </w:rPr>
        <w:t>Q6. Quelle action le visiteur peut-il accomplir à partir de « Bandeau supérieur de contact » ?</w:t>
      </w:r>
    </w:p>
    <w:p>
      <w:pPr>
        <w:pStyle w:val="Normal"/>
        <w:spacing w:before="0" w:after="30"/>
        <w:ind w:start="227"/>
        <w:rPr/>
      </w:pPr>
      <w:r>
        <w:rPr>
          <w:b/>
          <w:color w:val="D4A017"/>
          <w:sz w:val="16"/>
        </w:rPr>
        <w:t xml:space="preserve">Réponse : </w:t>
      </w:r>
      <w:r>
        <w:rPr>
          <w:color w:val="1F2937"/>
          <w:sz w:val="16"/>
        </w:rPr>
        <w:t>Appeler, écrire ou poursuivre vers la préinscription.</w:t>
      </w:r>
    </w:p>
    <w:p>
      <w:pPr>
        <w:pStyle w:val="Normal"/>
        <w:keepNext w:val="true"/>
        <w:keepLines/>
        <w:spacing w:before="30" w:after="0"/>
        <w:ind w:start="28"/>
        <w:rPr/>
      </w:pPr>
      <w:r>
        <w:rPr>
          <w:b/>
          <w:color w:val="0B3D91"/>
          <w:sz w:val="16"/>
        </w:rPr>
        <w:t>Q7. Quel canal ou moyen de contact est lié à « Bandeau supérieur de contact » ?</w:t>
      </w:r>
    </w:p>
    <w:p>
      <w:pPr>
        <w:pStyle w:val="Normal"/>
        <w:spacing w:before="0" w:after="30"/>
        <w:ind w:start="227"/>
        <w:rPr/>
      </w:pPr>
      <w:r>
        <w:rPr>
          <w:b/>
          <w:color w:val="D4A017"/>
          <w:sz w:val="16"/>
        </w:rPr>
        <w:t xml:space="preserve">Réponse : </w:t>
      </w:r>
      <w:r>
        <w:rPr>
          <w:color w:val="1F2937"/>
          <w:sz w:val="16"/>
        </w:rPr>
        <w:t>Téléphone et e-mail.</w:t>
      </w:r>
    </w:p>
    <w:p>
      <w:pPr>
        <w:pStyle w:val="Normal"/>
        <w:keepNext w:val="true"/>
        <w:keepLines/>
        <w:spacing w:before="30" w:after="0"/>
        <w:ind w:start="28"/>
        <w:rPr/>
      </w:pPr>
      <w:r>
        <w:rPr>
          <w:b/>
          <w:color w:val="0B3D91"/>
          <w:sz w:val="16"/>
        </w:rPr>
        <w:t>Q8. Quel est le statut éditorial ou fonctionnel de « Bandeau supérieur de contact » sur le site inspecté ?</w:t>
      </w:r>
    </w:p>
    <w:p>
      <w:pPr>
        <w:pStyle w:val="Normal"/>
        <w:spacing w:before="0" w:after="30"/>
        <w:ind w:start="227"/>
        <w:rPr/>
      </w:pPr>
      <w:r>
        <w:rPr>
          <w:b/>
          <w:color w:val="D4A017"/>
          <w:sz w:val="16"/>
        </w:rPr>
        <w:t xml:space="preserve">Réponse : </w:t>
      </w:r>
      <w:r>
        <w:rPr>
          <w:color w:val="1F2937"/>
          <w:sz w:val="16"/>
        </w:rPr>
        <w:t>Bandeau publié, mais différent de celui de la page d’accueil qui affiche d’autres numéros.</w:t>
      </w:r>
    </w:p>
    <w:p>
      <w:pPr>
        <w:pStyle w:val="Normal"/>
        <w:keepNext w:val="true"/>
        <w:keepLines/>
        <w:spacing w:before="30" w:after="0"/>
        <w:ind w:start="28"/>
        <w:rPr/>
      </w:pPr>
      <w:r>
        <w:rPr>
          <w:b/>
          <w:color w:val="0B3D91"/>
          <w:sz w:val="16"/>
        </w:rPr>
        <w:t>Q9. Quelle limite ou précaution faut-il conserver à propos de « Bandeau supérieur de contact » ?</w:t>
      </w:r>
    </w:p>
    <w:p>
      <w:pPr>
        <w:pStyle w:val="Normal"/>
        <w:spacing w:before="0" w:after="30"/>
        <w:ind w:start="227"/>
        <w:rPr/>
      </w:pPr>
      <w:r>
        <w:rPr>
          <w:b/>
          <w:color w:val="D4A017"/>
          <w:sz w:val="16"/>
        </w:rPr>
        <w:t xml:space="preserve">Réponse : </w:t>
      </w:r>
      <w:r>
        <w:rPr>
          <w:color w:val="1F2937"/>
          <w:sz w:val="16"/>
        </w:rPr>
        <w:t>Le contenu doit être harmonisé entre toutes les pages et avec l’ordre officiel des coordonnées.</w:t>
      </w:r>
    </w:p>
    <w:p>
      <w:pPr>
        <w:pStyle w:val="Normal"/>
        <w:keepNext w:val="true"/>
        <w:keepLines/>
        <w:spacing w:before="30" w:after="0"/>
        <w:ind w:start="28"/>
        <w:rPr/>
      </w:pPr>
      <w:r>
        <w:rPr>
          <w:b/>
          <w:color w:val="0B3D91"/>
          <w:sz w:val="16"/>
        </w:rPr>
        <w:t>Q10. Quelle réponse essentielle faut-il retenir au sujet de « Bandeau supérieur de contact » ?</w:t>
      </w:r>
    </w:p>
    <w:p>
      <w:pPr>
        <w:pStyle w:val="Normal"/>
        <w:spacing w:before="0" w:after="30"/>
        <w:ind w:start="227"/>
        <w:rPr/>
      </w:pPr>
      <w:r>
        <w:rPr>
          <w:b/>
          <w:color w:val="D4A017"/>
          <w:sz w:val="16"/>
        </w:rPr>
        <w:t xml:space="preserve">Réponse : </w:t>
      </w:r>
      <w:r>
        <w:rPr>
          <w:color w:val="1F2937"/>
          <w:sz w:val="16"/>
        </w:rPr>
        <w:t>Le bandeau donne un accès immédiat aux informations d’inscription et de contact.</w:t>
      </w:r>
    </w:p>
    <w:p>
      <w:pPr>
        <w:pStyle w:val="Normal"/>
        <w:rPr/>
      </w:pPr>
      <w:r>
        <w:rPr/>
      </w:r>
      <w:r>
        <w:br w:type="page"/>
      </w:r>
    </w:p>
    <w:p>
      <w:pPr>
        <w:pStyle w:val="Heading1"/>
        <w:spacing w:before="0" w:after="100"/>
        <w:rPr/>
      </w:pPr>
      <w:r>
        <w:rPr/>
        <w:t>Fiche 43 — Bloc institutionnel « GROUPE SCOLAIRE LES ÉMINENTS »</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pied de page rappelle le nom de l’établissement, le caractère chrétien bilingue de la communauté éducative et les valeurs Foi, Excellence, Intégrité et Leadership.</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Bloc publié et cohérent avec l’identité actuelle.</w:t>
            </w:r>
          </w:p>
        </w:tc>
      </w:tr>
    </w:tbl>
    <w:p>
      <w:pPr>
        <w:pStyle w:val="Normal"/>
        <w:spacing w:before="20" w:after="80"/>
        <w:rPr/>
      </w:pPr>
      <w:r>
        <w:rPr>
          <w:b/>
          <w:color w:val="0B3D91"/>
          <w:sz w:val="15"/>
        </w:rPr>
        <w:t xml:space="preserve">Source contrôlée : </w:t>
      </w:r>
      <w:r>
        <w:rPr>
          <w:color w:val="555555"/>
          <w:sz w:val="15"/>
        </w:rPr>
        <w:t>Pied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Nom officiel</w:t>
      </w:r>
    </w:p>
    <w:p>
      <w:pPr>
        <w:pStyle w:val="ListBullet"/>
        <w:numPr>
          <w:ilvl w:val="0"/>
          <w:numId w:val="1"/>
        </w:numPr>
        <w:spacing w:before="0" w:after="20"/>
        <w:ind w:hanging="360" w:start="255"/>
        <w:contextualSpacing/>
        <w:rPr/>
      </w:pPr>
      <w:r>
        <w:rPr>
          <w:sz w:val="17"/>
        </w:rPr>
        <w:t>Communauté chrétienne bilingue</w:t>
      </w:r>
    </w:p>
    <w:p>
      <w:pPr>
        <w:pStyle w:val="ListBullet"/>
        <w:numPr>
          <w:ilvl w:val="0"/>
          <w:numId w:val="1"/>
        </w:numPr>
        <w:spacing w:before="0" w:after="20"/>
        <w:ind w:hanging="360" w:start="255"/>
        <w:contextualSpacing/>
        <w:rPr/>
      </w:pPr>
      <w:r>
        <w:rPr>
          <w:sz w:val="17"/>
        </w:rPr>
        <w:t>Famille scolaire</w:t>
      </w:r>
    </w:p>
    <w:p>
      <w:pPr>
        <w:pStyle w:val="ListBullet"/>
        <w:numPr>
          <w:ilvl w:val="0"/>
          <w:numId w:val="1"/>
        </w:numPr>
        <w:spacing w:before="0" w:after="20"/>
        <w:ind w:hanging="360" w:start="255"/>
        <w:contextualSpacing/>
        <w:rPr/>
      </w:pPr>
      <w:r>
        <w:rPr>
          <w:sz w:val="17"/>
        </w:rPr>
        <w:t>Quatre valeurs</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évite qu’un bloc de contact soit séparé de l’identité de l’établissement.</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renforce la confiance et la cohérence de marque.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À propos, Valeurs, Programmes, Contact et copyright.</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Bloc institutionnel « GROUPE SCOLAIRE LES ÉMINENTS » » ?</w:t>
      </w:r>
    </w:p>
    <w:p>
      <w:pPr>
        <w:pStyle w:val="Normal"/>
        <w:spacing w:before="0" w:after="30"/>
        <w:ind w:start="227"/>
        <w:rPr/>
      </w:pPr>
      <w:r>
        <w:rPr>
          <w:b/>
          <w:color w:val="D4A017"/>
          <w:sz w:val="16"/>
        </w:rPr>
        <w:t xml:space="preserve">Réponse : </w:t>
      </w:r>
      <w:r>
        <w:rPr>
          <w:color w:val="1F2937"/>
          <w:sz w:val="16"/>
        </w:rPr>
        <w:t>Le pied de page rappelle le nom de l’établissement, le caractère chrétien bilingue de la communauté éducative et les valeurs Foi, Excellence, Intégrité et Leadership.</w:t>
      </w:r>
    </w:p>
    <w:p>
      <w:pPr>
        <w:pStyle w:val="Normal"/>
        <w:keepNext w:val="true"/>
        <w:keepLines/>
        <w:spacing w:before="30" w:after="0"/>
        <w:ind w:start="28"/>
        <w:rPr/>
      </w:pPr>
      <w:r>
        <w:rPr>
          <w:b/>
          <w:color w:val="0B3D91"/>
          <w:sz w:val="16"/>
        </w:rPr>
        <w:t>Q2. Quelle est l’idée centrale développée sous « Bloc institutionnel « GROUPE SCOLAIRE LES ÉMINENTS » » ?</w:t>
      </w:r>
    </w:p>
    <w:p>
      <w:pPr>
        <w:pStyle w:val="Normal"/>
        <w:spacing w:before="0" w:after="30"/>
        <w:ind w:start="227"/>
        <w:rPr/>
      </w:pPr>
      <w:r>
        <w:rPr>
          <w:b/>
          <w:color w:val="D4A017"/>
          <w:sz w:val="16"/>
        </w:rPr>
        <w:t xml:space="preserve">Réponse : </w:t>
      </w:r>
      <w:r>
        <w:rPr>
          <w:color w:val="1F2937"/>
          <w:sz w:val="16"/>
        </w:rPr>
        <w:t>Le contact est replacé dans l’identité et la mission de l’école.</w:t>
      </w:r>
    </w:p>
    <w:p>
      <w:pPr>
        <w:pStyle w:val="Normal"/>
        <w:keepNext w:val="true"/>
        <w:keepLines/>
        <w:spacing w:before="30" w:after="0"/>
        <w:ind w:start="28"/>
        <w:rPr/>
      </w:pPr>
      <w:r>
        <w:rPr>
          <w:b/>
          <w:color w:val="0B3D91"/>
          <w:sz w:val="16"/>
        </w:rPr>
        <w:t>Q3. Quels éléments précis sont associés à « Bloc institutionnel « GROUPE SCOLAIRE LES ÉMINENTS » » ?</w:t>
      </w:r>
    </w:p>
    <w:p>
      <w:pPr>
        <w:pStyle w:val="Normal"/>
        <w:spacing w:before="0" w:after="30"/>
        <w:ind w:start="227"/>
        <w:rPr/>
      </w:pPr>
      <w:r>
        <w:rPr>
          <w:b/>
          <w:color w:val="D4A017"/>
          <w:sz w:val="16"/>
        </w:rPr>
        <w:t xml:space="preserve">Réponse : </w:t>
      </w:r>
      <w:r>
        <w:rPr>
          <w:color w:val="1F2937"/>
          <w:sz w:val="16"/>
        </w:rPr>
        <w:t>Nom officiel, famille scolaire, équipe engagée, communauté éducative chrétienne bilingue et quatre valeurs.</w:t>
      </w:r>
    </w:p>
    <w:p>
      <w:pPr>
        <w:pStyle w:val="Normal"/>
        <w:keepNext w:val="true"/>
        <w:keepLines/>
        <w:spacing w:before="30" w:after="0"/>
        <w:ind w:start="28"/>
        <w:rPr/>
      </w:pPr>
      <w:r>
        <w:rPr>
          <w:b/>
          <w:color w:val="0B3D91"/>
          <w:sz w:val="16"/>
        </w:rPr>
        <w:t>Q4. Où « Bloc institutionnel « GROUPE SCOLAIRE LES ÉMINENTS » » apparaît-il dans le parcours de la page Contact ?</w:t>
      </w:r>
    </w:p>
    <w:p>
      <w:pPr>
        <w:pStyle w:val="Normal"/>
        <w:spacing w:before="0" w:after="30"/>
        <w:ind w:start="227"/>
        <w:rPr/>
      </w:pPr>
      <w:r>
        <w:rPr>
          <w:b/>
          <w:color w:val="D4A017"/>
          <w:sz w:val="16"/>
        </w:rPr>
        <w:t xml:space="preserve">Réponse : </w:t>
      </w:r>
      <w:r>
        <w:rPr>
          <w:color w:val="1F2937"/>
          <w:sz w:val="16"/>
        </w:rPr>
        <w:t>Au début du pied de page.</w:t>
      </w:r>
    </w:p>
    <w:p>
      <w:pPr>
        <w:pStyle w:val="Normal"/>
        <w:keepNext w:val="true"/>
        <w:keepLines/>
        <w:spacing w:before="30" w:after="0"/>
        <w:ind w:start="28"/>
        <w:rPr/>
      </w:pPr>
      <w:r>
        <w:rPr>
          <w:b/>
          <w:color w:val="0B3D91"/>
          <w:sz w:val="16"/>
        </w:rPr>
        <w:t>Q5. À quel public « Bloc institutionnel « GROUPE SCOLAIRE LES ÉMINENTS » » s’adresse-t-il ?</w:t>
      </w:r>
    </w:p>
    <w:p>
      <w:pPr>
        <w:pStyle w:val="Normal"/>
        <w:spacing w:before="0" w:after="30"/>
        <w:ind w:start="227"/>
        <w:rPr/>
      </w:pPr>
      <w:r>
        <w:rPr>
          <w:b/>
          <w:color w:val="D4A017"/>
          <w:sz w:val="16"/>
        </w:rPr>
        <w:t xml:space="preserve">Réponse : </w:t>
      </w:r>
      <w:r>
        <w:rPr>
          <w:color w:val="1F2937"/>
          <w:sz w:val="16"/>
        </w:rPr>
        <w:t>Tous les visiteurs.</w:t>
      </w:r>
    </w:p>
    <w:p>
      <w:pPr>
        <w:pStyle w:val="Normal"/>
        <w:keepNext w:val="true"/>
        <w:keepLines/>
        <w:spacing w:before="30" w:after="0"/>
        <w:ind w:start="28"/>
        <w:rPr/>
      </w:pPr>
      <w:r>
        <w:rPr>
          <w:b/>
          <w:color w:val="0B3D91"/>
          <w:sz w:val="16"/>
        </w:rPr>
        <w:t>Q6. Quelle action le visiteur peut-il accomplir à partir de « Bloc institutionnel « GROUPE SCOLAIRE LES ÉMINENTS » » ?</w:t>
      </w:r>
    </w:p>
    <w:p>
      <w:pPr>
        <w:pStyle w:val="Normal"/>
        <w:spacing w:before="0" w:after="30"/>
        <w:ind w:start="227"/>
        <w:rPr/>
      </w:pPr>
      <w:r>
        <w:rPr>
          <w:b/>
          <w:color w:val="D4A017"/>
          <w:sz w:val="16"/>
        </w:rPr>
        <w:t xml:space="preserve">Réponse : </w:t>
      </w:r>
      <w:r>
        <w:rPr>
          <w:color w:val="1F2937"/>
          <w:sz w:val="16"/>
        </w:rPr>
        <w:t>Identifier l’institution à laquelle appartiennent les coordonnées.</w:t>
      </w:r>
    </w:p>
    <w:p>
      <w:pPr>
        <w:pStyle w:val="Normal"/>
        <w:keepNext w:val="true"/>
        <w:keepLines/>
        <w:spacing w:before="30" w:after="0"/>
        <w:ind w:start="28"/>
        <w:rPr/>
      </w:pPr>
      <w:r>
        <w:rPr>
          <w:b/>
          <w:color w:val="0B3D91"/>
          <w:sz w:val="16"/>
        </w:rPr>
        <w:t>Q7. Quel canal ou moyen de contact est lié à « Bloc institutionnel « GROUPE SCOLAIRE LES ÉMINENTS » » ?</w:t>
      </w:r>
    </w:p>
    <w:p>
      <w:pPr>
        <w:pStyle w:val="Normal"/>
        <w:spacing w:before="0" w:after="30"/>
        <w:ind w:start="227"/>
        <w:rPr/>
      </w:pPr>
      <w:r>
        <w:rPr>
          <w:b/>
          <w:color w:val="D4A017"/>
          <w:sz w:val="16"/>
        </w:rPr>
        <w:t xml:space="preserve">Réponse : </w:t>
      </w:r>
      <w:r>
        <w:rPr>
          <w:color w:val="1F2937"/>
          <w:sz w:val="16"/>
        </w:rPr>
        <w:t>Communication institutionnelle.</w:t>
      </w:r>
    </w:p>
    <w:p>
      <w:pPr>
        <w:pStyle w:val="Normal"/>
        <w:keepNext w:val="true"/>
        <w:keepLines/>
        <w:spacing w:before="30" w:after="0"/>
        <w:ind w:start="28"/>
        <w:rPr/>
      </w:pPr>
      <w:r>
        <w:rPr>
          <w:b/>
          <w:color w:val="0B3D91"/>
          <w:sz w:val="16"/>
        </w:rPr>
        <w:t>Q8. Quel est le statut éditorial ou fonctionnel de « Bloc institutionnel « GROUPE SCOLAIRE LES ÉMINENTS » » sur le site inspecté ?</w:t>
      </w:r>
    </w:p>
    <w:p>
      <w:pPr>
        <w:pStyle w:val="Normal"/>
        <w:spacing w:before="0" w:after="30"/>
        <w:ind w:start="227"/>
        <w:rPr/>
      </w:pPr>
      <w:r>
        <w:rPr>
          <w:b/>
          <w:color w:val="D4A017"/>
          <w:sz w:val="16"/>
        </w:rPr>
        <w:t xml:space="preserve">Réponse : </w:t>
      </w:r>
      <w:r>
        <w:rPr>
          <w:color w:val="1F2937"/>
          <w:sz w:val="16"/>
        </w:rPr>
        <w:t>Bloc publié et cohérent avec l’identité actuelle.</w:t>
      </w:r>
    </w:p>
    <w:p>
      <w:pPr>
        <w:pStyle w:val="Normal"/>
        <w:keepNext w:val="true"/>
        <w:keepLines/>
        <w:spacing w:before="30" w:after="0"/>
        <w:ind w:start="28"/>
        <w:rPr/>
      </w:pPr>
      <w:r>
        <w:rPr>
          <w:b/>
          <w:color w:val="0B3D91"/>
          <w:sz w:val="16"/>
        </w:rPr>
        <w:t>Q9. Quelle limite ou précaution faut-il conserver à propos de « Bloc institutionnel « GROUPE SCOLAIRE LES ÉMINENTS » » ?</w:t>
      </w:r>
    </w:p>
    <w:p>
      <w:pPr>
        <w:pStyle w:val="Normal"/>
        <w:spacing w:before="0" w:after="30"/>
        <w:ind w:start="227"/>
        <w:rPr/>
      </w:pPr>
      <w:r>
        <w:rPr>
          <w:b/>
          <w:color w:val="D4A017"/>
          <w:sz w:val="16"/>
        </w:rPr>
        <w:t xml:space="preserve">Réponse : </w:t>
      </w:r>
      <w:r>
        <w:rPr>
          <w:color w:val="1F2937"/>
          <w:sz w:val="16"/>
        </w:rPr>
        <w:t>La formulation doit rester uniforme sur toutes les pages et supports.</w:t>
      </w:r>
    </w:p>
    <w:p>
      <w:pPr>
        <w:pStyle w:val="Normal"/>
        <w:keepNext w:val="true"/>
        <w:keepLines/>
        <w:spacing w:before="30" w:after="0"/>
        <w:ind w:start="28"/>
        <w:rPr/>
      </w:pPr>
      <w:r>
        <w:rPr>
          <w:b/>
          <w:color w:val="0B3D91"/>
          <w:sz w:val="16"/>
        </w:rPr>
        <w:t>Q10. Quelle réponse essentielle faut-il retenir au sujet de « Bloc institutionnel « GROUPE SCOLAIRE LES ÉMINENTS » » ?</w:t>
      </w:r>
    </w:p>
    <w:p>
      <w:pPr>
        <w:pStyle w:val="Normal"/>
        <w:spacing w:before="0" w:after="30"/>
        <w:ind w:start="227"/>
        <w:rPr/>
      </w:pPr>
      <w:r>
        <w:rPr>
          <w:b/>
          <w:color w:val="D4A017"/>
          <w:sz w:val="16"/>
        </w:rPr>
        <w:t xml:space="preserve">Réponse : </w:t>
      </w:r>
      <w:r>
        <w:rPr>
          <w:color w:val="1F2937"/>
          <w:sz w:val="16"/>
        </w:rPr>
        <w:t>Les coordonnées appartiennent au GROUPE SCOLAIRE LES ÉMINENTS et s’inscrivent dans ses valeurs institutionnelles.</w:t>
      </w:r>
    </w:p>
    <w:p>
      <w:pPr>
        <w:pStyle w:val="Normal"/>
        <w:rPr/>
      </w:pPr>
      <w:r>
        <w:rPr/>
      </w:r>
      <w:r>
        <w:br w:type="page"/>
      </w:r>
    </w:p>
    <w:p>
      <w:pPr>
        <w:pStyle w:val="Heading1"/>
        <w:spacing w:before="0" w:after="100"/>
        <w:rPr/>
      </w:pPr>
      <w:r>
        <w:rPr/>
        <w:t>Fiche 44 — Bloc « Navigation » du pied de page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Navigation propose des liens vers Notre école, Programmes, Admissions, Actualités, Contact et Confidentialité.</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Bloc actif, mais ses intitulés reflètent un gabarit plus ancien que la navigation de la page d’accueil actuelle.</w:t>
            </w:r>
          </w:p>
        </w:tc>
      </w:tr>
    </w:tbl>
    <w:p>
      <w:pPr>
        <w:pStyle w:val="Normal"/>
        <w:spacing w:before="20" w:after="80"/>
        <w:rPr/>
      </w:pPr>
      <w:r>
        <w:rPr>
          <w:b/>
          <w:color w:val="0B3D91"/>
          <w:sz w:val="15"/>
        </w:rPr>
        <w:t xml:space="preserve">Source contrôlée : </w:t>
      </w:r>
      <w:r>
        <w:rPr>
          <w:color w:val="555555"/>
          <w:sz w:val="15"/>
        </w:rPr>
        <w:t>Pied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Notre école</w:t>
      </w:r>
    </w:p>
    <w:p>
      <w:pPr>
        <w:pStyle w:val="ListBullet"/>
        <w:numPr>
          <w:ilvl w:val="0"/>
          <w:numId w:val="1"/>
        </w:numPr>
        <w:spacing w:before="0" w:after="20"/>
        <w:ind w:hanging="360" w:start="255"/>
        <w:contextualSpacing/>
        <w:rPr/>
      </w:pPr>
      <w:r>
        <w:rPr>
          <w:sz w:val="17"/>
        </w:rPr>
        <w:t>Programmes</w:t>
      </w:r>
    </w:p>
    <w:p>
      <w:pPr>
        <w:pStyle w:val="ListBullet"/>
        <w:numPr>
          <w:ilvl w:val="0"/>
          <w:numId w:val="1"/>
        </w:numPr>
        <w:spacing w:before="0" w:after="20"/>
        <w:ind w:hanging="360" w:start="255"/>
        <w:contextualSpacing/>
        <w:rPr/>
      </w:pPr>
      <w:r>
        <w:rPr>
          <w:sz w:val="17"/>
        </w:rPr>
        <w:t>Admissions</w:t>
      </w:r>
    </w:p>
    <w:p>
      <w:pPr>
        <w:pStyle w:val="ListBullet"/>
        <w:numPr>
          <w:ilvl w:val="0"/>
          <w:numId w:val="1"/>
        </w:numPr>
        <w:spacing w:before="0" w:after="20"/>
        <w:ind w:hanging="360" w:start="255"/>
        <w:contextualSpacing/>
        <w:rPr/>
      </w:pPr>
      <w:r>
        <w:rPr>
          <w:sz w:val="17"/>
        </w:rPr>
        <w:t>Actualités</w:t>
      </w:r>
    </w:p>
    <w:p>
      <w:pPr>
        <w:pStyle w:val="ListBullet"/>
        <w:numPr>
          <w:ilvl w:val="0"/>
          <w:numId w:val="1"/>
        </w:numPr>
        <w:spacing w:before="0" w:after="20"/>
        <w:ind w:hanging="360" w:start="255"/>
        <w:contextualSpacing/>
        <w:rPr/>
      </w:pPr>
      <w:r>
        <w:rPr>
          <w:sz w:val="17"/>
        </w:rPr>
        <w:t>Contact</w:t>
      </w:r>
    </w:p>
    <w:p>
      <w:pPr>
        <w:pStyle w:val="ListBullet"/>
        <w:numPr>
          <w:ilvl w:val="0"/>
          <w:numId w:val="1"/>
        </w:numPr>
        <w:spacing w:before="0" w:after="20"/>
        <w:ind w:hanging="360" w:start="255"/>
        <w:contextualSpacing/>
        <w:rPr/>
      </w:pPr>
      <w:r>
        <w:rPr>
          <w:sz w:val="17"/>
        </w:rPr>
        <w:t>Confidentialité</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annonce une liste de raccourcis internes.</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améliore la navigation et la découverte des contenus connexes.</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toutes les rubriques principales et la cohérence éditoriale du site.</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Bloc « Navigation » du pied de page » ?</w:t>
      </w:r>
    </w:p>
    <w:p>
      <w:pPr>
        <w:pStyle w:val="Normal"/>
        <w:spacing w:before="0" w:after="30"/>
        <w:ind w:start="227"/>
        <w:rPr/>
      </w:pPr>
      <w:r>
        <w:rPr>
          <w:b/>
          <w:color w:val="D4A017"/>
          <w:sz w:val="16"/>
        </w:rPr>
        <w:t xml:space="preserve">Réponse : </w:t>
      </w:r>
      <w:r>
        <w:rPr>
          <w:color w:val="1F2937"/>
          <w:sz w:val="16"/>
        </w:rPr>
        <w:t>Le bloc Navigation propose des liens vers Notre école, Programmes, Admissions, Actualités, Contact et Confidentialité.</w:t>
      </w:r>
    </w:p>
    <w:p>
      <w:pPr>
        <w:pStyle w:val="Normal"/>
        <w:keepNext w:val="true"/>
        <w:keepLines/>
        <w:spacing w:before="30" w:after="0"/>
        <w:ind w:start="28"/>
        <w:rPr/>
      </w:pPr>
      <w:r>
        <w:rPr>
          <w:b/>
          <w:color w:val="0B3D91"/>
          <w:sz w:val="16"/>
        </w:rPr>
        <w:t>Q2. Quelle est l’idée centrale développée sous « Bloc « Navigation » du pied de page » ?</w:t>
      </w:r>
    </w:p>
    <w:p>
      <w:pPr>
        <w:pStyle w:val="Normal"/>
        <w:spacing w:before="0" w:after="30"/>
        <w:ind w:start="227"/>
        <w:rPr/>
      </w:pPr>
      <w:r>
        <w:rPr>
          <w:b/>
          <w:color w:val="D4A017"/>
          <w:sz w:val="16"/>
        </w:rPr>
        <w:t xml:space="preserve">Réponse : </w:t>
      </w:r>
      <w:r>
        <w:rPr>
          <w:color w:val="1F2937"/>
          <w:sz w:val="16"/>
        </w:rPr>
        <w:t>Il permet de continuer le parcours sans revenir en haut de page.</w:t>
      </w:r>
    </w:p>
    <w:p>
      <w:pPr>
        <w:pStyle w:val="Normal"/>
        <w:keepNext w:val="true"/>
        <w:keepLines/>
        <w:spacing w:before="30" w:after="0"/>
        <w:ind w:start="28"/>
        <w:rPr/>
      </w:pPr>
      <w:r>
        <w:rPr>
          <w:b/>
          <w:color w:val="0B3D91"/>
          <w:sz w:val="16"/>
        </w:rPr>
        <w:t>Q3. Quels éléments précis sont associés à « Bloc « Navigation » du pied de page » ?</w:t>
      </w:r>
    </w:p>
    <w:p>
      <w:pPr>
        <w:pStyle w:val="Normal"/>
        <w:spacing w:before="0" w:after="30"/>
        <w:ind w:start="227"/>
        <w:rPr/>
      </w:pPr>
      <w:r>
        <w:rPr>
          <w:b/>
          <w:color w:val="D4A017"/>
          <w:sz w:val="16"/>
        </w:rPr>
        <w:t xml:space="preserve">Réponse : </w:t>
      </w:r>
      <w:r>
        <w:rPr>
          <w:color w:val="1F2937"/>
          <w:sz w:val="16"/>
        </w:rPr>
        <w:t>Six liens principaux de navigation.</w:t>
      </w:r>
    </w:p>
    <w:p>
      <w:pPr>
        <w:pStyle w:val="Normal"/>
        <w:keepNext w:val="true"/>
        <w:keepLines/>
        <w:spacing w:before="30" w:after="0"/>
        <w:ind w:start="28"/>
        <w:rPr/>
      </w:pPr>
      <w:r>
        <w:rPr>
          <w:b/>
          <w:color w:val="0B3D91"/>
          <w:sz w:val="16"/>
        </w:rPr>
        <w:t>Q4. Où « Bloc « Navigation » du pied de page » apparaît-il dans le parcours de la page Contact ?</w:t>
      </w:r>
    </w:p>
    <w:p>
      <w:pPr>
        <w:pStyle w:val="Normal"/>
        <w:spacing w:before="0" w:after="30"/>
        <w:ind w:start="227"/>
        <w:rPr/>
      </w:pPr>
      <w:r>
        <w:rPr>
          <w:b/>
          <w:color w:val="D4A017"/>
          <w:sz w:val="16"/>
        </w:rPr>
        <w:t xml:space="preserve">Réponse : </w:t>
      </w:r>
      <w:r>
        <w:rPr>
          <w:color w:val="1F2937"/>
          <w:sz w:val="16"/>
        </w:rPr>
        <w:t>Dans le pied de page, à côté du bloc institutionnel.</w:t>
      </w:r>
    </w:p>
    <w:p>
      <w:pPr>
        <w:pStyle w:val="Normal"/>
        <w:keepNext w:val="true"/>
        <w:keepLines/>
        <w:spacing w:before="30" w:after="0"/>
        <w:ind w:start="28"/>
        <w:rPr/>
      </w:pPr>
      <w:r>
        <w:rPr>
          <w:b/>
          <w:color w:val="0B3D91"/>
          <w:sz w:val="16"/>
        </w:rPr>
        <w:t>Q5. À quel public « Bloc « Navigation » du pied de page » s’adresse-t-il ?</w:t>
      </w:r>
    </w:p>
    <w:p>
      <w:pPr>
        <w:pStyle w:val="Normal"/>
        <w:spacing w:before="0" w:after="30"/>
        <w:ind w:start="227"/>
        <w:rPr/>
      </w:pPr>
      <w:r>
        <w:rPr>
          <w:b/>
          <w:color w:val="D4A017"/>
          <w:sz w:val="16"/>
        </w:rPr>
        <w:t xml:space="preserve">Réponse : </w:t>
      </w:r>
      <w:r>
        <w:rPr>
          <w:color w:val="1F2937"/>
          <w:sz w:val="16"/>
        </w:rPr>
        <w:t>Tous les visiteurs.</w:t>
      </w:r>
    </w:p>
    <w:p>
      <w:pPr>
        <w:pStyle w:val="Normal"/>
        <w:keepNext w:val="true"/>
        <w:keepLines/>
        <w:spacing w:before="30" w:after="0"/>
        <w:ind w:start="28"/>
        <w:rPr/>
      </w:pPr>
      <w:r>
        <w:rPr>
          <w:b/>
          <w:color w:val="0B3D91"/>
          <w:sz w:val="16"/>
        </w:rPr>
        <w:t>Q6. Quelle action le visiteur peut-il accomplir à partir de « Bloc « Navigation » du pied de page » ?</w:t>
      </w:r>
    </w:p>
    <w:p>
      <w:pPr>
        <w:pStyle w:val="Normal"/>
        <w:spacing w:before="0" w:after="30"/>
        <w:ind w:start="227"/>
        <w:rPr/>
      </w:pPr>
      <w:r>
        <w:rPr>
          <w:b/>
          <w:color w:val="D4A017"/>
          <w:sz w:val="16"/>
        </w:rPr>
        <w:t xml:space="preserve">Réponse : </w:t>
      </w:r>
      <w:r>
        <w:rPr>
          <w:color w:val="1F2937"/>
          <w:sz w:val="16"/>
        </w:rPr>
        <w:t>Ouvrir une autre rubrique du site.</w:t>
      </w:r>
    </w:p>
    <w:p>
      <w:pPr>
        <w:pStyle w:val="Normal"/>
        <w:keepNext w:val="true"/>
        <w:keepLines/>
        <w:spacing w:before="30" w:after="0"/>
        <w:ind w:start="28"/>
        <w:rPr/>
      </w:pPr>
      <w:r>
        <w:rPr>
          <w:b/>
          <w:color w:val="0B3D91"/>
          <w:sz w:val="16"/>
        </w:rPr>
        <w:t>Q7. Quel canal ou moyen de contact est lié à « Bloc « Navigation » du pied de page » ?</w:t>
      </w:r>
    </w:p>
    <w:p>
      <w:pPr>
        <w:pStyle w:val="Normal"/>
        <w:spacing w:before="0" w:after="30"/>
        <w:ind w:start="227"/>
        <w:rPr/>
      </w:pPr>
      <w:r>
        <w:rPr>
          <w:b/>
          <w:color w:val="D4A017"/>
          <w:sz w:val="16"/>
        </w:rPr>
        <w:t xml:space="preserve">Réponse : </w:t>
      </w:r>
      <w:r>
        <w:rPr>
          <w:color w:val="1F2937"/>
          <w:sz w:val="16"/>
        </w:rPr>
        <w:t>Liens web internes.</w:t>
      </w:r>
    </w:p>
    <w:p>
      <w:pPr>
        <w:pStyle w:val="Normal"/>
        <w:keepNext w:val="true"/>
        <w:keepLines/>
        <w:spacing w:before="30" w:after="0"/>
        <w:ind w:start="28"/>
        <w:rPr/>
      </w:pPr>
      <w:r>
        <w:rPr>
          <w:b/>
          <w:color w:val="0B3D91"/>
          <w:sz w:val="16"/>
        </w:rPr>
        <w:t>Q8. Quel est le statut éditorial ou fonctionnel de « Bloc « Navigation » du pied de page » sur le site inspecté ?</w:t>
      </w:r>
    </w:p>
    <w:p>
      <w:pPr>
        <w:pStyle w:val="Normal"/>
        <w:spacing w:before="0" w:after="30"/>
        <w:ind w:start="227"/>
        <w:rPr/>
      </w:pPr>
      <w:r>
        <w:rPr>
          <w:b/>
          <w:color w:val="D4A017"/>
          <w:sz w:val="16"/>
        </w:rPr>
        <w:t xml:space="preserve">Réponse : </w:t>
      </w:r>
      <w:r>
        <w:rPr>
          <w:color w:val="1F2937"/>
          <w:sz w:val="16"/>
        </w:rPr>
        <w:t>Bloc actif, mais ses intitulés reflètent un gabarit plus ancien que la navigation de la page d’accueil actuelle.</w:t>
      </w:r>
    </w:p>
    <w:p>
      <w:pPr>
        <w:pStyle w:val="Normal"/>
        <w:keepNext w:val="true"/>
        <w:keepLines/>
        <w:spacing w:before="30" w:after="0"/>
        <w:ind w:start="28"/>
        <w:rPr/>
      </w:pPr>
      <w:r>
        <w:rPr>
          <w:b/>
          <w:color w:val="0B3D91"/>
          <w:sz w:val="16"/>
        </w:rPr>
        <w:t>Q9. Quelle limite ou précaution faut-il conserver à propos de « Bloc « Navigation » du pied de page » ?</w:t>
      </w:r>
    </w:p>
    <w:p>
      <w:pPr>
        <w:pStyle w:val="Normal"/>
        <w:spacing w:before="0" w:after="30"/>
        <w:ind w:start="227"/>
        <w:rPr/>
      </w:pPr>
      <w:r>
        <w:rPr>
          <w:b/>
          <w:color w:val="D4A017"/>
          <w:sz w:val="16"/>
        </w:rPr>
        <w:t xml:space="preserve">Réponse : </w:t>
      </w:r>
      <w:r>
        <w:rPr>
          <w:color w:val="1F2937"/>
          <w:sz w:val="16"/>
        </w:rPr>
        <w:t>Les libellés doivent être harmonisés : « Notre école »/« À propos », « Actualités »/« Actualités et galerie » notamment.</w:t>
      </w:r>
    </w:p>
    <w:p>
      <w:pPr>
        <w:pStyle w:val="Normal"/>
        <w:keepNext w:val="true"/>
        <w:keepLines/>
        <w:spacing w:before="30" w:after="0"/>
        <w:ind w:start="28"/>
        <w:rPr/>
      </w:pPr>
      <w:r>
        <w:rPr>
          <w:b/>
          <w:color w:val="0B3D91"/>
          <w:sz w:val="16"/>
        </w:rPr>
        <w:t>Q10. Quelle réponse essentielle faut-il retenir au sujet de « Bloc « Navigation » du pied de page » ?</w:t>
      </w:r>
    </w:p>
    <w:p>
      <w:pPr>
        <w:pStyle w:val="Normal"/>
        <w:spacing w:before="0" w:after="30"/>
        <w:ind w:start="227"/>
        <w:rPr/>
      </w:pPr>
      <w:r>
        <w:rPr>
          <w:b/>
          <w:color w:val="D4A017"/>
          <w:sz w:val="16"/>
        </w:rPr>
        <w:t xml:space="preserve">Réponse : </w:t>
      </w:r>
      <w:r>
        <w:rPr>
          <w:color w:val="1F2937"/>
          <w:sz w:val="16"/>
        </w:rPr>
        <w:t>Le pied de page conserve des accès essentiels, dont Contact et Confidentialité.</w:t>
      </w:r>
    </w:p>
    <w:p>
      <w:pPr>
        <w:pStyle w:val="Normal"/>
        <w:rPr/>
      </w:pPr>
      <w:r>
        <w:rPr/>
      </w:r>
      <w:r>
        <w:br w:type="page"/>
      </w:r>
    </w:p>
    <w:p>
      <w:pPr>
        <w:pStyle w:val="Heading1"/>
        <w:spacing w:before="0" w:after="100"/>
        <w:rPr/>
      </w:pPr>
      <w:r>
        <w:rPr/>
        <w:t>Fiche 45 — Bloc « Admissions » du pied de page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7"/>
              </w:rPr>
              <w:t xml:space="preserve">Texte ou constat source : </w:t>
            </w:r>
            <w:r>
              <w:rPr>
                <w:color w:val="1F2937"/>
                <w:sz w:val="17"/>
              </w:rPr>
              <w:t>Le bloc Admissions contient les liens Conditions et étapes, Préinscription, Inscription définitive / Compléter mon dossier, Questions fréquentes et Planifier une visite.</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Statut : </w:t>
            </w:r>
            <w:r>
              <w:rPr>
                <w:color w:val="1F2937"/>
                <w:sz w:val="17"/>
              </w:rPr>
              <w:t>Bloc actif dans le gabarit inspecté.</w:t>
            </w:r>
          </w:p>
        </w:tc>
      </w:tr>
    </w:tbl>
    <w:p>
      <w:pPr>
        <w:pStyle w:val="Normal"/>
        <w:spacing w:before="20" w:after="80"/>
        <w:rPr/>
      </w:pPr>
      <w:r>
        <w:rPr>
          <w:b/>
          <w:color w:val="0B3D91"/>
          <w:sz w:val="15"/>
        </w:rPr>
        <w:t xml:space="preserve">Source contrôlée : </w:t>
      </w:r>
      <w:r>
        <w:rPr>
          <w:color w:val="555555"/>
          <w:sz w:val="15"/>
        </w:rPr>
        <w:t>Pied de page — https://test.gsleseminents.com/contact/ — inspection du 2 juillet 2026</w:t>
      </w:r>
    </w:p>
    <w:p>
      <w:pPr>
        <w:pStyle w:val="Normal"/>
        <w:spacing w:before="40" w:after="40"/>
        <w:rPr/>
      </w:pPr>
      <w:r>
        <w:rPr>
          <w:b/>
          <w:color w:val="0B3D91"/>
          <w:sz w:val="18"/>
        </w:rPr>
        <w:t>Points développés</w:t>
      </w:r>
    </w:p>
    <w:p>
      <w:pPr>
        <w:pStyle w:val="ListBullet"/>
        <w:numPr>
          <w:ilvl w:val="0"/>
          <w:numId w:val="1"/>
        </w:numPr>
        <w:spacing w:before="0" w:after="20"/>
        <w:ind w:hanging="360" w:start="255"/>
        <w:contextualSpacing/>
        <w:rPr/>
      </w:pPr>
      <w:r>
        <w:rPr>
          <w:sz w:val="17"/>
        </w:rPr>
        <w:t>Conditions et étapes</w:t>
      </w:r>
    </w:p>
    <w:p>
      <w:pPr>
        <w:pStyle w:val="ListBullet"/>
        <w:numPr>
          <w:ilvl w:val="0"/>
          <w:numId w:val="1"/>
        </w:numPr>
        <w:spacing w:before="0" w:after="20"/>
        <w:ind w:hanging="360" w:start="255"/>
        <w:contextualSpacing/>
        <w:rPr/>
      </w:pPr>
      <w:r>
        <w:rPr>
          <w:sz w:val="17"/>
        </w:rPr>
        <w:t>Préinscription</w:t>
      </w:r>
    </w:p>
    <w:p>
      <w:pPr>
        <w:pStyle w:val="ListBullet"/>
        <w:numPr>
          <w:ilvl w:val="0"/>
          <w:numId w:val="1"/>
        </w:numPr>
        <w:spacing w:before="0" w:after="20"/>
        <w:ind w:hanging="360" w:start="255"/>
        <w:contextualSpacing/>
        <w:rPr/>
      </w:pPr>
      <w:r>
        <w:rPr>
          <w:sz w:val="17"/>
        </w:rPr>
        <w:t>Dossier définitif</w:t>
      </w:r>
    </w:p>
    <w:p>
      <w:pPr>
        <w:pStyle w:val="ListBullet"/>
        <w:numPr>
          <w:ilvl w:val="0"/>
          <w:numId w:val="1"/>
        </w:numPr>
        <w:spacing w:before="0" w:after="20"/>
        <w:ind w:hanging="360" w:start="255"/>
        <w:contextualSpacing/>
        <w:rPr/>
      </w:pPr>
      <w:r>
        <w:rPr>
          <w:sz w:val="17"/>
        </w:rPr>
        <w:t>FAQ</w:t>
      </w:r>
    </w:p>
    <w:p>
      <w:pPr>
        <w:pStyle w:val="ListBullet"/>
        <w:numPr>
          <w:ilvl w:val="0"/>
          <w:numId w:val="1"/>
        </w:numPr>
        <w:spacing w:before="0" w:after="20"/>
        <w:ind w:hanging="360" w:start="255"/>
        <w:contextualSpacing/>
        <w:rPr/>
      </w:pPr>
      <w:r>
        <w:rPr>
          <w:sz w:val="17"/>
        </w:rPr>
        <w:t>Planifier une visite</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F3F4F6"/>
          </w:tcPr>
          <w:p>
            <w:pPr>
              <w:pStyle w:val="Normal"/>
              <w:spacing w:before="0" w:after="0"/>
              <w:rPr/>
            </w:pPr>
            <w:r>
              <w:rPr>
                <w:b/>
                <w:color w:val="0B3D91"/>
                <w:sz w:val="17"/>
              </w:rPr>
              <w:t xml:space="preserve">Raison du titre ou de la section : </w:t>
            </w:r>
            <w:r>
              <w:rPr>
                <w:color w:val="1F2937"/>
                <w:sz w:val="17"/>
              </w:rPr>
              <w:t>Le titre rend le parcours administratif immédiatement accessible.</w:t>
            </w:r>
          </w:p>
        </w:tc>
      </w:tr>
      <w:tr>
        <w:trPr/>
        <w:tc>
          <w:tcPr>
            <w:tcW w:w="10483" w:type="dxa"/>
            <w:tcBorders>
              <w:top w:val="single" w:sz="6" w:space="0" w:color="2E7D32"/>
              <w:start w:val="single" w:sz="6" w:space="0" w:color="2E7D32"/>
              <w:bottom w:val="single" w:sz="6" w:space="0" w:color="2E7D32"/>
              <w:end w:val="single" w:sz="6" w:space="0" w:color="2E7D32"/>
            </w:tcBorders>
            <w:shd w:fill="EAF7EF"/>
          </w:tcPr>
          <w:p>
            <w:pPr>
              <w:pStyle w:val="Normal"/>
              <w:spacing w:before="0" w:after="0"/>
              <w:rPr/>
            </w:pPr>
            <w:r>
              <w:rPr>
                <w:b/>
                <w:color w:val="0B3D91"/>
                <w:sz w:val="17"/>
              </w:rPr>
              <w:t xml:space="preserve">Importance dans le projet : </w:t>
            </w:r>
            <w:r>
              <w:rPr>
                <w:color w:val="1F2937"/>
                <w:sz w:val="17"/>
              </w:rPr>
              <w:t>Il réduit les hésitations et permet aux familles de passer à l’action.</w:t>
            </w:r>
          </w:p>
        </w:tc>
      </w:tr>
      <w:tr>
        <w:trPr/>
        <w:tc>
          <w:tcPr>
            <w:tcW w:w="10483" w:type="dxa"/>
            <w:tcBorders>
              <w:top w:val="single" w:sz="6" w:space="0" w:color="D4A017"/>
              <w:start w:val="single" w:sz="6" w:space="0" w:color="D4A017"/>
              <w:bottom w:val="single" w:sz="6" w:space="0" w:color="D4A017"/>
              <w:end w:val="single" w:sz="6" w:space="0" w:color="D4A017"/>
            </w:tcBorders>
            <w:shd w:fill="FFF6D8"/>
          </w:tcPr>
          <w:p>
            <w:pPr>
              <w:pStyle w:val="Normal"/>
              <w:spacing w:before="0" w:after="0"/>
              <w:rPr/>
            </w:pPr>
            <w:r>
              <w:rPr>
                <w:b/>
                <w:color w:val="0B3D91"/>
                <w:sz w:val="17"/>
              </w:rPr>
              <w:t xml:space="preserve">Liens avec les autres sections : </w:t>
            </w:r>
            <w:r>
              <w:rPr>
                <w:color w:val="1F2937"/>
                <w:sz w:val="17"/>
              </w:rPr>
              <w:t>Liens avec Contact, Préinscription, Inscription définitive, FAQ, Pièces et Frais.</w:t>
            </w:r>
          </w:p>
        </w:tc>
      </w:tr>
    </w:tbl>
    <w:p>
      <w:pPr>
        <w:pStyle w:val="Normal"/>
        <w:spacing w:before="100" w:after="40"/>
        <w:rPr/>
      </w:pPr>
      <w:r>
        <w:rPr>
          <w:b/>
          <w:color w:val="0B3D91"/>
          <w:sz w:val="20"/>
        </w:rPr>
        <w:t>Banque de questions — 10 questions de référence</w:t>
      </w:r>
    </w:p>
    <w:p>
      <w:pPr>
        <w:pStyle w:val="Normal"/>
        <w:keepNext w:val="true"/>
        <w:keepLines/>
        <w:spacing w:before="30" w:after="0"/>
        <w:ind w:start="28"/>
        <w:rPr/>
      </w:pPr>
      <w:r>
        <w:rPr>
          <w:b/>
          <w:color w:val="0B3D91"/>
          <w:sz w:val="16"/>
        </w:rPr>
        <w:t>Q1. Que présente exactement la rubrique ou le point « Bloc « Admissions » du pied de page » ?</w:t>
      </w:r>
    </w:p>
    <w:p>
      <w:pPr>
        <w:pStyle w:val="Normal"/>
        <w:spacing w:before="0" w:after="30"/>
        <w:ind w:start="227"/>
        <w:rPr/>
      </w:pPr>
      <w:r>
        <w:rPr>
          <w:b/>
          <w:color w:val="D4A017"/>
          <w:sz w:val="16"/>
        </w:rPr>
        <w:t xml:space="preserve">Réponse : </w:t>
      </w:r>
      <w:r>
        <w:rPr>
          <w:color w:val="1F2937"/>
          <w:sz w:val="16"/>
        </w:rPr>
        <w:t>Le bloc Admissions contient les liens Conditions et étapes, Préinscription, Inscription définitive / Compléter mon dossier, Questions fréquentes et Planifier une visite.</w:t>
      </w:r>
    </w:p>
    <w:p>
      <w:pPr>
        <w:pStyle w:val="Normal"/>
        <w:keepNext w:val="true"/>
        <w:keepLines/>
        <w:spacing w:before="30" w:after="0"/>
        <w:ind w:start="28"/>
        <w:rPr/>
      </w:pPr>
      <w:r>
        <w:rPr>
          <w:b/>
          <w:color w:val="0B3D91"/>
          <w:sz w:val="16"/>
        </w:rPr>
        <w:t>Q2. Quelle est l’idée centrale développée sous « Bloc « Admissions » du pied de page » ?</w:t>
      </w:r>
    </w:p>
    <w:p>
      <w:pPr>
        <w:pStyle w:val="Normal"/>
        <w:spacing w:before="0" w:after="30"/>
        <w:ind w:start="227"/>
        <w:rPr/>
      </w:pPr>
      <w:r>
        <w:rPr>
          <w:b/>
          <w:color w:val="D4A017"/>
          <w:sz w:val="16"/>
        </w:rPr>
        <w:t xml:space="preserve">Réponse : </w:t>
      </w:r>
      <w:r>
        <w:rPr>
          <w:color w:val="1F2937"/>
          <w:sz w:val="16"/>
        </w:rPr>
        <w:t>Il relie directement la page Contact au parcours complet d’admission.</w:t>
      </w:r>
    </w:p>
    <w:p>
      <w:pPr>
        <w:pStyle w:val="Normal"/>
        <w:keepNext w:val="true"/>
        <w:keepLines/>
        <w:spacing w:before="30" w:after="0"/>
        <w:ind w:start="28"/>
        <w:rPr/>
      </w:pPr>
      <w:r>
        <w:rPr>
          <w:b/>
          <w:color w:val="0B3D91"/>
          <w:sz w:val="16"/>
        </w:rPr>
        <w:t>Q3. Quels éléments précis sont associés à « Bloc « Admissions » du pied de page » ?</w:t>
      </w:r>
    </w:p>
    <w:p>
      <w:pPr>
        <w:pStyle w:val="Normal"/>
        <w:spacing w:before="0" w:after="30"/>
        <w:ind w:start="227"/>
        <w:rPr/>
      </w:pPr>
      <w:r>
        <w:rPr>
          <w:b/>
          <w:color w:val="D4A017"/>
          <w:sz w:val="16"/>
        </w:rPr>
        <w:t xml:space="preserve">Réponse : </w:t>
      </w:r>
      <w:r>
        <w:rPr>
          <w:color w:val="1F2937"/>
          <w:sz w:val="16"/>
        </w:rPr>
        <w:t>Cinq liens : conditions, préinscription, dossier, FAQ et visite.</w:t>
      </w:r>
    </w:p>
    <w:p>
      <w:pPr>
        <w:pStyle w:val="Normal"/>
        <w:keepNext w:val="true"/>
        <w:keepLines/>
        <w:spacing w:before="30" w:after="0"/>
        <w:ind w:start="28"/>
        <w:rPr/>
      </w:pPr>
      <w:r>
        <w:rPr>
          <w:b/>
          <w:color w:val="0B3D91"/>
          <w:sz w:val="16"/>
        </w:rPr>
        <w:t>Q4. Où « Bloc « Admissions » du pied de page » apparaît-il dans le parcours de la page Contact ?</w:t>
      </w:r>
    </w:p>
    <w:p>
      <w:pPr>
        <w:pStyle w:val="Normal"/>
        <w:spacing w:before="0" w:after="30"/>
        <w:ind w:start="227"/>
        <w:rPr/>
      </w:pPr>
      <w:r>
        <w:rPr>
          <w:b/>
          <w:color w:val="D4A017"/>
          <w:sz w:val="16"/>
        </w:rPr>
        <w:t xml:space="preserve">Réponse : </w:t>
      </w:r>
      <w:r>
        <w:rPr>
          <w:color w:val="1F2937"/>
          <w:sz w:val="16"/>
        </w:rPr>
        <w:t>Dans le pied de page, avant le bloc Nous contacter.</w:t>
      </w:r>
    </w:p>
    <w:p>
      <w:pPr>
        <w:pStyle w:val="Normal"/>
        <w:keepNext w:val="true"/>
        <w:keepLines/>
        <w:spacing w:before="30" w:after="0"/>
        <w:ind w:start="28"/>
        <w:rPr/>
      </w:pPr>
      <w:r>
        <w:rPr>
          <w:b/>
          <w:color w:val="0B3D91"/>
          <w:sz w:val="16"/>
        </w:rPr>
        <w:t>Q5. À quel public « Bloc « Admissions » du pied de page » s’adresse-t-il ?</w:t>
      </w:r>
    </w:p>
    <w:p>
      <w:pPr>
        <w:pStyle w:val="Normal"/>
        <w:spacing w:before="0" w:after="30"/>
        <w:ind w:start="227"/>
        <w:rPr/>
      </w:pPr>
      <w:r>
        <w:rPr>
          <w:b/>
          <w:color w:val="D4A017"/>
          <w:sz w:val="16"/>
        </w:rPr>
        <w:t xml:space="preserve">Réponse : </w:t>
      </w:r>
      <w:r>
        <w:rPr>
          <w:color w:val="1F2937"/>
          <w:sz w:val="16"/>
        </w:rPr>
        <w:t>Familles intéressées par l’inscription.</w:t>
      </w:r>
    </w:p>
    <w:p>
      <w:pPr>
        <w:pStyle w:val="Normal"/>
        <w:keepNext w:val="true"/>
        <w:keepLines/>
        <w:spacing w:before="30" w:after="0"/>
        <w:ind w:start="28"/>
        <w:rPr/>
      </w:pPr>
      <w:r>
        <w:rPr>
          <w:b/>
          <w:color w:val="0B3D91"/>
          <w:sz w:val="16"/>
        </w:rPr>
        <w:t>Q6. Quelle action le visiteur peut-il accomplir à partir de « Bloc « Admissions » du pied de page » ?</w:t>
      </w:r>
    </w:p>
    <w:p>
      <w:pPr>
        <w:pStyle w:val="Normal"/>
        <w:spacing w:before="0" w:after="30"/>
        <w:ind w:start="227"/>
        <w:rPr/>
      </w:pPr>
      <w:r>
        <w:rPr>
          <w:b/>
          <w:color w:val="D4A017"/>
          <w:sz w:val="16"/>
        </w:rPr>
        <w:t xml:space="preserve">Réponse : </w:t>
      </w:r>
      <w:r>
        <w:rPr>
          <w:color w:val="1F2937"/>
          <w:sz w:val="16"/>
        </w:rPr>
        <w:t>Choisir l’étape d’admission correspondant à sa situation.</w:t>
      </w:r>
    </w:p>
    <w:p>
      <w:pPr>
        <w:pStyle w:val="Normal"/>
        <w:keepNext w:val="true"/>
        <w:keepLines/>
        <w:spacing w:before="30" w:after="0"/>
        <w:ind w:start="28"/>
        <w:rPr/>
      </w:pPr>
      <w:r>
        <w:rPr>
          <w:b/>
          <w:color w:val="0B3D91"/>
          <w:sz w:val="16"/>
        </w:rPr>
        <w:t>Q7. Quel canal ou moyen de contact est lié à « Bloc « Admissions » du pied de page » ?</w:t>
      </w:r>
    </w:p>
    <w:p>
      <w:pPr>
        <w:pStyle w:val="Normal"/>
        <w:spacing w:before="0" w:after="30"/>
        <w:ind w:start="227"/>
        <w:rPr/>
      </w:pPr>
      <w:r>
        <w:rPr>
          <w:b/>
          <w:color w:val="D4A017"/>
          <w:sz w:val="16"/>
        </w:rPr>
        <w:t xml:space="preserve">Réponse : </w:t>
      </w:r>
      <w:r>
        <w:rPr>
          <w:color w:val="1F2937"/>
          <w:sz w:val="16"/>
        </w:rPr>
        <w:t>Pages Admissions, formulaires et page Contact.</w:t>
      </w:r>
    </w:p>
    <w:p>
      <w:pPr>
        <w:pStyle w:val="Normal"/>
        <w:keepNext w:val="true"/>
        <w:keepLines/>
        <w:spacing w:before="30" w:after="0"/>
        <w:ind w:start="28"/>
        <w:rPr/>
      </w:pPr>
      <w:r>
        <w:rPr>
          <w:b/>
          <w:color w:val="0B3D91"/>
          <w:sz w:val="16"/>
        </w:rPr>
        <w:t>Q8. Quel est le statut éditorial ou fonctionnel de « Bloc « Admissions » du pied de page » sur le site inspecté ?</w:t>
      </w:r>
    </w:p>
    <w:p>
      <w:pPr>
        <w:pStyle w:val="Normal"/>
        <w:spacing w:before="0" w:after="30"/>
        <w:ind w:start="227"/>
        <w:rPr/>
      </w:pPr>
      <w:r>
        <w:rPr>
          <w:b/>
          <w:color w:val="D4A017"/>
          <w:sz w:val="16"/>
        </w:rPr>
        <w:t xml:space="preserve">Réponse : </w:t>
      </w:r>
      <w:r>
        <w:rPr>
          <w:color w:val="1F2937"/>
          <w:sz w:val="16"/>
        </w:rPr>
        <w:t>Bloc actif dans le gabarit inspecté.</w:t>
      </w:r>
    </w:p>
    <w:p>
      <w:pPr>
        <w:pStyle w:val="Normal"/>
        <w:keepNext w:val="true"/>
        <w:keepLines/>
        <w:spacing w:before="30" w:after="0"/>
        <w:ind w:start="28"/>
        <w:rPr/>
      </w:pPr>
      <w:r>
        <w:rPr>
          <w:b/>
          <w:color w:val="0B3D91"/>
          <w:sz w:val="16"/>
        </w:rPr>
        <w:t>Q9. Quelle limite ou précaution faut-il conserver à propos de « Bloc « Admissions » du pied de page » ?</w:t>
      </w:r>
    </w:p>
    <w:p>
      <w:pPr>
        <w:pStyle w:val="Normal"/>
        <w:spacing w:before="0" w:after="30"/>
        <w:ind w:start="227"/>
        <w:rPr/>
      </w:pPr>
      <w:r>
        <w:rPr>
          <w:b/>
          <w:color w:val="D4A017"/>
          <w:sz w:val="16"/>
        </w:rPr>
        <w:t xml:space="preserve">Réponse : </w:t>
      </w:r>
      <w:r>
        <w:rPr>
          <w:color w:val="1F2937"/>
          <w:sz w:val="16"/>
        </w:rPr>
        <w:t>Les intitulés doivent rester cohérents avec le menu Admissions actuel qui comprend aussi Pièces à fournir et Frais et modalités de paiement.</w:t>
      </w:r>
    </w:p>
    <w:p>
      <w:pPr>
        <w:pStyle w:val="Normal"/>
        <w:keepNext w:val="true"/>
        <w:keepLines/>
        <w:spacing w:before="30" w:after="0"/>
        <w:ind w:start="28"/>
        <w:rPr/>
      </w:pPr>
      <w:r>
        <w:rPr>
          <w:b/>
          <w:color w:val="0B3D91"/>
          <w:sz w:val="16"/>
        </w:rPr>
        <w:t>Q10. Quelle réponse essentielle faut-il retenir au sujet de « Bloc « Admissions » du pied de page » ?</w:t>
      </w:r>
    </w:p>
    <w:p>
      <w:pPr>
        <w:pStyle w:val="Normal"/>
        <w:spacing w:before="0" w:after="30"/>
        <w:ind w:start="227"/>
        <w:rPr/>
      </w:pPr>
      <w:r>
        <w:rPr>
          <w:b/>
          <w:color w:val="D4A017"/>
          <w:sz w:val="16"/>
        </w:rPr>
        <w:t xml:space="preserve">Réponse : </w:t>
      </w:r>
      <w:r>
        <w:rPr>
          <w:color w:val="1F2937"/>
          <w:sz w:val="16"/>
        </w:rPr>
        <w:t>La page Contact sert de passerelle vers toutes les étapes essentielles de l’admission.</w:t>
      </w:r>
    </w:p>
    <w:p>
      <w:pPr>
        <w:pStyle w:val="Normal"/>
        <w:rPr/>
      </w:pPr>
      <w:r>
        <w:rPr/>
      </w:r>
      <w:r>
        <w:br w:type="page"/>
      </w:r>
    </w:p>
    <w:p>
      <w:pPr>
        <w:pStyle w:val="Heading1"/>
        <w:spacing w:before="0" w:after="0"/>
        <w:rPr/>
      </w:pPr>
      <w:r>
        <w:rPr/>
        <w:t>5. Glossaire des mots clés, sigles, abréviations et termes difficiles</w:t>
      </w:r>
    </w:p>
    <w:p>
      <w:pPr>
        <w:pStyle w:val="Normal"/>
        <w:rPr/>
      </w:pPr>
      <w:r>
        <w:rPr>
          <w:sz w:val="18"/>
        </w:rPr>
        <w:t>Ce glossaire comprend 106 entrées utiles à la compréhension de la page Contact et de ses services associés.</w:t>
      </w:r>
    </w:p>
    <w:tbl>
      <w:tblPr>
        <w:tblStyle w:val="TableGrid"/>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blHeader w:val="true"/>
        </w:trPr>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6"/>
                <w:szCs w:val="22"/>
                <w:lang w:val="en-US" w:eastAsia="en-US" w:bidi="ar-SA"/>
              </w:rPr>
              <w:t>Terme / sigle</w:t>
            </w:r>
          </w:p>
        </w:tc>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6"/>
                <w:szCs w:val="22"/>
                <w:lang w:val="en-US" w:eastAsia="en-US" w:bidi="ar-SA"/>
              </w:rPr>
              <w:t>Définition claire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Accueil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Fonction qui reçoit une personne, écoute sa demande, l’informe et l’oriente.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Adresse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Indication précise du lieu physique où une personne ou une institution peut être trouvée.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Adresse e-mail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Identifiant permettant d’envoyer et de recevoir des messages électroniques.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Admission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Processus par lequel une candidature d’élève est examinée puis acceptée ou refusée selon les règles de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Agrément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Autorisation officielle reconnaissant le fonctionnement d’un établissement.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Appel à l’action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Bouton ou lien invitant l’utilisateur à accomplir une action précise.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Assistance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Aide fournie à une personne qui rencontre une difficulté ou a besoin d’une orientation.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Assistance humaine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Prise en charge par un membre du personnel, notamment lorsque la demande exige jugement, décision ou confidentialité.</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Astérisque (*)</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Signe indiquant généralement qu’un champ de formulaire est obligatoire.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Bandeau supérieur</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Zone placée tout en haut d’un site et contenant souvent une alerte, un téléphone ou un e-mail.</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Bloc</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visuel regroupant des informations ou fonctions liées.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Bouton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Élément cliquable déclenchant une action.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Bukavu</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Ville du Sud-Kivu, en République Démocratique du Congo, où se situe le GSE.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Campus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des bâtiments et espaces d’un établissement scolaire.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Canal officiel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Moyen de communication reconnu et contrôlé par l’institution.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Carte de coordonnées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Petit bloc présentant une adresse, un téléphone ou un e-mail.</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Champ</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Zone d’un formulaire dans laquelle l’utilisateur saisit une information.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Champ obligatoire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Champ qui doit être rempli avant l’envoi d’un formulaire.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Commune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Subdivision administrative d’une ville ; le site mentionne la Commune d’Ibanda.</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Confidentialité</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Protection des informations contre un accès ou une utilisation non autorisés.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Consentement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Accord libre et informé donné pour une action ou un traitement de données.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Contact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Action ou moyen permettant d’entrer en relation avec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Contact Us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Expression anglaise signifiant « Contactez-nous ».</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Coordonnées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des informations permettant de joindre ou localiser une personne ou une institution.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Courriel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Synonyme français d’e-mail.</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CTA</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Sigle de Call To Action, c’est-à-dire un appel à l’action.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Donnée de démonstration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fictive placée dans un modèle et qui doit être remplacée avant publication.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Donnée personnelle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se rapportant à une personne identifiée ou identifiable.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Donnée sensible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qui exige une protection renforcée, par exemple santé, finances ou mots de passe.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Domaine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Partie d’une adresse internet ou e-mail identifiant un site ou une organisation.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E-mail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Message transmis par courrier électronique.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ÉMINA</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Assistante institutionnelle du GROUPE SCOLAIRE LES ÉMINENTS.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En-tête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Partie supérieure d’une page ou d’un document.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EN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Abréviation courante de English, c’est-à-dire anglais.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Espace Parents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Portail numérique réservé aux parents et responsables légaux selon leurs habilitations.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FAQ</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Frequently Asked Questions ; en français, questions fréquentes.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Fil d’Ariane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Suite de liens indiquant la position d’une page dans l’arborescence du site.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Formulaire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de champs permettant de recueillir et transmettre des informations.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FR</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Abréviation de français.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Gabarit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Modèle de page ou de mise en forme servant de base à un contenu.</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GSE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Abréviation de GROUPE SCOLAIRE LES ÉMINENTS.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HTML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Langage de structuration des pages web.</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Heures de bureau</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Périodes pendant lesquelles les services administratifs reçoivent ou répondent.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Habilitation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Autorisation accordée à une personne pour accéder à une information ou accomplir une action.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HTTPS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Protocole sécurisé utilisé pour consulter un site web.</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Ibanda</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Commune de la ville de Bukavu mentionnée dans l’adresse de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Illustration institutionnelle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Image conçue pour représenter l’identité, les services ou le projet d’une institution.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Indicatif international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Préfixe téléphonique attribué à un pays ; +243 correspond à la RDC.</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Information institutionnelle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officielle relative à l’identité, aux services, règles ou activités de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JavaScript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Langage utilisé dans le navigateur pour rendre certaines fonctions d’un site interactives.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Labotte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Quartier de Bukavu indiqué dans l’adresse du GSE.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Lien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Texte ou élément cliquable ouvrant une autre page ou un service.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Localisation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permettant de situer un lieu.</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Menu</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Liste organisée des principales rubriques d’un site.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Message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Contenu rédigé et transmis à un destinataire.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Minimisation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Principe consistant à ne collecter que les données strictement nécessaires.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Mot de passe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Secret permettant de protéger l’accès à un compte ; il ne doit jamais être envoyé dans un formulaire public.</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Navigateur</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Logiciel utilisé pour consulter un site internet.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Navigation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des liens et mécanismes permettant de circuler dans un site.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Nom</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d’identité demandée dans le formulaire.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Numéro officiel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Numéro de téléphone validé et publié par l’institution.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Objet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Résumé court du thème d’un message.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Office hours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Expression anglaise signifiant heures de bureau.</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Orientation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Action de diriger une demande vers le bon service ou interlocuteur.</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Page Contact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Page du site dédiée aux coordonnées, demandes d’information et visites.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Partenaire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Organisation ou personne collaborant avec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Pied de page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Zone située en bas d’une page web et contenant souvent navigation, coordonnées et mentions légales.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Planification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Organisation à l’avance d’une activité, par exemple une visite.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Planifier une visite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Convenir avec l’école d’un moment pour découvrir le campus.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Politique de confidentialité</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Document expliquant les règles de collecte, de protection et d’utilisation des données.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Préinscription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Première manifestation d’intérêt d’une famille ; elle ne vaut pas admission définitive.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Professionnel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Réalisé avec compétence, organisation, respect et responsabilité.</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Quartier</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Subdivision locale d’une ville ; le site mentionne le Quartier Labotte.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RDC</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République Démocratique du Congo.</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Réponse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apportée à une question ou une demande.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Responsable légal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Personne autorisée par la loi à agir pour un enfant.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Service compétent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Département ou agent qualifié pour traiter une demande précise.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Site public</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Partie du site accessible sans authentification.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Soumission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Action d’envoyer un formulaire complété.</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Subject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Mot anglais signifiant objet du message.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Submit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Mot anglais signifiant soumettre ou envoyer.</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Sud-Kivu</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Province de la RDC où se trouve Bukavu.</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Syllabus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Terme anglais désignant le contenu ou le plan d’un programme d’études.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Téléphone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Canal permettant un échange vocal ou, selon le numéro, une messagerie.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Texte alternatif</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Description d’une image destinée notamment aux personnes utilisant un lecteur d’écran.</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Traçabilité</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Possibilité de conserver et vérifier l’historique d’une action ou d’un échange.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URL</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Adresse complète permettant d’accéder à une ressource sur internet.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Visite du campus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Déplacement organisé pour découvrir les locaux et échanger avec l’équipe.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Visiteur</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Personne qui consulte le site ou se présente à l’école.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Walk in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Expression anglaise signifiant se présenter sur place sans utiliser d’abord un formulaire.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WhatsApp</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Service de messagerie instantanée accessible par téléphone ou navigateur.</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Widget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Petit module interactif intégré à une page, comme la fenêtre d’ÉMINA.</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+243</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Indicatif téléphonique international de la République Démocratique du Congo.</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Symbole séparant le nom de boîte et le domaine dans une adresse e-mail.</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Abréviation de numéro, utilisée ici pour l’adresse Avenue du Lac n°49.</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Français–anglais</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Bilinguisme institutionnel combinant le français et l’anglais.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Canal alternatif</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Moyen de contact utilisé lorsque le canal principal n’est pas disponible.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Confirmation d’envoi</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Message indiquant qu’un formulaire a bien été transmis.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Référencement</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Ensemble de pratiques facilitant la découverte d’une page par les moteurs de recherche.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Accessibilité numérique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Conception permettant au plus grand nombre, y compris les personnes handicapées, d’utiliser un service numérique.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Droit à l’image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Règles relatives à l’utilisation de photographies ou vidéos représentant une personne.</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Moindre privilège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Principe selon lequel une personne ou un système ne reçoit que les accès nécessaires.</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Journalisation</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Enregistrement des actions afin de permettre contrôle et audit.</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Escalade humaine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Transmission d’une demande à un membre du personnel lorsque l’outil automatique ne doit pas décider.</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Information publique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Information pouvant être communiquée sans révéler un dossier personnel ou confidentiel.</w:t>
            </w:r>
          </w:p>
        </w:tc>
      </w:tr>
      <w:tr>
        <w:trPr/>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b/>
                <w:color w:val="0B3D91"/>
                <w:kern w:val="0"/>
                <w:sz w:val="15"/>
                <w:szCs w:val="22"/>
                <w:lang w:val="en-US" w:eastAsia="en-US" w:bidi="ar-SA"/>
              </w:rPr>
              <w:t>Canal sécurisé</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0"/>
              <w:rPr>
                <w:rFonts w:cs=""/>
                <w:kern w:val="0"/>
                <w:szCs w:val="22"/>
                <w:lang w:val="en-US" w:eastAsia="en-US" w:bidi="ar-SA"/>
              </w:rPr>
            </w:pPr>
            <w:r>
              <w:rPr>
                <w:rFonts w:cs=""/>
                <w:kern w:val="0"/>
                <w:sz w:val="15"/>
                <w:szCs w:val="22"/>
                <w:lang w:val="en-US" w:eastAsia="en-US" w:bidi="ar-SA"/>
              </w:rPr>
              <w:t>Moyen de transmission comportant des protections adaptées aux données échangées.</w:t>
            </w:r>
          </w:p>
        </w:tc>
      </w:tr>
    </w:tbl>
    <w:p>
      <w:pPr>
        <w:pStyle w:val="Normal"/>
        <w:rPr/>
      </w:pPr>
      <w:r>
        <w:rPr/>
      </w:r>
      <w:r>
        <w:br w:type="page"/>
      </w:r>
    </w:p>
    <w:p>
      <w:pPr>
        <w:pStyle w:val="Heading1"/>
        <w:spacing w:before="0" w:after="0"/>
        <w:rPr/>
      </w:pPr>
      <w:r>
        <w:rPr/>
        <w:t>6. Diagnostic éditorial et fonctionnel</w:t>
      </w:r>
    </w:p>
    <w:tbl>
      <w:tblPr>
        <w:tblStyle w:val="TableGrid"/>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5241"/>
        <w:gridCol w:w="5241"/>
      </w:tblGrid>
      <w:tr>
        <w:trPr>
          <w:tblHeader w:val="true"/>
        </w:trPr>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7"/>
                <w:szCs w:val="22"/>
                <w:lang w:val="en-US" w:eastAsia="en-US" w:bidi="ar-SA"/>
              </w:rPr>
              <w:t>Priorité</w:t>
            </w:r>
          </w:p>
        </w:tc>
        <w:tc>
          <w:tcPr>
            <w:tcW w:w="5241" w:type="dxa"/>
            <w:tcBorders/>
            <w:shd w:fill="0B3D91"/>
          </w:tcPr>
          <w:p>
            <w:pPr>
              <w:pStyle w:val="Normal"/>
              <w:spacing w:lineRule="auto" w:line="240" w:before="0" w:after="80"/>
              <w:rPr>
                <w:rFonts w:cs=""/>
                <w:kern w:val="0"/>
                <w:szCs w:val="22"/>
                <w:lang w:val="en-US" w:eastAsia="en-US" w:bidi="ar-SA"/>
              </w:rPr>
            </w:pPr>
            <w:r>
              <w:rPr>
                <w:rFonts w:cs=""/>
                <w:b/>
                <w:color w:val="FFFFFF"/>
                <w:kern w:val="0"/>
                <w:sz w:val="17"/>
                <w:szCs w:val="22"/>
                <w:lang w:val="en-US" w:eastAsia="en-US" w:bidi="ar-SA"/>
              </w:rPr>
              <w:t>Correction ou amélioration recommandée</w:t>
            </w:r>
          </w:p>
        </w:tc>
      </w:tr>
      <w:tr>
        <w:trPr/>
        <w:tc>
          <w:tcPr>
            <w:tcW w:w="5241" w:type="dxa"/>
            <w:tcBorders>
              <w:top w:val="single" w:sz="4" w:space="0" w:color="D7DEE8"/>
              <w:start w:val="single" w:sz="4" w:space="0" w:color="D7DEE8"/>
              <w:bottom w:val="single" w:sz="4" w:space="0" w:color="D7DEE8"/>
              <w:end w:val="single" w:sz="4" w:space="0" w:color="D7DEE8"/>
            </w:tcBorders>
            <w:shd w:fill="FCECEC"/>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Critique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Remplacer l’adresse « 1234 Demo Ave, Austin, TX 56789, United States » par l’adresse officielle du GSE.</w:t>
            </w:r>
          </w:p>
        </w:tc>
      </w:tr>
      <w:tr>
        <w:trPr/>
        <w:tc>
          <w:tcPr>
            <w:tcW w:w="5241" w:type="dxa"/>
            <w:tcBorders>
              <w:top w:val="single" w:sz="4" w:space="0" w:color="D7DEE8"/>
              <w:start w:val="single" w:sz="4" w:space="0" w:color="D7DEE8"/>
              <w:bottom w:val="single" w:sz="4" w:space="0" w:color="D7DEE8"/>
              <w:end w:val="single" w:sz="4" w:space="0" w:color="D7DEE8"/>
            </w:tcBorders>
            <w:shd w:fill="FCECEC"/>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Critique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Remplacer le numéro « +01 - 123 456 7890 » par les numéros officiels +243.</w:t>
            </w:r>
          </w:p>
        </w:tc>
      </w:tr>
      <w:tr>
        <w:trPr/>
        <w:tc>
          <w:tcPr>
            <w:tcW w:w="5241" w:type="dxa"/>
            <w:tcBorders>
              <w:top w:val="single" w:sz="4" w:space="0" w:color="D7DEE8"/>
              <w:start w:val="single" w:sz="4" w:space="0" w:color="D7DEE8"/>
              <w:bottom w:val="single" w:sz="4" w:space="0" w:color="D7DEE8"/>
              <w:end w:val="single" w:sz="4" w:space="0" w:color="D7DEE8"/>
            </w:tcBorders>
            <w:shd w:fill="FCECEC"/>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Critique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Remplacer « mail@example.com » par promotion@gsleseminents.com.</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Élevée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Traduire « Contact Us », « Address », « Phone », « Email », « Send Us a Message », « Name », « Subject » et « Submit » en français, puis prévoir les versions linguistiques officielles.</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Élevée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Afficher les trois numéros officiels dans l’ordre institutionnel : +243 997 712 645 ; +243 817 792 448 ; +243 992 818 280.</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Élevée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Harmoniser l’adresse sur toutes les pages : 49, Avenue du Lac, Quartier Labotte, Commune d’Ibanda, Bukavu, Sud-Kivu, RDC.</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Élevée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Ajouter un véritable module de planification de visite : date souhaitée, tranche horaire, nom, téléphone, objet et confirmation humaine.</w:t>
            </w:r>
          </w:p>
        </w:tc>
      </w:tr>
      <w:tr>
        <w:trPr/>
        <w:tc>
          <w:tcPr>
            <w:tcW w:w="5241" w:type="dxa"/>
            <w:tcBorders>
              <w:top w:val="single" w:sz="4" w:space="0" w:color="D7DEE8"/>
              <w:start w:val="single" w:sz="4" w:space="0" w:color="D7DEE8"/>
              <w:bottom w:val="single" w:sz="4" w:space="0" w:color="D7DEE8"/>
              <w:end w:val="single" w:sz="4" w:space="0" w:color="D7DEE8"/>
            </w:tcBorders>
            <w:shd w:fill="FFF6D8"/>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Élevée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Tester la réception réelle du formulaire, la notification au service compétent, la confirmation à l’utilisateur et la protection anti-spam.</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Ajouter une mention de confidentialité et de consentement à proximité du bouton d’envoi.</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Préciser les horaires d’accueil ou supprimer la référence générique aux « office hours ».</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Ajouter une carte de localisation fiable et un itinéraire, sans publier de données contradictoires.</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Harmoniser les libellés du menu et du pied de page avec la navigation actuelle : À propos, Actualités et galerie, Qualité et engagements, etc.</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Prévoir une alternative accessible lorsque JavaScript est désactivé ou que le formulaire échoue.</w:t>
            </w:r>
          </w:p>
        </w:tc>
      </w:tr>
      <w:tr>
        <w:trPr/>
        <w:tc>
          <w:tcPr>
            <w:tcW w:w="5241" w:type="dxa"/>
            <w:tcBorders>
              <w:top w:val="single" w:sz="4" w:space="0" w:color="D7DEE8"/>
              <w:start w:val="single" w:sz="4" w:space="0" w:color="D7DEE8"/>
              <w:bottom w:val="single" w:sz="4" w:space="0" w:color="D7DEE8"/>
              <w:end w:val="single" w:sz="4" w:space="0" w:color="D7DEE8"/>
            </w:tcBorders>
            <w:shd w:fill="EAF2FB"/>
          </w:tcPr>
          <w:p>
            <w:pPr>
              <w:pStyle w:val="Normal"/>
              <w:spacing w:lineRule="auto" w:line="240" w:before="0" w:after="80"/>
              <w:rPr>
                <w:rFonts w:cs=""/>
                <w:kern w:val="0"/>
                <w:szCs w:val="22"/>
                <w:lang w:val="en-US" w:eastAsia="en-US" w:bidi="ar-SA"/>
              </w:rPr>
            </w:pPr>
            <w:r>
              <w:rPr>
                <w:rFonts w:cs=""/>
                <w:b/>
                <w:kern w:val="0"/>
                <w:sz w:val="16"/>
                <w:szCs w:val="22"/>
                <w:lang w:val="en-US" w:eastAsia="en-US" w:bidi="ar-SA"/>
              </w:rPr>
              <w:t>Moyenne</w:t>
            </w:r>
          </w:p>
        </w:tc>
        <w:tc>
          <w:tcPr>
            <w:tcW w:w="5241" w:type="dxa"/>
            <w:tcBorders>
              <w:top w:val="single" w:sz="4" w:space="0" w:color="D7DEE8"/>
              <w:start w:val="single" w:sz="4" w:space="0" w:color="D7DEE8"/>
              <w:bottom w:val="single" w:sz="4" w:space="0" w:color="D7DEE8"/>
              <w:end w:val="single" w:sz="4" w:space="0" w:color="D7DEE8"/>
            </w:tcBorders>
          </w:tcPr>
          <w:p>
            <w:pPr>
              <w:pStyle w:val="Normal"/>
              <w:spacing w:lineRule="auto" w:line="240" w:before="0" w:after="80"/>
              <w:rPr>
                <w:rFonts w:cs=""/>
                <w:kern w:val="0"/>
                <w:szCs w:val="22"/>
                <w:lang w:val="en-US" w:eastAsia="en-US" w:bidi="ar-SA"/>
              </w:rPr>
            </w:pPr>
            <w:r>
              <w:rPr>
                <w:rFonts w:cs=""/>
                <w:kern w:val="0"/>
                <w:sz w:val="16"/>
                <w:szCs w:val="22"/>
                <w:lang w:val="en-US" w:eastAsia="en-US" w:bidi="ar-SA"/>
              </w:rPr>
              <w:t>Ajouter les délais indicatifs de réponse et la procédure d’escalade vers un agent humain.</w:t>
            </w:r>
          </w:p>
        </w:tc>
      </w:tr>
    </w:tbl>
    <w:p>
      <w:pPr>
        <w:pStyle w:val="Heading1"/>
        <w:rPr/>
      </w:pPr>
      <w:r>
        <w:rPr/>
        <w:t>7. Utilisations recommandées de la banque</w:t>
      </w:r>
    </w:p>
    <w:p>
      <w:pPr>
        <w:pStyle w:val="ListBullet"/>
        <w:numPr>
          <w:ilvl w:val="0"/>
          <w:numId w:val="1"/>
        </w:numPr>
        <w:spacing w:before="0" w:after="20"/>
        <w:ind w:hanging="360" w:start="255"/>
        <w:contextualSpacing/>
        <w:rPr/>
      </w:pPr>
      <w:r>
        <w:rPr>
          <w:sz w:val="17"/>
        </w:rPr>
        <w:t>Alimenter la base locale de connaissances d’ÉMINA avec des réponses strictement alignées sur les contenus publics validés.</w:t>
      </w:r>
    </w:p>
    <w:p>
      <w:pPr>
        <w:pStyle w:val="ListBullet"/>
        <w:numPr>
          <w:ilvl w:val="0"/>
          <w:numId w:val="1"/>
        </w:numPr>
        <w:spacing w:before="0" w:after="20"/>
        <w:ind w:hanging="360" w:start="255"/>
        <w:contextualSpacing/>
        <w:rPr/>
      </w:pPr>
      <w:r>
        <w:rPr>
          <w:sz w:val="17"/>
        </w:rPr>
        <w:t>Former les agents d’accueil et Admissions à répondre de manière uniforme.</w:t>
      </w:r>
    </w:p>
    <w:p>
      <w:pPr>
        <w:pStyle w:val="ListBullet"/>
        <w:numPr>
          <w:ilvl w:val="0"/>
          <w:numId w:val="1"/>
        </w:numPr>
        <w:spacing w:before="0" w:after="20"/>
        <w:ind w:hanging="360" w:start="255"/>
        <w:contextualSpacing/>
        <w:rPr/>
      </w:pPr>
      <w:r>
        <w:rPr>
          <w:sz w:val="17"/>
        </w:rPr>
        <w:t>Créer une FAQ Contact et Visite structurée par thème.</w:t>
      </w:r>
    </w:p>
    <w:p>
      <w:pPr>
        <w:pStyle w:val="ListBullet"/>
        <w:numPr>
          <w:ilvl w:val="0"/>
          <w:numId w:val="1"/>
        </w:numPr>
        <w:spacing w:before="0" w:after="20"/>
        <w:ind w:hanging="360" w:start="255"/>
        <w:contextualSpacing/>
        <w:rPr/>
      </w:pPr>
      <w:r>
        <w:rPr>
          <w:sz w:val="17"/>
        </w:rPr>
        <w:t>Tester la cohérence des réponses entre le site, le pied de page, WhatsApp, l’e-mail et l’accueil physique.</w:t>
      </w:r>
    </w:p>
    <w:p>
      <w:pPr>
        <w:pStyle w:val="ListBullet"/>
        <w:numPr>
          <w:ilvl w:val="0"/>
          <w:numId w:val="1"/>
        </w:numPr>
        <w:spacing w:before="0" w:after="20"/>
        <w:ind w:hanging="360" w:start="255"/>
        <w:contextualSpacing/>
        <w:rPr/>
      </w:pPr>
      <w:r>
        <w:rPr>
          <w:sz w:val="17"/>
        </w:rPr>
        <w:t>Préparer les traductions française, anglaise, kiswahili, lingala, kikongo ya leta et tshiluba sans modifier les données officielles.</w:t>
      </w:r>
    </w:p>
    <w:p>
      <w:pPr>
        <w:pStyle w:val="ListBullet"/>
        <w:numPr>
          <w:ilvl w:val="0"/>
          <w:numId w:val="1"/>
        </w:numPr>
        <w:spacing w:before="0" w:after="20"/>
        <w:ind w:hanging="360" w:start="255"/>
        <w:contextualSpacing/>
        <w:rPr/>
      </w:pPr>
      <w:r>
        <w:rPr>
          <w:sz w:val="17"/>
        </w:rPr>
        <w:t>Utiliser les questions comme scénarios de recette fonctionnelle du formulaire et du widget ÉMINA.</w:t>
      </w:r>
    </w:p>
    <w:p>
      <w:pPr>
        <w:pStyle w:val="Heading1"/>
        <w:rPr/>
      </w:pPr>
      <w:r>
        <w:rPr/>
        <w:t>8. Conclusion</w:t>
      </w:r>
    </w:p>
    <w:tbl>
      <w:tblPr>
        <w:tblW w:w="10483"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483"/>
      </w:tblGrid>
      <w:tr>
        <w:trPr/>
        <w:tc>
          <w:tcPr>
            <w:tcW w:w="10483" w:type="dxa"/>
            <w:tcBorders>
              <w:top w:val="single" w:sz="6" w:space="0" w:color="0B3D91"/>
              <w:start w:val="single" w:sz="6" w:space="0" w:color="0B3D91"/>
              <w:bottom w:val="single" w:sz="6" w:space="0" w:color="0B3D91"/>
              <w:end w:val="single" w:sz="6" w:space="0" w:color="0B3D91"/>
            </w:tcBorders>
            <w:shd w:fill="EAF2FB"/>
          </w:tcPr>
          <w:p>
            <w:pPr>
              <w:pStyle w:val="Normal"/>
              <w:spacing w:before="0" w:after="0"/>
              <w:rPr/>
            </w:pPr>
            <w:r>
              <w:rPr>
                <w:b/>
                <w:color w:val="0B3D91"/>
                <w:sz w:val="18"/>
              </w:rPr>
              <w:t xml:space="preserve">Conclusion : </w:t>
            </w:r>
            <w:r>
              <w:rPr>
                <w:color w:val="1F2937"/>
                <w:sz w:val="18"/>
              </w:rPr>
              <w:t>Le menu Contact est fonctionnel comme point d’entrée unique et annonce correctement les coordonnées, la localisation, la demande d’information et la visite. Toutefois, le corps principal conserve un gabarit anglais avec des données de démonstration critiques. Le pied de page contient les coordonnées institutionnelles utiles, mais leur présentation doit être harmonisée. La correction de ces écarts est prioritaire avant la mise en production définitive.</w:t>
            </w:r>
          </w:p>
        </w:tc>
      </w:tr>
    </w:tbl>
    <w:p>
      <w:pPr>
        <w:pStyle w:val="Normal"/>
        <w:spacing w:before="240" w:after="40"/>
        <w:jc w:val="center"/>
        <w:rPr/>
      </w:pPr>
      <w:r>
        <w:rPr>
          <w:b/>
          <w:color w:val="D4A017"/>
          <w:sz w:val="22"/>
        </w:rPr>
        <w:t>FIN DU DOCUMENT</w:t>
      </w:r>
    </w:p>
    <w:p>
      <w:pPr>
        <w:pStyle w:val="Normal"/>
        <w:spacing w:before="0" w:after="80"/>
        <w:rPr/>
      </w:pPr>
      <w:r>
        <w:rPr/>
      </w:r>
    </w:p>
    <w:sectPr>
      <w:headerReference w:type="even" r:id="rId54"/>
      <w:headerReference w:type="default" r:id="rId55"/>
      <w:headerReference w:type="first" r:id="rId56"/>
      <w:footerReference w:type="even" r:id="rId57"/>
      <w:footerReference w:type="default" r:id="rId58"/>
      <w:footerReference w:type="first" r:id="rId59"/>
      <w:type w:val="nextPage"/>
      <w:pgSz w:w="12240" w:h="15840"/>
      <w:pgMar w:left="964" w:right="964" w:gutter="0" w:header="369" w:top="935" w:footer="369" w:bottom="879"/>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iso-8859-1"/>
    <w:family w:val="roman"/>
    <w:pitch w:val="variable"/>
  </w:font>
  <w:font w:name="Calibri">
    <w:charset w:val="00" w:characterSet="iso-8859-1"/>
    <w:family w:val="roman"/>
    <w:pitch w:val="variable"/>
  </w:font>
  <w:font w:name="Liberation Sans">
    <w:altName w:val="Arial"/>
    <w:charset w:val="00" w:characterSet="iso-8859-1"/>
    <w:family w:val="roman"/>
    <w:pitch w:val="variable"/>
  </w:font>
  <w:font w:name="Courier">
    <w:altName w:val="Courier New"/>
    <w:charset w:val="00" w:characterSet="iso-8859-1"/>
    <w:family w:val="roman"/>
    <w:pitch w:val="variable"/>
  </w:font>
  <w:font w:name="Liberation Sans">
    <w:altName w:val="Arial"/>
    <w:charset w:val="00" w:characterSet="iso-8859-1"/>
    <w:family w:val="swiss"/>
    <w:pitch w:val="variable"/>
  </w:font>
  <w:font w:name="Arial">
    <w:charset w:val="00" w:characterSet="iso-8859-1"/>
    <w:family w:val="roman"/>
    <w:pitch w:val="variable"/>
  </w:font>
  <w:font w:name="Consolas">
    <w:charset w:val="00" w:characterSet="iso-8859-1"/>
    <w:family w:val="roman"/>
    <w:pitch w:val="variable"/>
  </w:font>
  <w:font w:name="Aptos Display">
    <w:charset w:val="00" w:characterSet="iso-8859-1"/>
    <w:family w:val="roman"/>
    <w:pitch w:val="variable"/>
  </w:font>
  <w:font w:name="Aptos">
    <w:charset w:val="00" w:characterSet="iso-8859-1"/>
    <w:family w:val="roman"/>
    <w:pitch w:val="variable"/>
  </w:font>
  <w:font w:name="Georgia">
    <w:charset w:val="00" w:characterSet="iso-8859-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298"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4649"/>
      <w:gridCol w:w="4648"/>
    </w:tblGrid>
    <w:tr>
      <w:trPr/>
      <w:tc>
        <w:tcPr>
          <w:tcW w:w="4649" w:type="dxa"/>
          <w:tcBorders>
            <w:top w:val="single" w:sz="4" w:space="0" w:color="D7DEE8"/>
          </w:tcBorders>
        </w:tcPr>
        <w:p>
          <w:pPr>
            <w:pStyle w:val="Normal"/>
            <w:spacing w:lineRule="auto" w:line="240" w:before="0" w:after="0"/>
            <w:rPr/>
          </w:pPr>
          <w:r>
            <w:rPr>
              <w:rFonts w:eastAsia="Arial" w:ascii="Arial" w:hAnsi="Arial"/>
              <w:b w:val="false"/>
              <w:i w:val="false"/>
              <w:color w:val="666666"/>
              <w:sz w:val="15"/>
            </w:rPr>
            <w:t>Version 1.0.0 • 2 juillet 2026 • Institutionnel — diffusion contrôlée</w:t>
          </w:r>
        </w:p>
      </w:tc>
      <w:tc>
        <w:tcPr>
          <w:tcW w:w="4648" w:type="dxa"/>
          <w:tcBorders>
            <w:top w:val="single" w:sz="4" w:space="0" w:color="D7DEE8"/>
          </w:tcBorders>
        </w:tcPr>
        <w:p>
          <w:pPr>
            <w:pStyle w:val="Normal"/>
            <w:spacing w:lineRule="auto" w:line="240" w:before="0" w:after="0"/>
            <w:jc w:val="end"/>
            <w:rPr/>
          </w:pPr>
          <w:r>
            <w:rPr>
              <w:rFonts w:eastAsia="Arial" w:ascii="Arial" w:hAnsi="Arial"/>
              <w:b w:val="false"/>
              <w:i w:val="false"/>
              <w:color w:val="666666"/>
              <w:sz w:val="15"/>
            </w:rPr>
            <w:t xml:space="preserve">Page </w:t>
          </w:r>
          <w:r>
            <w:rPr/>
            <w:fldChar w:fldCharType="begin"/>
          </w:r>
          <w:r>
            <w:rPr/>
            <w:instrText xml:space="preserve"> PAGE </w:instrText>
          </w:r>
          <w:r>
            <w:rPr/>
            <w:fldChar w:fldCharType="separate"/>
          </w:r>
          <w:r>
            <w:rPr/>
            <w:t>573</w:t>
          </w:r>
          <w:r>
            <w:rPr/>
            <w:fldChar w:fldCharType="end"/>
          </w:r>
          <w:r>
            <w:rPr>
              <w:rFonts w:eastAsia="Arial" w:ascii="Arial" w:hAnsi="Arial"/>
              <w:b w:val="false"/>
              <w:i w:val="false"/>
              <w:color w:val="666666"/>
              <w:sz w:val="15"/>
            </w:rPr>
            <w:t xml:space="preserve"> / </w:t>
          </w:r>
          <w:r>
            <w:rPr/>
            <w:fldChar w:fldCharType="begin"/>
          </w:r>
          <w:r>
            <w:rPr/>
            <w:instrText xml:space="preserve"> NUMPAGES </w:instrText>
          </w:r>
          <w:r>
            <w:rPr/>
            <w:fldChar w:fldCharType="separate"/>
          </w:r>
          <w:r>
            <w:rPr/>
            <w:t>573</w:t>
          </w:r>
          <w:r>
            <w:rPr/>
            <w:fldChar w:fldCharType="end"/>
          </w:r>
        </w:p>
      </w:tc>
    </w:tr>
  </w:tbl>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298" w:type="dxa"/>
      <w:jc w:val="center"/>
      <w:tblInd w:w="0" w:type="dxa"/>
      <w:tblLayout w:type="fixed"/>
      <w:tblCellMar>
        <w:top w:w="0" w:type="dxa"/>
        <w:start w:w="0" w:type="dxa"/>
        <w:bottom w:w="0" w:type="dxa"/>
        <w:end w:w="0" w:type="dxa"/>
      </w:tblCellMar>
      <w:tblLook w:val="04a0" w:noHBand="0" w:noVBand="1" w:firstColumn="1" w:lastRow="0" w:lastColumn="0" w:firstRow="1"/>
    </w:tblPr>
    <w:tblGrid>
      <w:gridCol w:w="4649"/>
      <w:gridCol w:w="4648"/>
    </w:tblGrid>
    <w:tr>
      <w:trPr/>
      <w:tc>
        <w:tcPr>
          <w:tcW w:w="4649" w:type="dxa"/>
          <w:tcBorders>
            <w:bottom w:val="single" w:sz="8" w:space="0" w:color="D8AE24"/>
          </w:tcBorders>
        </w:tcPr>
        <w:p>
          <w:pPr>
            <w:pStyle w:val="Normal"/>
            <w:spacing w:lineRule="auto" w:line="240" w:before="0" w:after="40"/>
            <w:rPr/>
          </w:pPr>
          <w:r>
            <w:rPr>
              <w:rFonts w:eastAsia="Arial" w:ascii="Arial" w:hAnsi="Arial"/>
              <w:b/>
              <w:i w:val="false"/>
              <w:color w:val="0B3D91"/>
              <w:sz w:val="17"/>
            </w:rPr>
            <w:t>GROUPE SCOLAIRE LES ÉMINENTS</w:t>
          </w:r>
        </w:p>
      </w:tc>
      <w:tc>
        <w:tcPr>
          <w:tcW w:w="4648" w:type="dxa"/>
          <w:tcBorders>
            <w:bottom w:val="single" w:sz="8" w:space="0" w:color="D8AE24"/>
          </w:tcBorders>
        </w:tcPr>
        <w:p>
          <w:pPr>
            <w:pStyle w:val="Normal"/>
            <w:spacing w:lineRule="auto" w:line="240" w:before="0" w:after="40"/>
            <w:jc w:val="end"/>
            <w:rPr/>
          </w:pPr>
          <w:r>
            <w:rPr>
              <w:rFonts w:eastAsia="Arial" w:ascii="Arial" w:hAnsi="Arial"/>
              <w:b/>
              <w:i w:val="false"/>
              <w:color w:val="666666"/>
              <w:sz w:val="16"/>
            </w:rPr>
            <w:t>BASE MAÎTRESSE ÉMINA — GSE-EMINA-KB-SITE-001</w:t>
          </w:r>
        </w:p>
      </w:tc>
    </w:tr>
  </w:tbl>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1080"/>
        </w:tabs>
        <w:ind w:start="108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decimal"/>
      <w:lvlText w:val="%1."/>
      <w:lvlJc w:val="start"/>
      <w:pPr>
        <w:tabs>
          <w:tab w:val="num" w:pos="1080"/>
        </w:tabs>
        <w:ind w:start="108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 w:cstheme="minorBidi" w:eastAsiaTheme="minorEastAsia"/>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bidi w:val="0"/>
      <w:spacing w:lineRule="auto" w:line="252" w:before="0" w:after="80"/>
      <w:jc w:val="start"/>
    </w:pPr>
    <w:rPr>
      <w:rFonts w:ascii="Liberation Sans" w:hAnsi="Liberation Sans" w:eastAsia="ＭＳ 明朝" w:cs=""/>
      <w:color w:val="253247"/>
      <w:kern w:val="0"/>
      <w:sz w:val="18"/>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200" w:after="140"/>
      <w:outlineLvl w:val="0"/>
    </w:pPr>
    <w:rPr>
      <w:rFonts w:ascii="Calibri" w:hAnsi="Calibri" w:eastAsia="ＭＳ ゴシック" w:cs="" w:asciiTheme="majorHAnsi" w:cstheme="majorBidi" w:eastAsiaTheme="majorEastAsia" w:hAnsiTheme="majorHAnsi"/>
      <w:b/>
      <w:bCs/>
      <w:color w:val="0B3D91"/>
      <w:sz w:val="38"/>
      <w:szCs w:val="28"/>
    </w:rPr>
  </w:style>
  <w:style w:type="paragraph" w:styleId="Heading2">
    <w:name w:val="heading 2"/>
    <w:basedOn w:val="Normal"/>
    <w:next w:val="Normal"/>
    <w:link w:val="Heading2Char"/>
    <w:uiPriority w:val="9"/>
    <w:unhideWhenUsed/>
    <w:qFormat/>
    <w:rsid w:val="00fc693f"/>
    <w:pPr>
      <w:keepNext w:val="true"/>
      <w:keepLines/>
      <w:spacing w:before="160" w:after="100"/>
      <w:outlineLvl w:val="1"/>
    </w:pPr>
    <w:rPr>
      <w:rFonts w:ascii="Calibri" w:hAnsi="Calibri" w:eastAsia="ＭＳ ゴシック" w:cs="" w:asciiTheme="majorHAnsi" w:cstheme="majorBidi" w:eastAsiaTheme="majorEastAsia" w:hAnsiTheme="majorHAnsi"/>
      <w:b/>
      <w:bCs/>
      <w:color w:val="0B3D91"/>
      <w:sz w:val="28"/>
      <w:szCs w:val="26"/>
    </w:rPr>
  </w:style>
  <w:style w:type="paragraph" w:styleId="Heading3">
    <w:name w:val="heading 3"/>
    <w:basedOn w:val="Normal"/>
    <w:next w:val="Normal"/>
    <w:link w:val="Heading3Char"/>
    <w:uiPriority w:val="9"/>
    <w:unhideWhenUsed/>
    <w:qFormat/>
    <w:rsid w:val="00fc693f"/>
    <w:pPr>
      <w:keepNext w:val="true"/>
      <w:keepLines/>
      <w:spacing w:before="120" w:after="60"/>
      <w:outlineLvl w:val="2"/>
    </w:pPr>
    <w:rPr>
      <w:rFonts w:ascii="Calibri" w:hAnsi="Calibri" w:eastAsia="ＭＳ ゴシック" w:cs="" w:asciiTheme="majorHAnsi" w:cstheme="majorBidi" w:eastAsiaTheme="majorEastAsia" w:hAnsiTheme="majorHAnsi"/>
      <w:b/>
      <w:bCs/>
      <w:color w:val="2F6B3F"/>
      <w:sz w:val="21"/>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ＭＳ ゴシック" w:cs="" w:asciiTheme="majorHAnsi" w:cstheme="majorBidi" w:eastAsiaTheme="majorEastAsia" w:hAnsiTheme="majorHAnsi"/>
      <w:b/>
      <w:bCs/>
      <w:i/>
      <w:iCs/>
      <w:color w:themeColor="accent1" w:val="4F81BD"/>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themeColor="accent1" w:val="4F81BD"/>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themeColor="accent1" w:val="4F81BD"/>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themeColor="accent1" w:themeShade="7f" w:val="243F60"/>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80"/>
      <w:ind w:hanging="360" w:start="360"/>
      <w:contextualSpacing/>
    </w:pPr>
    <w:rPr/>
  </w:style>
  <w:style w:type="paragraph" w:styleId="Caption">
    <w:name w:val="caption"/>
    <w:basedOn w:val="Normal"/>
    <w:next w:val="Normal"/>
    <w:uiPriority w:val="35"/>
    <w:semiHidden/>
    <w:unhideWhenUsed/>
    <w:qFormat/>
    <w:rsid w:val="00fc693f"/>
    <w:pPr>
      <w:spacing w:lineRule="auto" w:line="240"/>
    </w:pPr>
    <w:rPr>
      <w:b/>
      <w:bCs/>
      <w:color w:themeColor="accent1" w:val="4F81BD"/>
      <w:sz w:val="18"/>
      <w:szCs w:val="18"/>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bidi w:val="0"/>
      <w:spacing w:lineRule="auto" w:line="240" w:before="0" w:after="0"/>
      <w:jc w:val="start"/>
    </w:pPr>
    <w:rPr>
      <w:rFonts w:ascii="Calibri" w:hAnsi="Calibri" w:eastAsia="ＭＳ 明朝" w:cs="" w:cstheme="minorBidi" w:eastAsiaTheme="minorEastAsia"/>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300"/>
      <w:contextualSpacing/>
    </w:pPr>
    <w:rPr>
      <w:rFonts w:ascii="Calibri" w:hAnsi="Calibri" w:eastAsia="ＭＳ ゴシック" w:cs="" w:asciiTheme="majorHAnsi" w:cstheme="majorBidi" w:eastAsiaTheme="majorEastAsia" w:hAnsiTheme="majorHAnsi"/>
      <w:b/>
      <w:color w:val="0B3D91"/>
      <w:spacing w:val="5"/>
      <w:kern w:val="2"/>
      <w:sz w:val="56"/>
      <w:szCs w:val="52"/>
    </w:rPr>
  </w:style>
  <w:style w:type="paragraph" w:styleId="Subtitle">
    <w:name w:val="Subtitle"/>
    <w:basedOn w:val="Normal"/>
    <w:next w:val="Normal"/>
    <w:link w:val="SubtitleChar"/>
    <w:uiPriority w:val="11"/>
    <w:qFormat/>
    <w:rsid w:val="00fc693f"/>
    <w:pPr/>
    <w:rPr>
      <w:rFonts w:ascii="Calibri" w:hAnsi="Calibri" w:eastAsia="ＭＳ ゴシック" w:cs="" w:asciiTheme="majorHAnsi" w:cstheme="majorBidi" w:eastAsiaTheme="majorEastAsia" w:hAnsiTheme="majorHAnsi"/>
      <w:i/>
      <w:iCs/>
      <w:color w:val="253247"/>
      <w:spacing w:val="15"/>
      <w:sz w:val="26"/>
      <w:szCs w:val="24"/>
    </w:rPr>
  </w:style>
  <w:style w:type="paragraph" w:styleId="ListParagraph">
    <w:name w:val="List Paragraph"/>
    <w:basedOn w:val="Normal"/>
    <w:uiPriority w:val="34"/>
    <w:qFormat/>
    <w:rsid w:val="00fc693f"/>
    <w:pPr>
      <w:spacing w:before="0" w:after="80"/>
      <w:ind w:star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80"/>
      <w:ind w:hanging="360" w:start="720"/>
      <w:contextualSpacing/>
    </w:pPr>
    <w:rPr/>
  </w:style>
  <w:style w:type="paragraph" w:styleId="List3">
    <w:name w:val="List 3"/>
    <w:basedOn w:val="Normal"/>
    <w:uiPriority w:val="99"/>
    <w:unhideWhenUsed/>
    <w:qFormat/>
    <w:rsid w:val="00326f90"/>
    <w:pPr>
      <w:spacing w:before="0" w:after="80"/>
      <w:ind w:hanging="360" w:start="1080"/>
      <w:contextualSpacing/>
    </w:pPr>
    <w:rPr/>
  </w:style>
  <w:style w:type="paragraph" w:styleId="ListBullet">
    <w:name w:val="List Bullet"/>
    <w:basedOn w:val="Normal"/>
    <w:uiPriority w:val="99"/>
    <w:unhideWhenUsed/>
    <w:rsid w:val="00326f90"/>
    <w:pPr>
      <w:numPr>
        <w:ilvl w:val="0"/>
        <w:numId w:val="1"/>
      </w:numPr>
      <w:spacing w:before="0" w:after="80"/>
      <w:contextualSpacing/>
    </w:pPr>
    <w:rPr/>
  </w:style>
  <w:style w:type="paragraph" w:styleId="ListBullet2">
    <w:name w:val="List Bullet 2"/>
    <w:basedOn w:val="Normal"/>
    <w:uiPriority w:val="99"/>
    <w:unhideWhenUsed/>
    <w:rsid w:val="00326f90"/>
    <w:pPr>
      <w:numPr>
        <w:ilvl w:val="0"/>
        <w:numId w:val="2"/>
      </w:numPr>
      <w:spacing w:before="0" w:after="80"/>
      <w:contextualSpacing/>
    </w:pPr>
    <w:rPr/>
  </w:style>
  <w:style w:type="paragraph" w:styleId="ListBullet3">
    <w:name w:val="List Bullet 3"/>
    <w:basedOn w:val="Normal"/>
    <w:uiPriority w:val="99"/>
    <w:unhideWhenUsed/>
    <w:rsid w:val="00326f90"/>
    <w:pPr>
      <w:numPr>
        <w:ilvl w:val="0"/>
        <w:numId w:val="3"/>
      </w:numPr>
      <w:spacing w:before="0" w:after="80"/>
      <w:contextualSpacing/>
    </w:pPr>
    <w:rPr/>
  </w:style>
  <w:style w:type="paragraph" w:styleId="ListNumber">
    <w:name w:val="List Number"/>
    <w:basedOn w:val="Normal"/>
    <w:uiPriority w:val="99"/>
    <w:unhideWhenUsed/>
    <w:rsid w:val="00326f90"/>
    <w:pPr>
      <w:numPr>
        <w:ilvl w:val="0"/>
        <w:numId w:val="4"/>
      </w:numPr>
      <w:spacing w:before="0" w:after="80"/>
      <w:contextualSpacing/>
    </w:pPr>
    <w:rPr/>
  </w:style>
  <w:style w:type="paragraph" w:styleId="ListNumber2">
    <w:name w:val="List Number 2"/>
    <w:basedOn w:val="Normal"/>
    <w:uiPriority w:val="99"/>
    <w:unhideWhenUsed/>
    <w:rsid w:val="0029639d"/>
    <w:pPr>
      <w:numPr>
        <w:ilvl w:val="0"/>
        <w:numId w:val="5"/>
      </w:numPr>
      <w:spacing w:before="0" w:after="80"/>
      <w:contextualSpacing/>
    </w:pPr>
    <w:rPr/>
  </w:style>
  <w:style w:type="paragraph" w:styleId="ListNumber3">
    <w:name w:val="List Number 3"/>
    <w:basedOn w:val="Normal"/>
    <w:uiPriority w:val="99"/>
    <w:unhideWhenUsed/>
    <w:rsid w:val="0029639d"/>
    <w:pPr>
      <w:numPr>
        <w:ilvl w:val="0"/>
        <w:numId w:val="6"/>
      </w:numPr>
      <w:spacing w:before="0" w:after="80"/>
      <w:contextualSpacing/>
    </w:pPr>
    <w:rPr/>
  </w:style>
  <w:style w:type="paragraph" w:styleId="ListContinue">
    <w:name w:val="List Continue"/>
    <w:basedOn w:val="Normal"/>
    <w:uiPriority w:val="99"/>
    <w:unhideWhenUsed/>
    <w:rsid w:val="0029639d"/>
    <w:pPr>
      <w:spacing w:before="0" w:after="120"/>
      <w:ind w:start="360"/>
      <w:contextualSpacing/>
    </w:pPr>
    <w:rPr/>
  </w:style>
  <w:style w:type="paragraph" w:styleId="ListContinue2">
    <w:name w:val="List Continue 2"/>
    <w:basedOn w:val="Normal"/>
    <w:uiPriority w:val="99"/>
    <w:unhideWhenUsed/>
    <w:rsid w:val="0029639d"/>
    <w:pPr>
      <w:spacing w:before="0" w:after="120"/>
      <w:ind w:start="720"/>
      <w:contextualSpacing/>
    </w:pPr>
    <w:rPr/>
  </w:style>
  <w:style w:type="paragraph" w:styleId="ListContinue3">
    <w:name w:val="List Continue 3"/>
    <w:basedOn w:val="Normal"/>
    <w:uiPriority w:val="99"/>
    <w:unhideWhenUsed/>
    <w:rsid w:val="0029639d"/>
    <w:pPr>
      <w:spacing w:before="0" w:after="120"/>
      <w:ind w:start="1080"/>
      <w:contextualSpacing/>
    </w:pPr>
    <w:rPr/>
  </w:style>
  <w:style w:type="paragraph" w:styleId="MacroText">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bidi w:val="0"/>
      <w:spacing w:lineRule="auto" w:line="276" w:before="0" w:after="200"/>
      <w:jc w:val="start"/>
    </w:pPr>
    <w:rPr>
      <w:rFonts w:ascii="Courier" w:hAnsi="Courier" w:eastAsia="ＭＳ 明朝"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themeColor="text1" w:val="000000"/>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start="936" w:end="936"/>
    </w:pPr>
    <w:rPr>
      <w:b/>
      <w:bCs/>
      <w:i/>
      <w:iCs/>
      <w:color w:themeColor="accent1" w:val="4F81BD"/>
    </w:rPr>
  </w:style>
  <w:style w:type="paragraph" w:styleId="IndexHeading">
    <w:name w:val="index heading"/>
    <w:basedOn w:val="Heading"/>
    <w:pPr/>
    <w:rPr/>
  </w:style>
  <w:style w:type="paragraph" w:styleId="TOCHeading">
    <w:name w:val="TOC Heading"/>
    <w:basedOn w:val="Heading1"/>
    <w:next w:val="Normal"/>
    <w:uiPriority w:val="39"/>
    <w:semiHidden/>
    <w:unhideWhenUsed/>
    <w:qFormat/>
    <w:rsid w:val="00fc693f"/>
    <w:pPr>
      <w:outlineLvl w:val="9"/>
    </w:pPr>
    <w:rPr/>
  </w:style>
  <w:style w:type="paragraph" w:styleId="QuestionGSE" w:customStyle="1">
    <w:name w:val="Question GSE"/>
    <w:basedOn w:val="Normal"/>
    <w:qFormat/>
    <w:pPr>
      <w:keepNext w:val="true"/>
      <w:spacing w:before="90" w:after="30"/>
    </w:pPr>
    <w:rPr>
      <w:rFonts w:ascii="Liberation Sans" w:hAnsi="Liberation Sans"/>
      <w:b/>
      <w:color w:val="0B3D91"/>
      <w:sz w:val="18"/>
    </w:rPr>
  </w:style>
  <w:style w:type="paragraph" w:styleId="AnswerGSE" w:customStyle="1">
    <w:name w:val="Answer GSE"/>
    <w:basedOn w:val="Normal"/>
    <w:qFormat/>
    <w:pPr>
      <w:spacing w:before="0" w:after="70"/>
      <w:ind w:start="198" w:end="57"/>
    </w:pPr>
    <w:rPr>
      <w:rFonts w:ascii="Liberation Sans" w:hAnsi="Liberation Sans"/>
      <w:sz w:val="18"/>
    </w:rPr>
  </w:style>
  <w:style w:type="paragraph" w:styleId="SourceGSE" w:customStyle="1">
    <w:name w:val="Source GSE"/>
    <w:basedOn w:val="Normal"/>
    <w:qFormat/>
    <w:pPr/>
    <w:rPr>
      <w:rFonts w:ascii="Liberation Sans" w:hAnsi="Liberation Sans"/>
      <w:i/>
      <w:sz w:val="18"/>
    </w:rPr>
  </w:style>
  <w:style w:type="paragraph" w:styleId="SmallGSE" w:customStyle="1">
    <w:name w:val="Small GSE"/>
    <w:basedOn w:val="Normal"/>
    <w:qFormat/>
    <w:pPr/>
    <w:rPr>
      <w:rFonts w:ascii="Liberation Sans" w:hAnsi="Liberation Sans"/>
      <w:color w:val="5C6675"/>
      <w:sz w:val="16"/>
    </w:rPr>
  </w:style>
  <w:style w:type="paragraph" w:styleId="GlossaryGSE" w:customStyle="1">
    <w:name w:val="Glossary GSE"/>
    <w:basedOn w:val="Normal"/>
    <w:qFormat/>
    <w:pPr>
      <w:spacing w:before="0" w:after="60"/>
    </w:pPr>
    <w:rPr>
      <w:rFonts w:ascii="Liberation Sans" w:hAnsi="Liberation Sans"/>
      <w:sz w:val="17"/>
    </w:rPr>
  </w:style>
  <w:style w:type="paragraph" w:styleId="CaptionGSE" w:customStyle="1">
    <w:name w:val="Caption GSE"/>
    <w:qFormat/>
    <w:pPr>
      <w:widowControl/>
      <w:bidi w:val="0"/>
      <w:spacing w:lineRule="auto" w:line="276" w:before="0" w:after="140"/>
      <w:jc w:val="center"/>
    </w:pPr>
    <w:rPr>
      <w:rFonts w:ascii="Arial" w:hAnsi="Arial" w:eastAsia="ＭＳ 明朝" w:cs=""/>
      <w:i/>
      <w:color w:val="5B6573"/>
      <w:kern w:val="0"/>
      <w:sz w:val="17"/>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themeColor="text1"/>
      </w:rPr>
      <w:tblPr/>
      <w:tcPr>
        <w:shd w:val="clear" w:color="auto" w:fill="EDF2F8"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themeColor="text1"/>
      </w:rPr>
      <w:tblPr/>
      <w:tcPr>
        <w:shd w:val="clear" w:color="auto" w:fill="F8EDED"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themeColor="text1"/>
      </w:rPr>
      <w:tblPr/>
      <w:tcPr>
        <w:shd w:val="clear" w:color="auto" w:fill="F5F8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themeColor="text1"/>
      </w:rPr>
      <w:tblPr/>
      <w:tcPr>
        <w:shd w:val="clear" w:color="auto" w:fill="F2EFF6"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themeColor="text1"/>
      </w:rPr>
      <w:tblPr/>
      <w:tcPr>
        <w:shd w:val="clear" w:color="auto" w:fill="EDF6F9"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themeColor="text1"/>
      </w:rPr>
      <w:tblPr/>
      <w:tcPr>
        <w:shd w:val="clear" w:color="auto" w:fill="FEF4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C4C74" w:themeFill="accent1" w:themeFillShade="99"/>
      </w:tcPr>
    </w:tblStylePr>
    <w:tblStylePr w:type="firstCol">
      <w:rPr>
        <w:color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72C2A" w:themeFill="accent2" w:themeFillShade="99"/>
      </w:tcPr>
    </w:tblStylePr>
    <w:tblStylePr w:type="firstCol">
      <w:rPr>
        <w:color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rsid w:val="00cb0664"/>
    <w:pPr>
      <w:spacing w:after="0" w:line="240" w:lineRule="auto"/>
    </w:pPr>
    <w:rPr>
      <w:color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E7530" w:themeFill="accent3" w:themeFillShade="99"/>
      </w:tcPr>
    </w:tblStylePr>
    <w:tblStylePr w:type="firstCol">
      <w:rPr>
        <w:color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C3B62" w:themeFill="accent4" w:themeFillShade="99"/>
      </w:tcPr>
    </w:tblStylePr>
    <w:tblStylePr w:type="firstCol">
      <w:rPr>
        <w:color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rsid w:val="00cb0664"/>
    <w:pPr>
      <w:spacing w:after="0" w:line="240" w:lineRule="auto"/>
    </w:pPr>
    <w:rPr>
      <w:color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76A7C" w:themeFill="accent5" w:themeFillShade="99"/>
      </w:tcPr>
    </w:tblStylePr>
    <w:tblStylePr w:type="firstCol">
      <w:rPr>
        <w:color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rsid w:val="00cb0664"/>
    <w:pPr>
      <w:spacing w:after="0" w:line="240" w:lineRule="auto"/>
    </w:pPr>
    <w:rPr>
      <w:color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B65608" w:themeFill="accent6" w:themeFillShade="99"/>
      </w:tcPr>
    </w:tblStylePr>
    <w:tblStylePr w:type="firstCol">
      <w:rPr>
        <w:color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themeColor="text1"/>
      </w:rPr>
      <w:tblPr/>
    </w:tblStylePr>
    <w:tblStylePr w:type="nwCell">
      <w:rPr>
        <w:color w:themeColor="text1"/>
      </w:rPr>
      <w:tblPr/>
    </w:tblStylePr>
  </w:style>
  <w:style w:type="table" w:styleId="ColorfulList">
    <w:name w:val="Colorful List"/>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themeColor="background1"/>
      </w:rPr>
      <w:tblPr/>
      <w:tcPr>
        <w:tcBorders>
          <w:bottom w:val="single" w:color="FFFFFF" w:themeColor="background1" w:sz="12" w:space="0"/>
        </w:tcBorders>
        <w:shd w:val="clear" w:color="auto" w:fill="664E82"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themeColor="background1"/>
      </w:rPr>
      <w:tblPr/>
      <w:tcPr>
        <w:tcBorders>
          <w:bottom w:val="single" w:color="FFFFFF" w:themeColor="background1" w:sz="12" w:space="0"/>
        </w:tcBorders>
        <w:shd w:val="clear" w:color="auto" w:fill="7E9C4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themeColor="background1"/>
      </w:rPr>
      <w:tblPr/>
      <w:tcPr>
        <w:tcBorders>
          <w:bottom w:val="single" w:color="FFFFFF" w:themeColor="background1" w:sz="12" w:space="0"/>
        </w:tcBorders>
        <w:shd w:val="clear" w:color="auto" w:fill="348DA5"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themeColor="text1"/>
      </w:rPr>
      <w:tblPr/>
      <w:tcPr>
        <w:shd w:val="clear" w:color="auto" w:fill="B8CCE4" w:themeFill="accent1" w:themeFillTint="66"/>
      </w:tcPr>
    </w:tblStylePr>
    <w:tblStylePr w:type="firstCol">
      <w:rPr>
        <w:color w:themeColor="background1"/>
      </w:rPr>
      <w:tblPr/>
      <w:tcPr>
        <w:shd w:val="clear" w:color="auto" w:fill="365F91" w:themeFill="accent1" w:themeFillShade="bf"/>
      </w:tcPr>
    </w:tblStylePr>
    <w:tblStylePr w:type="lastCol">
      <w:rPr>
        <w:color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themeColor="text1"/>
      </w:rPr>
      <w:tblPr/>
      <w:tcPr>
        <w:shd w:val="clear" w:color="auto" w:fill="E5B8B7" w:themeFill="accent2" w:themeFillTint="66"/>
      </w:tcPr>
    </w:tblStylePr>
    <w:tblStylePr w:type="firstCol">
      <w:rPr>
        <w:color w:themeColor="background1"/>
      </w:rPr>
      <w:tblPr/>
      <w:tcPr>
        <w:shd w:val="clear" w:color="auto" w:fill="943634" w:themeFill="accent2" w:themeFillShade="bf"/>
      </w:tcPr>
    </w:tblStylePr>
    <w:tblStylePr w:type="lastCol">
      <w:rPr>
        <w:color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themeColor="text1"/>
      </w:rPr>
      <w:tblPr/>
      <w:tcPr>
        <w:shd w:val="clear" w:color="auto" w:fill="D6E3BC" w:themeFill="accent3" w:themeFillTint="66"/>
      </w:tcPr>
    </w:tblStylePr>
    <w:tblStylePr w:type="firstCol">
      <w:rPr>
        <w:color w:themeColor="background1"/>
      </w:rPr>
      <w:tblPr/>
      <w:tcPr>
        <w:shd w:val="clear" w:color="auto" w:fill="76923C" w:themeFill="accent3" w:themeFillShade="bf"/>
      </w:tcPr>
    </w:tblStylePr>
    <w:tblStylePr w:type="lastCol">
      <w:rPr>
        <w:color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themeColor="text1"/>
      </w:rPr>
      <w:tblPr/>
      <w:tcPr>
        <w:shd w:val="clear" w:color="auto" w:fill="CCC0D9" w:themeFill="accent4" w:themeFillTint="66"/>
      </w:tcPr>
    </w:tblStylePr>
    <w:tblStylePr w:type="firstCol">
      <w:rPr>
        <w:color w:themeColor="background1"/>
      </w:rPr>
      <w:tblPr/>
      <w:tcPr>
        <w:shd w:val="clear" w:color="auto" w:fill="5F497A" w:themeFill="accent4" w:themeFillShade="bf"/>
      </w:tcPr>
    </w:tblStylePr>
    <w:tblStylePr w:type="lastCol">
      <w:rPr>
        <w:color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themeColor="text1"/>
      </w:rPr>
      <w:tblPr/>
      <w:tcPr>
        <w:shd w:val="clear" w:color="auto" w:fill="B6DDE8" w:themeFill="accent5" w:themeFillTint="66"/>
      </w:tcPr>
    </w:tblStylePr>
    <w:tblStylePr w:type="firstCol">
      <w:rPr>
        <w:color w:themeColor="background1"/>
      </w:rPr>
      <w:tblPr/>
      <w:tcPr>
        <w:shd w:val="clear" w:color="auto" w:fill="31849B" w:themeFill="accent5" w:themeFillShade="bf"/>
      </w:tcPr>
    </w:tblStylePr>
    <w:tblStylePr w:type="lastCol">
      <w:rPr>
        <w:color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themeColor="text1"/>
      </w:rPr>
      <w:tblPr/>
      <w:tcPr>
        <w:shd w:val="clear" w:color="auto" w:fill="FBD4B4" w:themeFill="accent6" w:themeFillTint="66"/>
      </w:tcPr>
    </w:tblStylePr>
    <w:tblStylePr w:type="firstCol">
      <w:rPr>
        <w:color w:themeColor="background1"/>
      </w:rPr>
      <w:tblPr/>
      <w:tcPr>
        <w:shd w:val="clear" w:color="auto" w:fill="E36C0A" w:themeFill="accent6" w:themeFillShade="bf"/>
      </w:tcPr>
    </w:tblStylePr>
    <w:tblStylePr w:type="lastCol">
      <w:rPr>
        <w:color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3.jpeg"/><Relationship Id="rId10" Type="http://schemas.openxmlformats.org/officeDocument/2006/relationships/hyperlink" Target="https://gsleseminents.com/"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gsleseminents.com/a-propos/" TargetMode="External"/><Relationship Id="rId17" Type="http://schemas.openxmlformats.org/officeDocument/2006/relationships/hyperlink" Target="https://gsleseminents.com/notre-vision-2/" TargetMode="External"/><Relationship Id="rId18" Type="http://schemas.openxmlformats.org/officeDocument/2006/relationships/hyperlink" Target="https://gsleseminents.com/a-propos/" TargetMode="External"/><Relationship Id="rId19" Type="http://schemas.openxmlformats.org/officeDocument/2006/relationships/hyperlink" Target="https://gsleseminents.com/notre-vision/" TargetMode="External"/><Relationship Id="rId20" Type="http://schemas.openxmlformats.org/officeDocument/2006/relationships/hyperlink" Target="https://gsleseminents.com/notre-vision-2/" TargetMode="External"/><Relationship Id="rId21" Type="http://schemas.openxmlformats.org/officeDocument/2006/relationships/image" Target="media/image7.png"/><Relationship Id="rId22" Type="http://schemas.openxmlformats.org/officeDocument/2006/relationships/hyperlink" Target="https://gsleseminents.com/notre-vision-2/" TargetMode="External"/><Relationship Id="rId23" Type="http://schemas.openxmlformats.org/officeDocument/2006/relationships/hyperlink" Target="https://gsleseminents.com/notre-vision-2/" TargetMode="External"/><Relationship Id="rId24" Type="http://schemas.openxmlformats.org/officeDocument/2006/relationships/hyperlink" Target="https://gsleseminents.com/notre-vision-2/" TargetMode="External"/><Relationship Id="rId25" Type="http://schemas.openxmlformats.org/officeDocument/2006/relationships/hyperlink" Target="https://gsleseminents.com/notre-vision-2/" TargetMode="External"/><Relationship Id="rId26" Type="http://schemas.openxmlformats.org/officeDocument/2006/relationships/hyperlink" Target="https://gsleseminents.com/notre-vision-2/" TargetMode="External"/><Relationship Id="rId27" Type="http://schemas.openxmlformats.org/officeDocument/2006/relationships/hyperlink" Target="https://gsleseminents.com/notre-vision-2/" TargetMode="External"/><Relationship Id="rId28" Type="http://schemas.openxmlformats.org/officeDocument/2006/relationships/hyperlink" Target="https://gsleseminents.com/notre-vision-2/" TargetMode="External"/><Relationship Id="rId29" Type="http://schemas.openxmlformats.org/officeDocument/2006/relationships/hyperlink" Target="https://gsleseminents.com/notre-vision-2/" TargetMode="External"/><Relationship Id="rId30" Type="http://schemas.openxmlformats.org/officeDocument/2006/relationships/hyperlink" Target="https://gsleseminents.com/notre-mission/" TargetMode="External"/><Relationship Id="rId31" Type="http://schemas.openxmlformats.org/officeDocument/2006/relationships/hyperlink" Target="https://gsleseminents.com/nos-valeurs/" TargetMode="External"/><Relationship Id="rId32" Type="http://schemas.openxmlformats.org/officeDocument/2006/relationships/hyperlink" Target="https://gsleseminents.com/notre-devise/" TargetMode="External"/><Relationship Id="rId33" Type="http://schemas.openxmlformats.org/officeDocument/2006/relationships/hyperlink" Target="https://gsleseminents.com/notre-approche-educative/" TargetMode="External"/><Relationship Id="rId34" Type="http://schemas.openxmlformats.org/officeDocument/2006/relationships/hyperlink" Target="https://gsleseminents.com/excellence-academique/" TargetMode="External"/><Relationship Id="rId35" Type="http://schemas.openxmlformats.org/officeDocument/2006/relationships/hyperlink" Target="https://gsleseminents.com/enseignement-bilingue/" TargetMode="External"/><Relationship Id="rId36" Type="http://schemas.openxmlformats.org/officeDocument/2006/relationships/hyperlink" Target="https://gsleseminents.com/pedagogie-active/" TargetMode="External"/><Relationship Id="rId37" Type="http://schemas.openxmlformats.org/officeDocument/2006/relationships/hyperlink" Target="https://gsleseminents.com/education-chretienne/" TargetMode="External"/><Relationship Id="rId38" Type="http://schemas.openxmlformats.org/officeDocument/2006/relationships/hyperlink" Target="https://gsleseminents.com/technologies-educatives/" TargetMode="External"/><Relationship Id="rId39" Type="http://schemas.openxmlformats.org/officeDocument/2006/relationships/hyperlink" Target="https://gsleseminents.com/mot-du-promoteur/" TargetMode="External"/><Relationship Id="rId40" Type="http://schemas.openxmlformats.org/officeDocument/2006/relationships/hyperlink" Target="https://gsleseminents.com/mot-de-la-direction/" TargetMode="External"/><Relationship Id="rId41" Type="http://schemas.openxmlformats.org/officeDocument/2006/relationships/hyperlink" Target="https://gsleseminents.com/notre-equipe/" TargetMode="External"/><Relationship Id="rId42" Type="http://schemas.openxmlformats.org/officeDocument/2006/relationships/hyperlink" Target="https://gsleseminents.com/nos-infrastructures/" TargetMode="External"/><Relationship Id="rId43" Type="http://schemas.openxmlformats.org/officeDocument/2006/relationships/image" Target="media/image6.png"/><Relationship Id="rId44" Type="http://schemas.openxmlformats.org/officeDocument/2006/relationships/image" Target="media/image6.png"/><Relationship Id="rId45" Type="http://schemas.openxmlformats.org/officeDocument/2006/relationships/image" Target="media/image6.png"/><Relationship Id="rId46" Type="http://schemas.openxmlformats.org/officeDocument/2006/relationships/image" Target="media/image6.png"/><Relationship Id="rId47" Type="http://schemas.openxmlformats.org/officeDocument/2006/relationships/image" Target="media/image6.png"/><Relationship Id="rId48" Type="http://schemas.openxmlformats.org/officeDocument/2006/relationships/image" Target="media/image6.png"/><Relationship Id="rId49" Type="http://schemas.openxmlformats.org/officeDocument/2006/relationships/image" Target="media/image6.png"/><Relationship Id="rId50" Type="http://schemas.openxmlformats.org/officeDocument/2006/relationships/image" Target="media/image6.png"/><Relationship Id="rId51" Type="http://schemas.openxmlformats.org/officeDocument/2006/relationships/image" Target="media/image1.png"/><Relationship Id="rId52" Type="http://schemas.openxmlformats.org/officeDocument/2006/relationships/image" Target="media/image8.png"/><Relationship Id="rId53" Type="http://schemas.openxmlformats.org/officeDocument/2006/relationships/image" Target="media/image1.png"/><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header" Target="header3.xm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oter" Target="footer3.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Relationship Id="rId63" Type="http://schemas.openxmlformats.org/officeDocument/2006/relationships/theme" Target="theme/theme1.xml"/><Relationship Id="rId6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LibreOffice/25.2.3.2$Linux_X86_64 LibreOffice_project/520$Build-2</Application>
  <AppVersion>15.0000</AppVersion>
  <Pages>573</Pages>
  <Words>194093</Words>
  <Characters>1089733</Characters>
  <CharactersWithSpaces>1262925</CharactersWithSpaces>
  <Paragraphs>21705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2026-07-02T00:00:00Z</dcterms:created>
  <dc:creator>GROUPE SCOLAIRE LES ÉMINENTS</dc:creator>
  <dc:description>Code GSE-EMINA-KB-SITE-001 — Version 1.0.0 — 2 juillet 2026 — Institutionnel, diffusion contrôlée.</dc:description>
  <cp:keywords>ÉMINA; GSE; base de connaissances; questions-réponses; FAQ; WordPress; site institutionnel</cp:keywords>
  <dc:language>en-US</dc:language>
  <cp:lastModifiedBy>GROUPE SCOLAIRE LES ÉMINENTS</cp:lastModifiedBy>
  <dcterms:modified xsi:type="dcterms:W3CDTF">2026-07-02T00:00:00Z</dcterms:modified>
  <cp:revision>1</cp:revision>
  <dc:subject>Corpus institutionnel centralisé destiné à la base de connaissances d’ÉMINA</dc:subject>
  <dc:title>Base maîtresse centralisée des questions-réponses du site pour ÉMINA</dc:title>
</cp:coreProperties>
</file>

<file path=docProps/custom.xml><?xml version="1.0" encoding="utf-8"?>
<Properties xmlns="http://schemas.openxmlformats.org/officeDocument/2006/custom-properties" xmlns:vt="http://schemas.openxmlformats.org/officeDocument/2006/docPropsVTypes"/>
</file>